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6C6D" w14:textId="77777777" w:rsidR="004C1092" w:rsidRPr="00607AB7" w:rsidRDefault="004C1092" w:rsidP="0064057C">
      <w:pPr>
        <w:pStyle w:val="Title"/>
        <w:tabs>
          <w:tab w:val="left" w:pos="10348"/>
        </w:tabs>
        <w:spacing w:line="276" w:lineRule="auto"/>
        <w:jc w:val="left"/>
        <w:rPr>
          <w:sz w:val="24"/>
          <w:szCs w:val="24"/>
        </w:rPr>
      </w:pPr>
    </w:p>
    <w:p w14:paraId="39FCDFA5" w14:textId="250346D5" w:rsidR="0064777F" w:rsidRPr="00607AB7" w:rsidRDefault="0064777F" w:rsidP="0064057C">
      <w:pPr>
        <w:pStyle w:val="Title"/>
        <w:spacing w:line="276" w:lineRule="auto"/>
        <w:rPr>
          <w:sz w:val="24"/>
          <w:szCs w:val="24"/>
        </w:rPr>
      </w:pPr>
      <w:r w:rsidRPr="00607AB7">
        <w:rPr>
          <w:sz w:val="24"/>
          <w:szCs w:val="24"/>
        </w:rPr>
        <w:t>NOTĂ DE FUNDAMENTARE</w:t>
      </w:r>
    </w:p>
    <w:p w14:paraId="5D18789B" w14:textId="77777777" w:rsidR="00490610" w:rsidRPr="00607AB7" w:rsidRDefault="00490610" w:rsidP="0064057C">
      <w:pPr>
        <w:pStyle w:val="Title"/>
        <w:spacing w:line="276" w:lineRule="auto"/>
        <w:ind w:firstLine="720"/>
        <w:jc w:val="left"/>
        <w:rPr>
          <w:sz w:val="24"/>
          <w:szCs w:val="24"/>
        </w:rPr>
      </w:pPr>
    </w:p>
    <w:p w14:paraId="0448C4F0" w14:textId="4AC4059F" w:rsidR="00223491" w:rsidRPr="00607AB7" w:rsidRDefault="00223491" w:rsidP="0064057C">
      <w:pPr>
        <w:pStyle w:val="Title"/>
        <w:spacing w:line="276" w:lineRule="auto"/>
        <w:ind w:firstLine="720"/>
        <w:jc w:val="left"/>
        <w:rPr>
          <w:sz w:val="24"/>
          <w:szCs w:val="24"/>
        </w:rPr>
      </w:pPr>
      <w:r w:rsidRPr="00607AB7">
        <w:rPr>
          <w:sz w:val="24"/>
          <w:szCs w:val="24"/>
        </w:rPr>
        <w:t>Secțiunea 1</w:t>
      </w:r>
    </w:p>
    <w:p w14:paraId="78C75447" w14:textId="04BD6EFC" w:rsidR="00223491" w:rsidRPr="00607AB7" w:rsidRDefault="00223491" w:rsidP="0064057C">
      <w:pPr>
        <w:pStyle w:val="Title"/>
        <w:spacing w:line="276" w:lineRule="auto"/>
        <w:ind w:firstLine="720"/>
        <w:jc w:val="left"/>
        <w:rPr>
          <w:sz w:val="24"/>
          <w:szCs w:val="24"/>
        </w:rPr>
      </w:pPr>
      <w:r w:rsidRPr="00607AB7">
        <w:rPr>
          <w:sz w:val="24"/>
          <w:szCs w:val="24"/>
        </w:rPr>
        <w:t>Titlul proiectului de act normativ</w:t>
      </w:r>
    </w:p>
    <w:p w14:paraId="725774E3" w14:textId="77777777" w:rsidR="0000121D" w:rsidRPr="00607AB7" w:rsidRDefault="0000121D" w:rsidP="0064057C">
      <w:pPr>
        <w:pStyle w:val="Title"/>
        <w:spacing w:line="276" w:lineRule="auto"/>
        <w:ind w:firstLine="720"/>
        <w:jc w:val="left"/>
        <w:rPr>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607AB7" w:rsidRPr="00607AB7" w14:paraId="117C71DD" w14:textId="77777777" w:rsidTr="00223491">
        <w:tc>
          <w:tcPr>
            <w:tcW w:w="10490" w:type="dxa"/>
          </w:tcPr>
          <w:p w14:paraId="2FD92A00" w14:textId="77777777" w:rsidR="00C10285" w:rsidRPr="00607AB7" w:rsidRDefault="00C10285" w:rsidP="0064057C">
            <w:pPr>
              <w:spacing w:line="276" w:lineRule="auto"/>
              <w:jc w:val="center"/>
              <w:rPr>
                <w:b/>
                <w:bCs/>
              </w:rPr>
            </w:pPr>
          </w:p>
          <w:p w14:paraId="47789D8E" w14:textId="1B914A39" w:rsidR="00884CA5" w:rsidRPr="00607AB7" w:rsidRDefault="00A45905" w:rsidP="0064057C">
            <w:pPr>
              <w:spacing w:line="276" w:lineRule="auto"/>
              <w:jc w:val="center"/>
              <w:rPr>
                <w:b/>
                <w:bCs/>
              </w:rPr>
            </w:pPr>
            <w:r w:rsidRPr="00607AB7">
              <w:rPr>
                <w:b/>
                <w:bCs/>
              </w:rPr>
              <w:t xml:space="preserve">ORDONANȚĂ </w:t>
            </w:r>
            <w:r w:rsidR="004E5BA4" w:rsidRPr="00607AB7">
              <w:rPr>
                <w:b/>
                <w:bCs/>
              </w:rPr>
              <w:t>DE URGENȚĂ</w:t>
            </w:r>
          </w:p>
          <w:p w14:paraId="338F09EC" w14:textId="709DAC03" w:rsidR="00C10285" w:rsidRPr="00C0312D" w:rsidRDefault="00C0312D" w:rsidP="00C033E3">
            <w:pPr>
              <w:spacing w:line="276" w:lineRule="auto"/>
              <w:ind w:right="-13"/>
              <w:jc w:val="center"/>
              <w:rPr>
                <w:b/>
                <w:bCs/>
              </w:rPr>
            </w:pPr>
            <w:r w:rsidRPr="00C0312D">
              <w:rPr>
                <w:b/>
                <w:bCs/>
              </w:rPr>
              <w:t>pentru instituirea unor măsuri în domeniul gestionării investiții</w:t>
            </w:r>
            <w:r w:rsidR="00497231">
              <w:rPr>
                <w:b/>
                <w:bCs/>
              </w:rPr>
              <w:t>lor</w:t>
            </w:r>
            <w:r w:rsidRPr="00C0312D">
              <w:rPr>
                <w:b/>
                <w:bCs/>
              </w:rPr>
              <w:t xml:space="preserve"> </w:t>
            </w:r>
            <w:r w:rsidR="00497231" w:rsidRPr="00497231">
              <w:rPr>
                <w:b/>
                <w:bCs/>
              </w:rPr>
              <w:t xml:space="preserve">finanțate din </w:t>
            </w:r>
            <w:r w:rsidR="00656716" w:rsidRPr="00656716">
              <w:rPr>
                <w:b/>
                <w:bCs/>
              </w:rPr>
              <w:t>Planul naţional de redresare şi rezilienţă</w:t>
            </w:r>
            <w:r w:rsidRPr="00C0312D">
              <w:rPr>
                <w:b/>
                <w:bCs/>
              </w:rPr>
              <w:t xml:space="preserve"> și </w:t>
            </w:r>
            <w:r w:rsidR="00497231" w:rsidRPr="00497231">
              <w:rPr>
                <w:b/>
                <w:bCs/>
              </w:rPr>
              <w:t xml:space="preserve">din fonduri </w:t>
            </w:r>
            <w:r w:rsidR="00707826">
              <w:rPr>
                <w:b/>
                <w:bCs/>
              </w:rPr>
              <w:t xml:space="preserve">publice </w:t>
            </w:r>
            <w:r w:rsidRPr="00C0312D">
              <w:rPr>
                <w:b/>
                <w:bCs/>
              </w:rPr>
              <w:t xml:space="preserve">naționale </w:t>
            </w:r>
          </w:p>
        </w:tc>
      </w:tr>
    </w:tbl>
    <w:p w14:paraId="04898D4F" w14:textId="77777777" w:rsidR="0000121D" w:rsidRPr="00607AB7" w:rsidRDefault="0000121D" w:rsidP="0064057C">
      <w:pPr>
        <w:spacing w:line="276" w:lineRule="auto"/>
        <w:ind w:firstLine="720"/>
        <w:jc w:val="both"/>
        <w:rPr>
          <w:b/>
          <w:lang w:eastAsia="ro-RO"/>
        </w:rPr>
      </w:pPr>
    </w:p>
    <w:p w14:paraId="33C1CD30" w14:textId="145B1035" w:rsidR="00223491" w:rsidRPr="00607AB7" w:rsidRDefault="00C5468F" w:rsidP="0064057C">
      <w:pPr>
        <w:spacing w:line="276" w:lineRule="auto"/>
        <w:ind w:firstLine="720"/>
        <w:jc w:val="both"/>
        <w:rPr>
          <w:b/>
          <w:lang w:eastAsia="ro-RO"/>
        </w:rPr>
      </w:pPr>
      <w:r w:rsidRPr="00607AB7">
        <w:rPr>
          <w:b/>
          <w:lang w:eastAsia="ro-RO"/>
        </w:rPr>
        <w:t>Secțiunea</w:t>
      </w:r>
      <w:r w:rsidR="00670C79" w:rsidRPr="00607AB7">
        <w:rPr>
          <w:b/>
          <w:lang w:eastAsia="ro-RO"/>
        </w:rPr>
        <w:t xml:space="preserve"> a 2-a  </w:t>
      </w:r>
    </w:p>
    <w:p w14:paraId="23181ACA" w14:textId="3F9229C2" w:rsidR="00CB78C4" w:rsidRPr="00607AB7" w:rsidRDefault="00670C79" w:rsidP="0064057C">
      <w:pPr>
        <w:spacing w:line="276" w:lineRule="auto"/>
        <w:ind w:firstLine="720"/>
        <w:jc w:val="both"/>
        <w:rPr>
          <w:b/>
          <w:lang w:eastAsia="ro-RO"/>
        </w:rPr>
      </w:pPr>
      <w:r w:rsidRPr="00607AB7">
        <w:rPr>
          <w:b/>
          <w:lang w:eastAsia="ro-RO"/>
        </w:rPr>
        <w:t>Motivul emiterii actului normativ</w:t>
      </w:r>
      <w:r w:rsidR="0066428B" w:rsidRPr="00607AB7">
        <w:rPr>
          <w:b/>
          <w:lang w:eastAsia="ro-RO"/>
        </w:rPr>
        <w:t xml:space="preserve"> </w:t>
      </w:r>
    </w:p>
    <w:p w14:paraId="6558C5B3" w14:textId="77777777" w:rsidR="0000121D" w:rsidRPr="00607AB7" w:rsidRDefault="0000121D" w:rsidP="0064057C">
      <w:pPr>
        <w:spacing w:line="276" w:lineRule="auto"/>
        <w:ind w:firstLine="720"/>
        <w:jc w:val="both"/>
        <w:rPr>
          <w:b/>
          <w:lang w:eastAsia="ro-RO"/>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607AB7" w:rsidRPr="00607AB7" w14:paraId="47D7FD1D" w14:textId="77777777" w:rsidTr="009C70FA">
        <w:trPr>
          <w:trHeight w:val="841"/>
        </w:trPr>
        <w:tc>
          <w:tcPr>
            <w:tcW w:w="10490" w:type="dxa"/>
          </w:tcPr>
          <w:p w14:paraId="083EB0F1" w14:textId="77777777" w:rsidR="008441CD" w:rsidRPr="00607AB7" w:rsidRDefault="00223491" w:rsidP="0064057C">
            <w:pPr>
              <w:autoSpaceDE w:val="0"/>
              <w:autoSpaceDN w:val="0"/>
              <w:adjustRightInd w:val="0"/>
              <w:spacing w:line="276" w:lineRule="auto"/>
              <w:jc w:val="both"/>
              <w:rPr>
                <w:lang w:eastAsia="ro-RO"/>
              </w:rPr>
            </w:pPr>
            <w:r w:rsidRPr="00607AB7">
              <w:rPr>
                <w:b/>
                <w:lang w:eastAsia="ro-RO"/>
              </w:rPr>
              <w:t>2.1 Sursa proiectului de act normativ</w:t>
            </w:r>
            <w:r w:rsidRPr="00607AB7">
              <w:rPr>
                <w:lang w:eastAsia="ro-RO"/>
              </w:rPr>
              <w:t xml:space="preserve"> </w:t>
            </w:r>
          </w:p>
          <w:p w14:paraId="65421770" w14:textId="5E49B0C8" w:rsidR="006700D8" w:rsidRPr="00607AB7" w:rsidRDefault="00FF7D28" w:rsidP="00714DB1">
            <w:pPr>
              <w:pStyle w:val="Default"/>
              <w:numPr>
                <w:ilvl w:val="0"/>
                <w:numId w:val="48"/>
              </w:numPr>
              <w:spacing w:line="276" w:lineRule="auto"/>
              <w:jc w:val="both"/>
              <w:rPr>
                <w:rStyle w:val="spar"/>
                <w:rFonts w:ascii="Times New Roman" w:hAnsi="Times New Roman" w:cs="Times New Roman"/>
                <w:color w:val="auto"/>
                <w:lang w:val="ro-RO"/>
              </w:rPr>
            </w:pPr>
            <w:r w:rsidRPr="00607AB7">
              <w:rPr>
                <w:rFonts w:ascii="Times New Roman" w:hAnsi="Times New Roman" w:cs="Times New Roman"/>
                <w:color w:val="auto"/>
                <w:lang w:val="ro-RO"/>
              </w:rPr>
              <w:t xml:space="preserve">Regulamentul (UE) 2021/241 al Parlamentului European și al Consiliului </w:t>
            </w:r>
            <w:r w:rsidRPr="00607AB7">
              <w:rPr>
                <w:rFonts w:ascii="Times New Roman" w:hAnsi="Times New Roman" w:cs="Times New Roman"/>
                <w:bCs/>
                <w:iCs/>
                <w:color w:val="auto"/>
                <w:lang w:val="ro-RO"/>
              </w:rPr>
              <w:t xml:space="preserve">din 12 februarie 2021 </w:t>
            </w:r>
            <w:r w:rsidRPr="00607AB7">
              <w:rPr>
                <w:rFonts w:ascii="Times New Roman" w:hAnsi="Times New Roman" w:cs="Times New Roman"/>
                <w:bCs/>
                <w:color w:val="auto"/>
                <w:lang w:val="ro-RO"/>
              </w:rPr>
              <w:t>de instituire a Mecanismului de redresare și reziliență,</w:t>
            </w:r>
            <w:r w:rsidRPr="00607AB7">
              <w:rPr>
                <w:rFonts w:ascii="Times New Roman" w:hAnsi="Times New Roman" w:cs="Times New Roman"/>
                <w:color w:val="auto"/>
                <w:lang w:val="ro-RO"/>
              </w:rPr>
              <w:t xml:space="preserve"> </w:t>
            </w:r>
            <w:r w:rsidR="00CE0CCC" w:rsidRPr="00CE0CCC">
              <w:rPr>
                <w:rFonts w:ascii="Times New Roman" w:hAnsi="Times New Roman" w:cs="Times New Roman"/>
                <w:color w:val="auto"/>
                <w:lang w:val="ro-RO"/>
              </w:rPr>
              <w:t>cu modificările și completările</w:t>
            </w:r>
            <w:r w:rsidR="00CE0CCC">
              <w:rPr>
                <w:rFonts w:ascii="Times New Roman" w:hAnsi="Times New Roman" w:cs="Times New Roman"/>
                <w:color w:val="auto"/>
                <w:lang w:val="ro-RO"/>
              </w:rPr>
              <w:t xml:space="preserve"> </w:t>
            </w:r>
            <w:r w:rsidR="00CE0CCC" w:rsidRPr="00CE0CCC">
              <w:rPr>
                <w:rFonts w:ascii="Times New Roman" w:hAnsi="Times New Roman" w:cs="Times New Roman"/>
                <w:color w:val="auto"/>
                <w:lang w:val="ro-RO"/>
              </w:rPr>
              <w:t>ulterioare</w:t>
            </w:r>
            <w:r w:rsidRPr="00607AB7">
              <w:rPr>
                <w:rFonts w:ascii="Times New Roman" w:hAnsi="Times New Roman" w:cs="Times New Roman"/>
                <w:bCs/>
                <w:color w:val="auto"/>
                <w:lang w:val="ro-RO"/>
              </w:rPr>
              <w:t>;</w:t>
            </w:r>
            <w:r w:rsidRPr="00607AB7">
              <w:rPr>
                <w:rStyle w:val="spar"/>
                <w:rFonts w:ascii="Times New Roman" w:hAnsi="Times New Roman" w:cs="Times New Roman"/>
                <w:color w:val="auto"/>
                <w:lang w:val="ro-RO"/>
              </w:rPr>
              <w:t xml:space="preserve"> </w:t>
            </w:r>
          </w:p>
          <w:p w14:paraId="1E55920F" w14:textId="4C0FD082" w:rsidR="00714DB1" w:rsidRPr="00607AB7" w:rsidRDefault="00714DB1" w:rsidP="00B23DB5">
            <w:pPr>
              <w:pStyle w:val="Default"/>
              <w:numPr>
                <w:ilvl w:val="0"/>
                <w:numId w:val="48"/>
              </w:numPr>
              <w:spacing w:line="276" w:lineRule="auto"/>
              <w:jc w:val="both"/>
              <w:rPr>
                <w:rStyle w:val="spar"/>
                <w:rFonts w:ascii="Times New Roman" w:hAnsi="Times New Roman" w:cs="Times New Roman"/>
                <w:color w:val="auto"/>
                <w:lang w:val="ro-RO"/>
              </w:rPr>
            </w:pPr>
            <w:r w:rsidRPr="00607AB7">
              <w:rPr>
                <w:rFonts w:ascii="Times New Roman" w:hAnsi="Times New Roman" w:cs="Times New Roman"/>
                <w:bCs/>
                <w:color w:val="auto"/>
                <w:lang w:val="ro-RO"/>
              </w:rPr>
              <w:t xml:space="preserve">Regulamentul (UE, Euratom) </w:t>
            </w:r>
            <w:r w:rsidR="00117B71">
              <w:rPr>
                <w:rFonts w:ascii="Times New Roman" w:hAnsi="Times New Roman" w:cs="Times New Roman"/>
                <w:bCs/>
                <w:color w:val="auto"/>
                <w:lang w:val="ro-RO"/>
              </w:rPr>
              <w:t>2024/2509</w:t>
            </w:r>
            <w:r w:rsidRPr="00607AB7">
              <w:rPr>
                <w:rFonts w:ascii="Times New Roman" w:hAnsi="Times New Roman" w:cs="Times New Roman"/>
                <w:bCs/>
                <w:color w:val="auto"/>
                <w:lang w:val="ro-RO"/>
              </w:rPr>
              <w:t xml:space="preserve"> </w:t>
            </w:r>
            <w:r w:rsidR="00117B71" w:rsidRPr="00117B71">
              <w:rPr>
                <w:rFonts w:ascii="Times New Roman" w:hAnsi="Times New Roman" w:cs="Times New Roman"/>
                <w:bCs/>
                <w:color w:val="auto"/>
                <w:lang w:val="ro-RO"/>
              </w:rPr>
              <w:t xml:space="preserve">al Parlamentului European și al Consiliului din 23 septembrie 2024 </w:t>
            </w:r>
            <w:r w:rsidRPr="00607AB7">
              <w:rPr>
                <w:rFonts w:ascii="Times New Roman" w:hAnsi="Times New Roman" w:cs="Times New Roman"/>
                <w:bCs/>
                <w:color w:val="auto"/>
                <w:lang w:val="ro-RO"/>
              </w:rPr>
              <w:t>privind normele financiare aplicabile bugetului general al Uniunii (reformare)</w:t>
            </w:r>
            <w:r w:rsidRPr="00C0312D">
              <w:rPr>
                <w:rFonts w:ascii="Times New Roman" w:hAnsi="Times New Roman" w:cs="Times New Roman"/>
                <w:bCs/>
                <w:color w:val="auto"/>
                <w:lang w:val="it-IT"/>
              </w:rPr>
              <w:t>;</w:t>
            </w:r>
          </w:p>
          <w:p w14:paraId="7323A18B" w14:textId="77777777" w:rsidR="001F32F5" w:rsidRPr="00607AB7" w:rsidRDefault="006700D8" w:rsidP="00714DB1">
            <w:pPr>
              <w:pStyle w:val="Default"/>
              <w:numPr>
                <w:ilvl w:val="0"/>
                <w:numId w:val="48"/>
              </w:numPr>
              <w:spacing w:line="276" w:lineRule="auto"/>
              <w:jc w:val="both"/>
              <w:rPr>
                <w:rStyle w:val="slitbdy"/>
                <w:rFonts w:ascii="Times New Roman" w:hAnsi="Times New Roman" w:cs="Times New Roman"/>
                <w:color w:val="auto"/>
                <w:lang w:val="ro-RO"/>
              </w:rPr>
            </w:pPr>
            <w:hyperlink r:id="rId8" w:anchor="A0" w:tgtFrame="_blank" w:history="1">
              <w:r w:rsidRPr="00607AB7">
                <w:rPr>
                  <w:rStyle w:val="Hyperlink"/>
                  <w:rFonts w:ascii="Times New Roman" w:hAnsi="Times New Roman" w:cs="Times New Roman"/>
                  <w:color w:val="auto"/>
                  <w:u w:val="none"/>
                  <w:lang w:val="ro-RO"/>
                </w:rPr>
                <w:t>Regulamentul (UE) 2020/2.094</w:t>
              </w:r>
            </w:hyperlink>
            <w:r w:rsidRPr="00607AB7">
              <w:rPr>
                <w:rStyle w:val="slitbdy"/>
                <w:rFonts w:ascii="Times New Roman" w:hAnsi="Times New Roman" w:cs="Times New Roman"/>
                <w:color w:val="auto"/>
                <w:lang w:val="ro-RO"/>
              </w:rPr>
              <w:t xml:space="preserve"> al Consiliului din 14 decembrie 2020 de instituire a unui instrument de redresare al Uniunii Europene pentru a sprijini redresarea în urma crizei provocate de COVID-19;</w:t>
            </w:r>
          </w:p>
          <w:p w14:paraId="690E16F9" w14:textId="77777777" w:rsidR="001F32F5" w:rsidRPr="00607AB7" w:rsidRDefault="006700D8" w:rsidP="00714DB1">
            <w:pPr>
              <w:pStyle w:val="Default"/>
              <w:numPr>
                <w:ilvl w:val="0"/>
                <w:numId w:val="48"/>
              </w:numPr>
              <w:spacing w:line="276" w:lineRule="auto"/>
              <w:jc w:val="both"/>
              <w:rPr>
                <w:rStyle w:val="slitbdy"/>
                <w:rFonts w:ascii="Times New Roman" w:hAnsi="Times New Roman" w:cs="Times New Roman"/>
                <w:color w:val="auto"/>
                <w:lang w:val="ro-RO"/>
              </w:rPr>
            </w:pPr>
            <w:hyperlink r:id="rId9" w:anchor="A0" w:tgtFrame="_blank" w:history="1">
              <w:r w:rsidRPr="00607AB7">
                <w:rPr>
                  <w:rStyle w:val="Hyperlink"/>
                  <w:rFonts w:ascii="Times New Roman" w:hAnsi="Times New Roman" w:cs="Times New Roman"/>
                  <w:color w:val="auto"/>
                  <w:u w:val="none"/>
                  <w:lang w:val="ro-RO"/>
                </w:rPr>
                <w:t>Regulamentul (UE) 2021/240</w:t>
              </w:r>
            </w:hyperlink>
            <w:r w:rsidRPr="00607AB7">
              <w:rPr>
                <w:rStyle w:val="slitbdy"/>
                <w:rFonts w:ascii="Times New Roman" w:hAnsi="Times New Roman" w:cs="Times New Roman"/>
                <w:color w:val="auto"/>
                <w:lang w:val="ro-RO"/>
              </w:rPr>
              <w:t xml:space="preserve"> al Parlamentului European şi al Consiliului din 10 februarie 2021 de instituire a un</w:t>
            </w:r>
            <w:r w:rsidR="00F50DF9" w:rsidRPr="00607AB7">
              <w:rPr>
                <w:rStyle w:val="slitbdy"/>
                <w:rFonts w:ascii="Times New Roman" w:hAnsi="Times New Roman" w:cs="Times New Roman"/>
                <w:color w:val="auto"/>
                <w:lang w:val="ro-RO"/>
              </w:rPr>
              <w:t>ui Instrument de sprijin tehnic;</w:t>
            </w:r>
          </w:p>
          <w:p w14:paraId="0FE96434" w14:textId="55FC5F24" w:rsidR="001F32F5" w:rsidRPr="00607AB7" w:rsidRDefault="00714DB1" w:rsidP="00714DB1">
            <w:pPr>
              <w:pStyle w:val="Default"/>
              <w:numPr>
                <w:ilvl w:val="0"/>
                <w:numId w:val="48"/>
              </w:numPr>
              <w:spacing w:line="276" w:lineRule="auto"/>
              <w:jc w:val="both"/>
              <w:rPr>
                <w:rFonts w:ascii="Times New Roman" w:hAnsi="Times New Roman" w:cs="Times New Roman"/>
                <w:color w:val="auto"/>
                <w:lang w:val="ro-RO"/>
              </w:rPr>
            </w:pPr>
            <w:r w:rsidRPr="00607AB7">
              <w:rPr>
                <w:rFonts w:ascii="Times New Roman" w:hAnsi="Times New Roman" w:cs="Times New Roman"/>
                <w:color w:val="auto"/>
                <w:shd w:val="clear" w:color="auto" w:fill="FFFFFF"/>
                <w:lang w:val="ro-RO"/>
              </w:rPr>
              <w:t xml:space="preserve">Decizia de punere în aplicare a Consiliului </w:t>
            </w:r>
            <w:r w:rsidR="00117B71" w:rsidRPr="00117B71">
              <w:rPr>
                <w:rFonts w:ascii="Times New Roman" w:hAnsi="Times New Roman" w:cs="Times New Roman"/>
                <w:color w:val="auto"/>
                <w:shd w:val="clear" w:color="auto" w:fill="FFFFFF"/>
                <w:lang w:val="ro-RO"/>
              </w:rPr>
              <w:t xml:space="preserve">din 5 decembrie 2023 </w:t>
            </w:r>
            <w:r w:rsidR="00117B71">
              <w:rPr>
                <w:rFonts w:ascii="Times New Roman" w:hAnsi="Times New Roman" w:cs="Times New Roman"/>
                <w:color w:val="auto"/>
                <w:shd w:val="clear" w:color="auto" w:fill="FFFFFF"/>
                <w:lang w:val="ro-RO"/>
              </w:rPr>
              <w:t xml:space="preserve">de </w:t>
            </w:r>
            <w:r w:rsidR="00117B71" w:rsidRPr="00117B71">
              <w:rPr>
                <w:rFonts w:ascii="Times New Roman" w:hAnsi="Times New Roman" w:cs="Times New Roman"/>
                <w:color w:val="auto"/>
                <w:shd w:val="clear" w:color="auto" w:fill="FFFFFF"/>
                <w:lang w:val="ro-RO"/>
              </w:rPr>
              <w:t xml:space="preserve">modificare a Deciziei de punere în aplicare din 29 octombrie 2021 de </w:t>
            </w:r>
            <w:r w:rsidRPr="00607AB7">
              <w:rPr>
                <w:rFonts w:ascii="Times New Roman" w:hAnsi="Times New Roman" w:cs="Times New Roman"/>
                <w:color w:val="auto"/>
                <w:shd w:val="clear" w:color="auto" w:fill="FFFFFF"/>
                <w:lang w:val="ro-RO"/>
              </w:rPr>
              <w:t>aprobare a evaluării planului de redresare și reziliență al României</w:t>
            </w:r>
            <w:r w:rsidR="00FF7D28" w:rsidRPr="00607AB7">
              <w:rPr>
                <w:rFonts w:ascii="Times New Roman" w:hAnsi="Times New Roman" w:cs="Times New Roman"/>
                <w:color w:val="auto"/>
                <w:lang w:val="ro-RO"/>
              </w:rPr>
              <w:t>;</w:t>
            </w:r>
            <w:r w:rsidR="00FF7D28" w:rsidRPr="00607AB7">
              <w:rPr>
                <w:rFonts w:ascii="Times New Roman" w:hAnsi="Times New Roman" w:cs="Times New Roman"/>
                <w:bCs/>
                <w:color w:val="auto"/>
                <w:lang w:val="ro-RO"/>
              </w:rPr>
              <w:t xml:space="preserve"> </w:t>
            </w:r>
          </w:p>
          <w:p w14:paraId="5F7A964A" w14:textId="77777777" w:rsidR="001F32F5" w:rsidRPr="00607AB7" w:rsidRDefault="001F32F5" w:rsidP="00714DB1">
            <w:pPr>
              <w:pStyle w:val="Default"/>
              <w:numPr>
                <w:ilvl w:val="0"/>
                <w:numId w:val="48"/>
              </w:numPr>
              <w:spacing w:line="276" w:lineRule="auto"/>
              <w:jc w:val="both"/>
              <w:rPr>
                <w:rFonts w:ascii="Times New Roman" w:hAnsi="Times New Roman" w:cs="Times New Roman"/>
                <w:color w:val="auto"/>
                <w:lang w:val="ro-RO"/>
              </w:rPr>
            </w:pPr>
            <w:r w:rsidRPr="00607AB7">
              <w:rPr>
                <w:rFonts w:ascii="Times New Roman" w:hAnsi="Times New Roman" w:cs="Times New Roman"/>
                <w:color w:val="auto"/>
                <w:lang w:val="ro-RO"/>
              </w:rPr>
              <w:t xml:space="preserve">Ordonanţa de urgență a Guvernului nr. 155/2020 privind unele măsuri pentru elaborarea </w:t>
            </w:r>
            <w:bookmarkStart w:id="0" w:name="_Hlk204762802"/>
            <w:r w:rsidRPr="00607AB7">
              <w:rPr>
                <w:rFonts w:ascii="Times New Roman" w:hAnsi="Times New Roman" w:cs="Times New Roman"/>
                <w:color w:val="auto"/>
                <w:lang w:val="ro-RO"/>
              </w:rPr>
              <w:t xml:space="preserve">Planului naţional de redresare şi rezilienţă </w:t>
            </w:r>
            <w:bookmarkEnd w:id="0"/>
            <w:r w:rsidRPr="00607AB7">
              <w:rPr>
                <w:rFonts w:ascii="Times New Roman" w:hAnsi="Times New Roman" w:cs="Times New Roman"/>
                <w:color w:val="auto"/>
                <w:lang w:val="ro-RO"/>
              </w:rPr>
              <w:t>necesar României pentru accesarea de fonduri externe rambursabile şi nerambursabile în cadrul Mecanismului de redresare şi rezilienţă aprobată prin Legea nr. 230/2021, cu modificările și completările ulterioare;</w:t>
            </w:r>
          </w:p>
          <w:p w14:paraId="167B1C87" w14:textId="44C80367" w:rsidR="0073203A" w:rsidRPr="00607AB7" w:rsidRDefault="0073203A" w:rsidP="00714DB1">
            <w:pPr>
              <w:pStyle w:val="Default"/>
              <w:numPr>
                <w:ilvl w:val="0"/>
                <w:numId w:val="48"/>
              </w:numPr>
              <w:spacing w:line="276" w:lineRule="auto"/>
              <w:jc w:val="both"/>
              <w:rPr>
                <w:rFonts w:ascii="Times New Roman" w:hAnsi="Times New Roman" w:cs="Times New Roman"/>
                <w:color w:val="auto"/>
                <w:lang w:val="ro-RO"/>
              </w:rPr>
            </w:pPr>
            <w:r w:rsidRPr="00607AB7">
              <w:rPr>
                <w:rFonts w:ascii="Times New Roman" w:eastAsia="Trebuchet MS" w:hAnsi="Times New Roman" w:cs="Times New Roman"/>
                <w:color w:val="auto"/>
                <w:lang w:val="pt-BR"/>
              </w:rPr>
              <w:t>Ordonanța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publicată în Monitorul Oficial al României, Partea I, nr. 1178 din 14 decembrie 2021, aprobată cu modificări și completări prin Legea nr. 178/2022,</w:t>
            </w:r>
            <w:r w:rsidRPr="00607AB7">
              <w:rPr>
                <w:color w:val="auto"/>
                <w:lang w:val="pt-BR"/>
              </w:rPr>
              <w:t xml:space="preserve"> </w:t>
            </w:r>
            <w:r w:rsidRPr="00607AB7">
              <w:rPr>
                <w:rFonts w:ascii="Times New Roman" w:eastAsia="Trebuchet MS" w:hAnsi="Times New Roman" w:cs="Times New Roman"/>
                <w:color w:val="auto"/>
                <w:lang w:val="pt-BR"/>
              </w:rPr>
              <w:t>cu modificările şi completările ulterioare;</w:t>
            </w:r>
          </w:p>
          <w:p w14:paraId="1DB016AE" w14:textId="77777777" w:rsidR="001F32F5" w:rsidRPr="00607AB7" w:rsidRDefault="001F32F5" w:rsidP="00714DB1">
            <w:pPr>
              <w:pStyle w:val="Default"/>
              <w:numPr>
                <w:ilvl w:val="0"/>
                <w:numId w:val="48"/>
              </w:numPr>
              <w:spacing w:line="276" w:lineRule="auto"/>
              <w:jc w:val="both"/>
              <w:rPr>
                <w:rFonts w:ascii="Times New Roman" w:hAnsi="Times New Roman" w:cs="Times New Roman"/>
                <w:color w:val="auto"/>
                <w:lang w:val="ro-RO"/>
              </w:rPr>
            </w:pPr>
            <w:r w:rsidRPr="00607AB7">
              <w:rPr>
                <w:rFonts w:ascii="Times New Roman" w:hAnsi="Times New Roman" w:cs="Times New Roman"/>
                <w:color w:val="auto"/>
                <w:lang w:val="ro-RO"/>
              </w:rPr>
              <w:t>Ordonanţa de urgență a Guvernului nr. 134/2021 pentru aprobarea Acordului de împrumut (Mecanismul de redresare și reziliență) dintre Comisia Europeană și România, semnat la București la 26 noiembrie 2021 și la Bruxelles la 15 decembrie 2021;</w:t>
            </w:r>
          </w:p>
          <w:p w14:paraId="2F9169E5" w14:textId="09EC6AE2" w:rsidR="001F32F5" w:rsidRDefault="001F32F5" w:rsidP="00714DB1">
            <w:pPr>
              <w:pStyle w:val="Default"/>
              <w:numPr>
                <w:ilvl w:val="0"/>
                <w:numId w:val="48"/>
              </w:numPr>
              <w:spacing w:line="276" w:lineRule="auto"/>
              <w:jc w:val="both"/>
              <w:rPr>
                <w:rStyle w:val="spar"/>
                <w:rFonts w:ascii="Times New Roman" w:hAnsi="Times New Roman" w:cs="Times New Roman"/>
                <w:color w:val="auto"/>
                <w:lang w:val="ro-RO"/>
              </w:rPr>
            </w:pPr>
            <w:r w:rsidRPr="00607AB7">
              <w:rPr>
                <w:rStyle w:val="spar"/>
                <w:rFonts w:ascii="Times New Roman" w:hAnsi="Times New Roman" w:cs="Times New Roman"/>
                <w:color w:val="auto"/>
                <w:lang w:val="ro-RO"/>
              </w:rPr>
              <w:lastRenderedPageBreak/>
              <w:t xml:space="preserve">Acordul privind contribuția financiară </w:t>
            </w:r>
            <w:r w:rsidRPr="00607AB7">
              <w:rPr>
                <w:rFonts w:ascii="Times New Roman" w:hAnsi="Times New Roman" w:cs="Times New Roman"/>
                <w:bCs/>
                <w:color w:val="auto"/>
                <w:lang w:val="ro-RO"/>
              </w:rPr>
              <w:t>din 25 noiembrie 2021, modificat prin</w:t>
            </w:r>
            <w:r w:rsidRPr="00607AB7">
              <w:rPr>
                <w:rStyle w:val="Heading1Char"/>
                <w:rFonts w:eastAsiaTheme="minorHAnsi"/>
                <w:color w:val="auto"/>
                <w:sz w:val="24"/>
              </w:rPr>
              <w:t xml:space="preserve"> </w:t>
            </w:r>
            <w:r w:rsidRPr="00607AB7">
              <w:rPr>
                <w:rStyle w:val="spar"/>
                <w:rFonts w:ascii="Times New Roman" w:hAnsi="Times New Roman" w:cs="Times New Roman"/>
                <w:color w:val="auto"/>
                <w:lang w:val="ro-RO"/>
              </w:rPr>
              <w:t>actul adițional la acordul privind contribuția financiară din data de 20 decembrie 2023 şi Acordul de împrumut, încheiate în cadrul Mecanismului de redresare şi rezilienţă pentru finanţarea Planului naţional de redresare şi rezilienţă</w:t>
            </w:r>
            <w:r w:rsidR="00B23DB5" w:rsidRPr="00607AB7">
              <w:rPr>
                <w:rStyle w:val="spar"/>
                <w:rFonts w:ascii="Times New Roman" w:hAnsi="Times New Roman" w:cs="Times New Roman"/>
                <w:color w:val="auto"/>
                <w:lang w:val="ro-RO"/>
              </w:rPr>
              <w:t>;</w:t>
            </w:r>
          </w:p>
          <w:p w14:paraId="59C78A3D" w14:textId="1CA97F42" w:rsidR="00891451" w:rsidRDefault="00891451" w:rsidP="00891451">
            <w:pPr>
              <w:pStyle w:val="Default"/>
              <w:numPr>
                <w:ilvl w:val="0"/>
                <w:numId w:val="48"/>
              </w:numPr>
              <w:spacing w:line="276" w:lineRule="auto"/>
              <w:jc w:val="both"/>
              <w:rPr>
                <w:rFonts w:ascii="Times New Roman" w:hAnsi="Times New Roman" w:cs="Times New Roman"/>
                <w:color w:val="auto"/>
                <w:lang w:val="ro-RO"/>
              </w:rPr>
            </w:pPr>
            <w:r w:rsidRPr="00607AB7">
              <w:rPr>
                <w:rFonts w:ascii="Times New Roman" w:hAnsi="Times New Roman" w:cs="Times New Roman"/>
                <w:color w:val="auto"/>
                <w:lang w:val="ro-RO"/>
              </w:rPr>
              <w:t xml:space="preserve">Ordonanţa de urgență a Guvernului nr. </w:t>
            </w:r>
            <w:r>
              <w:rPr>
                <w:rFonts w:ascii="Times New Roman" w:hAnsi="Times New Roman" w:cs="Times New Roman"/>
                <w:color w:val="auto"/>
                <w:lang w:val="ro-RO"/>
              </w:rPr>
              <w:t>133/2021</w:t>
            </w:r>
            <w:r w:rsidRPr="00607AB7">
              <w:rPr>
                <w:rFonts w:ascii="Times New Roman" w:hAnsi="Times New Roman" w:cs="Times New Roman"/>
                <w:color w:val="auto"/>
                <w:lang w:val="ro-RO"/>
              </w:rPr>
              <w:t xml:space="preserve"> </w:t>
            </w:r>
            <w:r w:rsidRPr="00891451">
              <w:rPr>
                <w:rFonts w:ascii="Times New Roman" w:hAnsi="Times New Roman" w:cs="Times New Roman"/>
                <w:color w:val="auto"/>
                <w:lang w:val="ro-RO"/>
              </w:rPr>
              <w:t>privind gestionarea financiară a fondurilor europene pentru perioada de programare 2021-2027 alocate României din Fondul european de dezvoltare regională, Fondul de coeziune, Fondul social european Plus, Fondul pentru o tranziție justă</w:t>
            </w:r>
            <w:r w:rsidR="001E2464">
              <w:rPr>
                <w:rFonts w:ascii="Times New Roman" w:hAnsi="Times New Roman" w:cs="Times New Roman"/>
                <w:color w:val="auto"/>
                <w:lang w:val="ro-RO"/>
              </w:rPr>
              <w:t>,</w:t>
            </w:r>
            <w:r w:rsidR="00E928BA" w:rsidRPr="009E3F78">
              <w:rPr>
                <w:lang w:val="pt-BR"/>
              </w:rPr>
              <w:t xml:space="preserve"> </w:t>
            </w:r>
            <w:r w:rsidR="00E928BA" w:rsidRPr="00E928BA">
              <w:rPr>
                <w:rFonts w:ascii="Times New Roman" w:hAnsi="Times New Roman" w:cs="Times New Roman"/>
                <w:color w:val="auto"/>
                <w:lang w:val="ro-RO"/>
              </w:rPr>
              <w:t>aprobată cu modificări prin Legea nr. 231/2023,</w:t>
            </w:r>
            <w:r w:rsidR="001E2464">
              <w:rPr>
                <w:rFonts w:ascii="Times New Roman" w:hAnsi="Times New Roman" w:cs="Times New Roman"/>
                <w:color w:val="auto"/>
                <w:lang w:val="ro-RO"/>
              </w:rPr>
              <w:t xml:space="preserve"> cu modificările și completările ulterioare</w:t>
            </w:r>
            <w:r w:rsidRPr="00607AB7">
              <w:rPr>
                <w:rFonts w:ascii="Times New Roman" w:hAnsi="Times New Roman" w:cs="Times New Roman"/>
                <w:color w:val="auto"/>
                <w:lang w:val="ro-RO"/>
              </w:rPr>
              <w:t>;</w:t>
            </w:r>
          </w:p>
          <w:p w14:paraId="25426995" w14:textId="77777777" w:rsidR="00117B71" w:rsidRPr="00117B71" w:rsidRDefault="00117B71" w:rsidP="009E3F78">
            <w:pPr>
              <w:pStyle w:val="ListParagraph"/>
              <w:numPr>
                <w:ilvl w:val="0"/>
                <w:numId w:val="48"/>
              </w:numPr>
              <w:spacing w:line="276" w:lineRule="auto"/>
              <w:jc w:val="both"/>
              <w:rPr>
                <w:rFonts w:ascii="Times New Roman" w:hAnsi="Times New Roman" w:cs="Times New Roman"/>
              </w:rPr>
            </w:pPr>
            <w:r w:rsidRPr="00117B71">
              <w:rPr>
                <w:rFonts w:ascii="Times New Roman" w:hAnsi="Times New Roman" w:cs="Times New Roman"/>
              </w:rPr>
              <w:t>Hotărârea Guvernului nr. 1235/2022 privind aprobarea distribuţiei bugetului aferent reformelor şi investiţiilor finanţate prin Planul naţional de redresare şi rezilienţă al României pentru fiecare coordonator de reformă şi/sau investiţii, cu modificările ulterioare;</w:t>
            </w:r>
          </w:p>
          <w:p w14:paraId="537C9906" w14:textId="4DDAD5FF" w:rsidR="001F32F5" w:rsidRPr="00607AB7" w:rsidRDefault="001F32F5" w:rsidP="00714DB1">
            <w:pPr>
              <w:pStyle w:val="Default"/>
              <w:numPr>
                <w:ilvl w:val="0"/>
                <w:numId w:val="48"/>
              </w:numPr>
              <w:spacing w:line="276" w:lineRule="auto"/>
              <w:jc w:val="both"/>
              <w:rPr>
                <w:rFonts w:ascii="Times New Roman" w:hAnsi="Times New Roman" w:cs="Times New Roman"/>
                <w:color w:val="auto"/>
                <w:lang w:val="ro-RO"/>
              </w:rPr>
            </w:pPr>
            <w:r w:rsidRPr="00607AB7">
              <w:rPr>
                <w:rFonts w:ascii="Times New Roman" w:hAnsi="Times New Roman" w:cs="Times New Roman"/>
                <w:color w:val="auto"/>
                <w:lang w:val="ro-RO"/>
              </w:rPr>
              <w:t xml:space="preserve">Hotărârea Parlamentului nr. </w:t>
            </w:r>
            <w:r w:rsidR="00D47985" w:rsidRPr="00607AB7">
              <w:rPr>
                <w:rFonts w:ascii="Times New Roman" w:hAnsi="Times New Roman" w:cs="Times New Roman"/>
                <w:color w:val="auto"/>
                <w:lang w:val="ro-RO"/>
              </w:rPr>
              <w:t>25</w:t>
            </w:r>
            <w:r w:rsidRPr="00607AB7">
              <w:rPr>
                <w:rFonts w:ascii="Times New Roman" w:hAnsi="Times New Roman" w:cs="Times New Roman"/>
                <w:color w:val="auto"/>
                <w:lang w:val="ro-RO"/>
              </w:rPr>
              <w:t>/</w:t>
            </w:r>
            <w:r w:rsidR="00D47985" w:rsidRPr="00607AB7">
              <w:rPr>
                <w:rFonts w:ascii="Times New Roman" w:hAnsi="Times New Roman" w:cs="Times New Roman"/>
                <w:color w:val="auto"/>
                <w:lang w:val="ro-RO"/>
              </w:rPr>
              <w:t xml:space="preserve">2025 </w:t>
            </w:r>
            <w:r w:rsidRPr="00607AB7">
              <w:rPr>
                <w:rFonts w:ascii="Times New Roman" w:hAnsi="Times New Roman" w:cs="Times New Roman"/>
                <w:color w:val="auto"/>
                <w:lang w:val="ro-RO"/>
              </w:rPr>
              <w:t>pentru acordarea încrederii Guvernului</w:t>
            </w:r>
            <w:r w:rsidR="00034CD8">
              <w:rPr>
                <w:rFonts w:ascii="Times New Roman" w:hAnsi="Times New Roman" w:cs="Times New Roman"/>
                <w:color w:val="auto"/>
                <w:lang w:val="ro-RO"/>
              </w:rPr>
              <w:t>.</w:t>
            </w:r>
          </w:p>
          <w:p w14:paraId="5799D11F" w14:textId="77777777" w:rsidR="001F32F5" w:rsidRPr="00607AB7" w:rsidRDefault="001F32F5" w:rsidP="0064057C">
            <w:pPr>
              <w:autoSpaceDE w:val="0"/>
              <w:autoSpaceDN w:val="0"/>
              <w:adjustRightInd w:val="0"/>
              <w:spacing w:line="276" w:lineRule="auto"/>
              <w:jc w:val="both"/>
              <w:rPr>
                <w:b/>
                <w:lang w:eastAsia="ro-RO"/>
              </w:rPr>
            </w:pPr>
          </w:p>
          <w:p w14:paraId="777690A7" w14:textId="3B23C55C" w:rsidR="00223491" w:rsidRPr="00607AB7" w:rsidRDefault="00223491" w:rsidP="0064057C">
            <w:pPr>
              <w:autoSpaceDE w:val="0"/>
              <w:autoSpaceDN w:val="0"/>
              <w:adjustRightInd w:val="0"/>
              <w:spacing w:line="276" w:lineRule="auto"/>
              <w:jc w:val="both"/>
              <w:rPr>
                <w:b/>
                <w:lang w:eastAsia="ro-RO"/>
              </w:rPr>
            </w:pPr>
            <w:r w:rsidRPr="00607AB7">
              <w:rPr>
                <w:b/>
                <w:lang w:eastAsia="ro-RO"/>
              </w:rPr>
              <w:t>2.2 Descrierea situației actuale</w:t>
            </w:r>
          </w:p>
          <w:p w14:paraId="0B03ADD0" w14:textId="77777777" w:rsidR="005D1889" w:rsidRPr="00607AB7" w:rsidRDefault="005D1889" w:rsidP="0064057C">
            <w:pPr>
              <w:spacing w:line="276" w:lineRule="auto"/>
              <w:jc w:val="both"/>
            </w:pPr>
            <w:r w:rsidRPr="00607AB7">
              <w:t xml:space="preserve">Planul național de redresare și reziliență al României (PNRR) reprezintă documentul strategic al României care fundamentează prioritățile de reformă și domeniile de investiții pentru aplicarea Mecanismului de redresare și reziliență - MRR la nivel național. Sursa de finanțare este reprezentată de fondurile alocate pentru România în cadrul Mecanismului de redresare și reziliență, aprobat prin Regulamentul (UE) nr. 2021/241 al Parlamentului European și al Consiliului </w:t>
            </w:r>
            <w:r w:rsidRPr="00607AB7">
              <w:rPr>
                <w:bCs/>
                <w:iCs/>
              </w:rPr>
              <w:t xml:space="preserve">din 12 februarie 2021 </w:t>
            </w:r>
            <w:r w:rsidRPr="00607AB7">
              <w:rPr>
                <w:bCs/>
              </w:rPr>
              <w:t>de instituire a Mecanismului de redresare și reziliență</w:t>
            </w:r>
            <w:r w:rsidRPr="00607AB7">
              <w:t>. Scopul final al PNRR este să accelereze implementarea reformelor sustenabile și a investițiilor publice conexe, respectiv asigurarea ameliorării stării economiei naționale după criza generată de COVID-19, creșterea economică și crearea de locuri de muncă necesare pentru incluziunea forței de muncă, sprijinirea tranziției verzi și a celei digitale pentru promovarea creșterii durabile.</w:t>
            </w:r>
          </w:p>
          <w:p w14:paraId="272FAC20" w14:textId="77777777" w:rsidR="005D1889" w:rsidRPr="00607AB7" w:rsidRDefault="005D1889" w:rsidP="0064057C">
            <w:pPr>
              <w:spacing w:line="276" w:lineRule="auto"/>
              <w:jc w:val="both"/>
            </w:pPr>
          </w:p>
          <w:p w14:paraId="25CB6BCE" w14:textId="2F254FB6" w:rsidR="005D1889" w:rsidRPr="00607AB7" w:rsidRDefault="005D1889" w:rsidP="0064057C">
            <w:pPr>
              <w:spacing w:line="276" w:lineRule="auto"/>
              <w:jc w:val="both"/>
            </w:pPr>
            <w:r w:rsidRPr="00607AB7">
              <w:rPr>
                <w:bCs/>
              </w:rPr>
              <w:t xml:space="preserve">Planul reprezintă, în mare măsură, un răspuns cuprinzător și echilibrat la situația economică și socială și contribuie în mod corespunzător la toți cei șase piloni menționați la art. 3 din </w:t>
            </w:r>
            <w:r w:rsidRPr="00607AB7">
              <w:rPr>
                <w:bCs/>
                <w:iCs/>
              </w:rPr>
              <w:t>Regulamentul (UE) 2021/241 al Parlamentului European și al Consiliului din 12 februarie 2021 de instituire a Mecanismului de redresare și reziliență</w:t>
            </w:r>
            <w:r w:rsidRPr="00607AB7">
              <w:rPr>
                <w:bCs/>
              </w:rPr>
              <w:t>.</w:t>
            </w:r>
            <w:r w:rsidRPr="00607AB7">
              <w:rPr>
                <w:b/>
                <w:bCs/>
              </w:rPr>
              <w:t xml:space="preserve"> </w:t>
            </w:r>
            <w:r w:rsidRPr="00607AB7">
              <w:t xml:space="preserve">Planul urmează o abordare holistică pentru a realiza redresarea și a spori potențialul de creștere, consolidând în același timp reziliența socioeconomică și instituțională. Planul explică în detaliu modul în care abordează cei șase piloni. Se preconizează că planul va contribui la abordarea principalelor provocări structurale, precum și la tranziția verde și la tranziția digitală. </w:t>
            </w:r>
          </w:p>
          <w:p w14:paraId="456FD2BB" w14:textId="6DF43310" w:rsidR="00F92799" w:rsidRPr="00607AB7" w:rsidRDefault="00F92799" w:rsidP="0064057C">
            <w:pPr>
              <w:spacing w:line="276" w:lineRule="auto"/>
              <w:jc w:val="both"/>
            </w:pPr>
          </w:p>
          <w:p w14:paraId="6B7E7933" w14:textId="5F508362" w:rsidR="00C905DC" w:rsidRPr="00607AB7" w:rsidRDefault="00A940A2" w:rsidP="00887FA7">
            <w:pPr>
              <w:spacing w:line="276" w:lineRule="auto"/>
              <w:jc w:val="both"/>
              <w:rPr>
                <w:bCs/>
              </w:rPr>
            </w:pPr>
            <w:r w:rsidRPr="00607AB7">
              <w:rPr>
                <w:bCs/>
              </w:rPr>
              <w:t xml:space="preserve">Prin </w:t>
            </w:r>
            <w:r w:rsidR="0005198C" w:rsidRPr="00607AB7">
              <w:rPr>
                <w:bCs/>
              </w:rPr>
              <w:t xml:space="preserve">Decizia de punere în aplicare a Consiliului din data de </w:t>
            </w:r>
            <w:r w:rsidR="00E928BA">
              <w:rPr>
                <w:bCs/>
              </w:rPr>
              <w:t>5</w:t>
            </w:r>
            <w:r w:rsidR="00E928BA" w:rsidRPr="00607AB7">
              <w:rPr>
                <w:bCs/>
              </w:rPr>
              <w:t xml:space="preserve"> </w:t>
            </w:r>
            <w:r w:rsidR="0005198C" w:rsidRPr="00607AB7">
              <w:rPr>
                <w:bCs/>
              </w:rPr>
              <w:t>decembrie 2023 de modificare a D</w:t>
            </w:r>
            <w:r w:rsidR="00F50DF9" w:rsidRPr="00607AB7">
              <w:rPr>
                <w:bCs/>
              </w:rPr>
              <w:t>eciziei</w:t>
            </w:r>
            <w:r w:rsidR="0005198C" w:rsidRPr="00607AB7">
              <w:rPr>
                <w:bCs/>
              </w:rPr>
              <w:t xml:space="preserve"> de punere în aplicare din data de </w:t>
            </w:r>
            <w:r w:rsidR="0014634D" w:rsidRPr="00607AB7">
              <w:rPr>
                <w:bCs/>
              </w:rPr>
              <w:t>3 noiembrie 2021</w:t>
            </w:r>
            <w:r w:rsidR="0005198C" w:rsidRPr="00607AB7">
              <w:rPr>
                <w:bCs/>
              </w:rPr>
              <w:t xml:space="preserve"> de aprobare a evaluării planului de redresare și reziliență al României </w:t>
            </w:r>
            <w:r w:rsidR="00C07EC3" w:rsidRPr="00607AB7">
              <w:rPr>
                <w:bCs/>
              </w:rPr>
              <w:t>a fost introdus</w:t>
            </w:r>
            <w:r w:rsidR="00F8137F" w:rsidRPr="00607AB7">
              <w:rPr>
                <w:bCs/>
              </w:rPr>
              <w:t xml:space="preserve"> și noul capitol REPowerEU</w:t>
            </w:r>
            <w:r w:rsidR="00887FA7" w:rsidRPr="00607AB7">
              <w:rPr>
                <w:bCs/>
              </w:rPr>
              <w:t>. Scopul acestui capitol este de a contribui la reducerea dependenței de combustibili fosili în Rom</w:t>
            </w:r>
            <w:r w:rsidR="00F50DF9" w:rsidRPr="00607AB7">
              <w:rPr>
                <w:bCs/>
              </w:rPr>
              <w:t>â</w:t>
            </w:r>
            <w:r w:rsidR="00887FA7" w:rsidRPr="00607AB7">
              <w:rPr>
                <w:bCs/>
              </w:rPr>
              <w:t xml:space="preserve">nia, prin </w:t>
            </w:r>
            <w:r w:rsidR="00505370" w:rsidRPr="00607AB7">
              <w:rPr>
                <w:bCs/>
              </w:rPr>
              <w:t>sprijinirea</w:t>
            </w:r>
            <w:r w:rsidR="00887FA7" w:rsidRPr="00607AB7">
              <w:rPr>
                <w:bCs/>
              </w:rPr>
              <w:t xml:space="preserve"> implementării surselor de </w:t>
            </w:r>
            <w:r w:rsidR="00505370" w:rsidRPr="00607AB7">
              <w:rPr>
                <w:bCs/>
              </w:rPr>
              <w:t>energie</w:t>
            </w:r>
            <w:r w:rsidR="00887FA7" w:rsidRPr="00607AB7">
              <w:rPr>
                <w:bCs/>
              </w:rPr>
              <w:t xml:space="preserve"> regenerabilă și a renovărilor de eficiență energetică care vizează cei mai vulnerabili consumatori și creșterea capacității rețelei de transport a energiei electrice de a integra surse regenerabile de energie.</w:t>
            </w:r>
            <w:r w:rsidR="00C17E5F" w:rsidRPr="00607AB7">
              <w:rPr>
                <w:bCs/>
              </w:rPr>
              <w:t xml:space="preserve"> </w:t>
            </w:r>
          </w:p>
          <w:p w14:paraId="7EB02E6A" w14:textId="77777777" w:rsidR="00AC1ADA" w:rsidRPr="00607AB7" w:rsidRDefault="00C17E5F" w:rsidP="00AC1ADA">
            <w:pPr>
              <w:spacing w:line="276" w:lineRule="auto"/>
              <w:jc w:val="both"/>
              <w:rPr>
                <w:bCs/>
              </w:rPr>
            </w:pPr>
            <w:r w:rsidRPr="00607AB7">
              <w:rPr>
                <w:bCs/>
              </w:rPr>
              <w:t>Suma aferentă implementării PNRR revizuit este de 28,5 mld. euro.</w:t>
            </w:r>
            <w:r w:rsidR="009D53EC" w:rsidRPr="00607AB7">
              <w:rPr>
                <w:bCs/>
              </w:rPr>
              <w:t xml:space="preserve"> </w:t>
            </w:r>
          </w:p>
          <w:p w14:paraId="1B0649A9" w14:textId="77777777" w:rsidR="00AC1ADA" w:rsidRPr="00607AB7" w:rsidRDefault="00AC1ADA" w:rsidP="00AC1ADA">
            <w:pPr>
              <w:spacing w:line="276" w:lineRule="auto"/>
              <w:jc w:val="both"/>
              <w:rPr>
                <w:rStyle w:val="spar"/>
                <w:bCs/>
              </w:rPr>
            </w:pPr>
          </w:p>
          <w:p w14:paraId="1919F6AD" w14:textId="148E3500" w:rsidR="00AC1ADA" w:rsidRDefault="00AC1ADA" w:rsidP="00AC1ADA">
            <w:pPr>
              <w:spacing w:line="276" w:lineRule="auto"/>
              <w:jc w:val="both"/>
              <w:rPr>
                <w:rStyle w:val="spar"/>
                <w:bCs/>
              </w:rPr>
            </w:pPr>
            <w:r w:rsidRPr="00607AB7">
              <w:rPr>
                <w:rStyle w:val="spar"/>
                <w:bCs/>
              </w:rPr>
              <w:t>R</w:t>
            </w:r>
            <w:r w:rsidRPr="00607AB7">
              <w:rPr>
                <w:rStyle w:val="spar"/>
              </w:rPr>
              <w:t xml:space="preserve">omânia și-a asumat </w:t>
            </w:r>
            <w:r w:rsidRPr="00607AB7">
              <w:rPr>
                <w:rStyle w:val="spar"/>
                <w:bCs/>
              </w:rPr>
              <w:t xml:space="preserve"> îndeplinirea a 518 jaloane şi ţinte asociate investiţiilor - cheie şi reformelor majore aferente celor şase piloni principali stabiliţi prin </w:t>
            </w:r>
            <w:hyperlink r:id="rId10" w:anchor="A0" w:tgtFrame="_blank" w:history="1">
              <w:r w:rsidRPr="00607AB7">
                <w:rPr>
                  <w:rStyle w:val="Hyperlink"/>
                  <w:bCs/>
                  <w:color w:val="auto"/>
                  <w:u w:val="none"/>
                </w:rPr>
                <w:t>Regulamentul (UE) 2021/241</w:t>
              </w:r>
            </w:hyperlink>
            <w:r w:rsidRPr="00607AB7">
              <w:t xml:space="preserve">, cu modificările și completările ulterioare, </w:t>
            </w:r>
            <w:r w:rsidR="00C46976" w:rsidRPr="00607AB7">
              <w:t>conform</w:t>
            </w:r>
            <w:r w:rsidRPr="00607AB7">
              <w:rPr>
                <w:rStyle w:val="spar"/>
                <w:bCs/>
              </w:rPr>
              <w:t xml:space="preserve"> </w:t>
            </w:r>
            <w:r w:rsidRPr="00607AB7">
              <w:rPr>
                <w:bCs/>
              </w:rPr>
              <w:t>calendarul</w:t>
            </w:r>
            <w:r w:rsidR="00C46976" w:rsidRPr="00607AB7">
              <w:rPr>
                <w:bCs/>
              </w:rPr>
              <w:t>ui</w:t>
            </w:r>
            <w:r w:rsidRPr="00607AB7">
              <w:rPr>
                <w:bCs/>
              </w:rPr>
              <w:t xml:space="preserve"> asumat pentru atingerea jaloanelor şi ţintelor din cadrul </w:t>
            </w:r>
            <w:r w:rsidRPr="00607AB7">
              <w:rPr>
                <w:bCs/>
              </w:rPr>
              <w:lastRenderedPageBreak/>
              <w:t xml:space="preserve">Planului naţional de redresare şi rezilienţă al României, precum şi </w:t>
            </w:r>
            <w:r w:rsidR="00C46976" w:rsidRPr="00607AB7">
              <w:rPr>
                <w:bCs/>
              </w:rPr>
              <w:t xml:space="preserve">în baza </w:t>
            </w:r>
            <w:r w:rsidRPr="00607AB7">
              <w:rPr>
                <w:bCs/>
              </w:rPr>
              <w:t>angajamentel</w:t>
            </w:r>
            <w:r w:rsidR="00C46976" w:rsidRPr="00607AB7">
              <w:rPr>
                <w:bCs/>
              </w:rPr>
              <w:t>or</w:t>
            </w:r>
            <w:r w:rsidRPr="00607AB7">
              <w:rPr>
                <w:bCs/>
              </w:rPr>
              <w:t xml:space="preserve"> asumate </w:t>
            </w:r>
            <w:r w:rsidR="00C46976" w:rsidRPr="00607AB7">
              <w:rPr>
                <w:bCs/>
              </w:rPr>
              <w:t xml:space="preserve">până la data de </w:t>
            </w:r>
            <w:r w:rsidRPr="00607AB7">
              <w:rPr>
                <w:rStyle w:val="spar"/>
                <w:bCs/>
              </w:rPr>
              <w:t>31 august 2026/31 decembrie 2026 pentru implementarea măsurilor din noul capitolul REPowerEU</w:t>
            </w:r>
            <w:r w:rsidR="00C46976" w:rsidRPr="00607AB7">
              <w:rPr>
                <w:rStyle w:val="spar"/>
                <w:bCs/>
              </w:rPr>
              <w:t>.</w:t>
            </w:r>
          </w:p>
          <w:p w14:paraId="531A6B7A" w14:textId="71DE51CD" w:rsidR="00C0312D" w:rsidRDefault="00C0312D" w:rsidP="00AC1ADA">
            <w:pPr>
              <w:spacing w:line="276" w:lineRule="auto"/>
              <w:jc w:val="both"/>
              <w:rPr>
                <w:rStyle w:val="spar"/>
              </w:rPr>
            </w:pPr>
            <w:r>
              <w:rPr>
                <w:rStyle w:val="spar"/>
              </w:rPr>
              <w:t xml:space="preserve">În prezent România se află în proces de renegociere al PNRR, proces ce are drept scop securizarea componentei de asistență financiară nerambursabilă în valoare de 13,6 miliarde de euro prin menținerea investițiilor cu risc redus de neimplementare până la 31 august 2026 precum și ajustarea componentei de împrumut astfel încât aceasta să se încadreze în spațiul fiscal-bugetar asumat.  </w:t>
            </w:r>
          </w:p>
          <w:p w14:paraId="78F51B8E" w14:textId="77777777" w:rsidR="008B466B" w:rsidRDefault="008B466B" w:rsidP="00AC1ADA">
            <w:pPr>
              <w:spacing w:line="276" w:lineRule="auto"/>
              <w:jc w:val="both"/>
              <w:rPr>
                <w:rStyle w:val="spar"/>
              </w:rPr>
            </w:pPr>
          </w:p>
          <w:p w14:paraId="6B3DA5B0" w14:textId="2ECD2816" w:rsidR="008B466B" w:rsidRPr="008B466B" w:rsidRDefault="008B466B" w:rsidP="00FF7B52">
            <w:pPr>
              <w:spacing w:line="276" w:lineRule="auto"/>
              <w:jc w:val="both"/>
              <w:rPr>
                <w:rStyle w:val="spar"/>
              </w:rPr>
            </w:pPr>
            <w:r w:rsidRPr="008B466B">
              <w:rPr>
                <w:rStyle w:val="spar"/>
              </w:rPr>
              <w:t>În vederea asigurării premiselor pentru atingerea țintei de absorbție de 100%,</w:t>
            </w:r>
            <w:r w:rsidR="00FF7B52">
              <w:rPr>
                <w:rStyle w:val="spar"/>
              </w:rPr>
              <w:t xml:space="preserve"> prin</w:t>
            </w:r>
            <w:r w:rsidR="00E928BA">
              <w:rPr>
                <w:rStyle w:val="spar"/>
              </w:rPr>
              <w:t xml:space="preserve"> Ordonanța</w:t>
            </w:r>
            <w:r w:rsidR="00FF7B52">
              <w:rPr>
                <w:rStyle w:val="spar"/>
              </w:rPr>
              <w:t xml:space="preserve"> </w:t>
            </w:r>
            <w:r w:rsidR="00E928BA" w:rsidRPr="00E928BA">
              <w:t>de urgență a Guvernului nr. 133/2021, aprobată cu modificări prin Legea nr. 231/2023</w:t>
            </w:r>
            <w:r w:rsidR="00FF7B52">
              <w:rPr>
                <w:rStyle w:val="spar"/>
              </w:rPr>
              <w:t xml:space="preserve">, cu modificările și completările ulterioare, s-au reglementat condițiile </w:t>
            </w:r>
            <w:r w:rsidRPr="008B466B">
              <w:rPr>
                <w:rStyle w:val="spar"/>
              </w:rPr>
              <w:t>în care autoritățile de management sunt autorizate să încheie/să emită contracte/decizii/ordine de finanţare a căror valoare poate determina depăşirea sumelor alocate în euro, la nivel de program din Fondul European de Dezvoltare Regională, Fondul de Coeziune, Fondul Social European Plus, Fondul pentru o Tranziție Justă, şi cofinanţare de la bugetul de stat</w:t>
            </w:r>
            <w:r w:rsidR="00FF7B52">
              <w:rPr>
                <w:rStyle w:val="spar"/>
              </w:rPr>
              <w:t xml:space="preserve">, fiind luate în considerare considerente care au vizat </w:t>
            </w:r>
            <w:r w:rsidRPr="008B466B">
              <w:rPr>
                <w:rStyle w:val="spar"/>
              </w:rPr>
              <w:t>evitarea înregistrării unor blocaje sau întârzieri în derularea operațiunilor, precum și evitarea riscului de dezangajare, astfel încât la finalul perioadei de eligibilitate, Romania să utilizeze în întregime fondurile alocate prin programele</w:t>
            </w:r>
            <w:r w:rsidR="008274E4">
              <w:rPr>
                <w:rStyle w:val="spar"/>
              </w:rPr>
              <w:t xml:space="preserve"> subsecvente politicii de coeziune. </w:t>
            </w:r>
          </w:p>
          <w:p w14:paraId="555AE8A5" w14:textId="77777777" w:rsidR="00161D25" w:rsidRPr="00161D25" w:rsidRDefault="00161D25" w:rsidP="00161D25">
            <w:pPr>
              <w:spacing w:line="276" w:lineRule="auto"/>
              <w:jc w:val="both"/>
            </w:pPr>
            <w:r w:rsidRPr="00161D25">
              <w:t>Având în vedere prevederile Regulamentului (UE) 2021/241 al Parlamentului European şi al Consiliului din 12 februarie 2021 de instituire a Mecanismului de redresare şi rezilienţă, cu modificările și completările ulterioare,</w:t>
            </w:r>
          </w:p>
          <w:p w14:paraId="1B9BE5E6" w14:textId="77777777" w:rsidR="00161D25" w:rsidRPr="00161D25" w:rsidRDefault="00161D25" w:rsidP="00161D25">
            <w:pPr>
              <w:spacing w:line="276" w:lineRule="auto"/>
              <w:jc w:val="both"/>
            </w:pPr>
            <w:r w:rsidRPr="00161D25">
              <w:t>Ținând cont de Decizia de punere în aplicare a Consiliului din 5 decembrie 2023 de modificare a Deciziei de punere în aplicare din 29 octombrie 2021 de aprobare a evaluării planului de redresare şi rezilienţă al României,</w:t>
            </w:r>
          </w:p>
          <w:p w14:paraId="46CF7355" w14:textId="77777777" w:rsidR="00161D25" w:rsidRPr="00161D25" w:rsidRDefault="00161D25" w:rsidP="00161D25">
            <w:pPr>
              <w:spacing w:line="276" w:lineRule="auto"/>
              <w:jc w:val="both"/>
            </w:pPr>
            <w:r w:rsidRPr="00161D25">
              <w:t>Având în vedere că Planul naţional de redresare şi rezilienţă este supus unor reguli de evaluare de către Comisia Europeană care includ: concordanţa planului naţional cu recomandările specifice de ţară din cadrul Semestrului european, contribuţia măsurilor, respectiv a intervenţiilor la tranziţia verde şi digitală, impactul economic şi social asupra statului membru, potenţialul de creştere economică şi crearea de locuri de muncă, rezonabilitatea costurilor şi a bugetului, guvernanţa internă a planului naţional, iar ulterior planul naţional este implementat prin intermediul proiectelor, proces care presupune elaborarea în paralel a documentaţiilor tehnico-economice necesare implementării acestora,</w:t>
            </w:r>
          </w:p>
          <w:p w14:paraId="1F88685C" w14:textId="0F879389" w:rsidR="00161D25" w:rsidRPr="00161D25" w:rsidRDefault="00161D25" w:rsidP="00161D25">
            <w:pPr>
              <w:spacing w:line="276" w:lineRule="auto"/>
              <w:jc w:val="both"/>
            </w:pPr>
            <w:r w:rsidRPr="00161D25">
              <w:t>Luând în considerare orizontul de timp determinat, respectiv 31 august 2026, dată până la care a fost asumată îndeplinirea a 5</w:t>
            </w:r>
            <w:r w:rsidR="009E3F78">
              <w:t>18</w:t>
            </w:r>
            <w:r w:rsidRPr="00161D25">
              <w:t xml:space="preserve"> jaloane şi ţinte asociate investiţiilor-cheie şi reformelor majore aferente celor şase piloni principali stabiliţi prin Regulamentul (UE) 2021/241, cu modificările și completările ulterioare,</w:t>
            </w:r>
          </w:p>
          <w:p w14:paraId="4F185B27" w14:textId="77777777" w:rsidR="00161D25" w:rsidRPr="00161D25" w:rsidRDefault="00161D25" w:rsidP="00161D25">
            <w:pPr>
              <w:spacing w:line="276" w:lineRule="auto"/>
              <w:jc w:val="both"/>
            </w:pPr>
            <w:r w:rsidRPr="00161D25">
              <w:t xml:space="preserve">Luând în considerare nevoile financiare ridicate pe care le presupune implementarea în România a reformelor majore având ca scop dezvoltarea unei economii solide, sustenabile şi reziliente, precum şi a unui sistem financiar şi de protecţie socială bazat pe structuri sociale şi economice puternice, care să stimuleze sectorul investiţiilor grav afectat de pandemia de COVID-19, fiind necesară stabilirea cadrului instituţional şi financiar de gestionare a fondurilor europene în cadrul Mecanismului de redresare şi rezilienţă, pentru perioada 2021-2026, precum şi asigurarea unui management financiar eficient al fondurilor şi al capacităţii de absorbţie, </w:t>
            </w:r>
          </w:p>
          <w:p w14:paraId="746DB6D0" w14:textId="77777777" w:rsidR="00161D25" w:rsidRPr="00161D25" w:rsidRDefault="00161D25" w:rsidP="00161D25">
            <w:pPr>
              <w:spacing w:line="276" w:lineRule="auto"/>
              <w:jc w:val="both"/>
            </w:pPr>
            <w:r w:rsidRPr="00161D25">
              <w:t xml:space="preserve">            Ținând cont de faptul că România se află în proces de renegociere al Planului național de redresare și reziliență,  și se confruntă cu un risc fiscal sistemic, iminent și de o gravitate excepțională, generat de o supracontractare masivă și necorelată cu realitățile bugetare a proiectelor de infrastructură finanțate din fonduri europene, în special prin Politica de Coeziune și Planul Național de Redresare și Reziliență (PNRR). </w:t>
            </w:r>
          </w:p>
          <w:p w14:paraId="300B4CFD" w14:textId="77777777" w:rsidR="00161D25" w:rsidRPr="00161D25" w:rsidRDefault="00161D25" w:rsidP="00161D25">
            <w:pPr>
              <w:spacing w:line="276" w:lineRule="auto"/>
              <w:jc w:val="both"/>
            </w:pPr>
            <w:r w:rsidRPr="00161D25">
              <w:lastRenderedPageBreak/>
              <w:t xml:space="preserve">       Luând în considerare faptul că a fost creat un portofoliu de angajamente financiare viitoare care depășește în mod manifest capacitatea de susținere a bugetului național iar în absența unor măsuri corective ferme și imediate, s-ar declanșa co nsecințe macroeconomice severe, existând riscul de neîncadrare în traiectoria fiscală asumată de România în cadrul planului fiscal, </w:t>
            </w:r>
          </w:p>
          <w:p w14:paraId="3C955077" w14:textId="77777777" w:rsidR="00161D25" w:rsidRPr="00161D25" w:rsidRDefault="00161D25" w:rsidP="00161D25">
            <w:pPr>
              <w:spacing w:line="276" w:lineRule="auto"/>
              <w:jc w:val="both"/>
            </w:pPr>
            <w:r w:rsidRPr="00161D25">
              <w:t xml:space="preserve">         Având în vedere necesitatea instituirii un control riguros, centralizat și transparent al cheltuielilor publice aferente proiectelor de infrastructură finanțate din surse europene printr-un un set de măsuri structurate, menite să restabilească disciplina bugetară și să prioritizeze investițiile în funcție de maturitate și sustenabilitate financiară, </w:t>
            </w:r>
          </w:p>
          <w:p w14:paraId="4EF9AEB8" w14:textId="77777777" w:rsidR="00F17DB0" w:rsidRPr="00F17DB0" w:rsidRDefault="00F17DB0" w:rsidP="0053061F">
            <w:pPr>
              <w:spacing w:line="276" w:lineRule="auto"/>
              <w:ind w:firstLine="417"/>
              <w:jc w:val="both"/>
              <w:rPr>
                <w:rStyle w:val="spar"/>
              </w:rPr>
            </w:pPr>
            <w:r>
              <w:rPr>
                <w:noProof/>
              </w:rPr>
              <w:t>Ț</w:t>
            </w:r>
            <w:r w:rsidRPr="0016246F">
              <w:rPr>
                <w:noProof/>
              </w:rPr>
              <w:t xml:space="preserve">inând cont de faptul că supracontractarea </w:t>
            </w:r>
            <w:r>
              <w:rPr>
                <w:noProof/>
              </w:rPr>
              <w:t>poate genera</w:t>
            </w:r>
            <w:r w:rsidRPr="0016246F">
              <w:rPr>
                <w:noProof/>
              </w:rPr>
              <w:t xml:space="preserve"> presiune asupra susținerii cheltuielilor din bugetul de stat, sub forma obligațiilor de asigurare a cofinanțării, TVA și de acoperire a eventualelor cheltuieli neeligibile,</w:t>
            </w:r>
            <w:r>
              <w:rPr>
                <w:noProof/>
              </w:rPr>
              <w:t xml:space="preserve"> având potențialul de a deveni o sursă de accentuare a crizei fiscale, în special în condițiile în care este utilizată pentru a contracara efectele negative asupra absorbției fondurilor europene nerambursabile generate de </w:t>
            </w:r>
            <w:r w:rsidRPr="0016246F">
              <w:rPr>
                <w:noProof/>
              </w:rPr>
              <w:t xml:space="preserve"> ritmul lent de implementare și</w:t>
            </w:r>
            <w:r>
              <w:rPr>
                <w:noProof/>
              </w:rPr>
              <w:t>/sau</w:t>
            </w:r>
            <w:r w:rsidRPr="0016246F">
              <w:rPr>
                <w:noProof/>
              </w:rPr>
              <w:t xml:space="preserve"> progresfizic redus pe un număr mare de contracte</w:t>
            </w:r>
            <w:r>
              <w:rPr>
                <w:noProof/>
              </w:rPr>
              <w:t xml:space="preserve">, </w:t>
            </w:r>
            <w:r w:rsidRPr="0016246F">
              <w:rPr>
                <w:noProof/>
              </w:rPr>
              <w:t>impun măsuri care să permită o ajustare care minimizează pierderile și riscurile de litigii pentru lucrări deja efectuate</w:t>
            </w:r>
          </w:p>
          <w:p w14:paraId="7EF118ED" w14:textId="1191BBF6" w:rsidR="00161D25" w:rsidRPr="00161D25" w:rsidRDefault="00161D25" w:rsidP="00161D25">
            <w:pPr>
              <w:spacing w:line="276" w:lineRule="auto"/>
              <w:jc w:val="both"/>
            </w:pPr>
            <w:r w:rsidRPr="00161D25">
              <w:t xml:space="preserve">        Întrucât elementele sus-menţionate vizează interesul public şi constituie o situaţie urgentă şi extraordinară, a cărei reglementare nu poate fi amânată, se impune adoptarea de măsuri imediate pe calea ordonanţei de urgenţă</w:t>
            </w:r>
            <w:r>
              <w:t>.</w:t>
            </w:r>
          </w:p>
          <w:p w14:paraId="370A497F" w14:textId="77777777" w:rsidR="008B466B" w:rsidRPr="008B466B" w:rsidRDefault="008B466B" w:rsidP="008B466B">
            <w:pPr>
              <w:spacing w:line="276" w:lineRule="auto"/>
              <w:jc w:val="both"/>
              <w:rPr>
                <w:rStyle w:val="spar"/>
              </w:rPr>
            </w:pPr>
          </w:p>
          <w:p w14:paraId="5D15103F" w14:textId="77777777" w:rsidR="001E2464" w:rsidRPr="00C0312D" w:rsidRDefault="001E2464" w:rsidP="00AC1ADA">
            <w:pPr>
              <w:spacing w:line="276" w:lineRule="auto"/>
              <w:jc w:val="both"/>
            </w:pPr>
          </w:p>
          <w:p w14:paraId="4238D1EB" w14:textId="0D5C12F1" w:rsidR="00223491" w:rsidRPr="00607AB7" w:rsidRDefault="00223491" w:rsidP="0064057C">
            <w:pPr>
              <w:autoSpaceDE w:val="0"/>
              <w:autoSpaceDN w:val="0"/>
              <w:adjustRightInd w:val="0"/>
              <w:spacing w:line="276" w:lineRule="auto"/>
              <w:jc w:val="both"/>
              <w:rPr>
                <w:b/>
                <w:lang w:eastAsia="ro-RO"/>
              </w:rPr>
            </w:pPr>
            <w:r w:rsidRPr="00607AB7">
              <w:rPr>
                <w:b/>
                <w:lang w:eastAsia="ro-RO"/>
              </w:rPr>
              <w:t>2.3 Schimbări preconizate</w:t>
            </w:r>
          </w:p>
          <w:p w14:paraId="797E2741" w14:textId="77777777" w:rsidR="00C0312D" w:rsidRDefault="00C46976" w:rsidP="00485EF8">
            <w:pPr>
              <w:spacing w:line="276" w:lineRule="auto"/>
              <w:ind w:right="-13"/>
              <w:jc w:val="both"/>
              <w:rPr>
                <w:rStyle w:val="spar"/>
                <w:bCs/>
              </w:rPr>
            </w:pPr>
            <w:r w:rsidRPr="00607AB7">
              <w:rPr>
                <w:rStyle w:val="spar"/>
                <w:bCs/>
              </w:rPr>
              <w:t>Prin prezenta ordonanță de urgență se urmărește</w:t>
            </w:r>
            <w:r w:rsidR="00C0312D">
              <w:rPr>
                <w:rStyle w:val="spar"/>
                <w:bCs/>
              </w:rPr>
              <w:t xml:space="preserve">: </w:t>
            </w:r>
          </w:p>
          <w:p w14:paraId="0B9DBE78" w14:textId="77777777" w:rsidR="00AA719F" w:rsidRDefault="00C0312D" w:rsidP="00485EF8">
            <w:pPr>
              <w:spacing w:line="276" w:lineRule="auto"/>
              <w:ind w:right="-13"/>
              <w:jc w:val="both"/>
              <w:rPr>
                <w:rStyle w:val="spar"/>
              </w:rPr>
            </w:pPr>
            <w:r>
              <w:rPr>
                <w:rStyle w:val="spar"/>
                <w:bCs/>
              </w:rPr>
              <w:t>-</w:t>
            </w:r>
            <w:r w:rsidRPr="000D34C7">
              <w:rPr>
                <w:rFonts w:eastAsiaTheme="minorHAnsi"/>
                <w:kern w:val="2"/>
                <w14:ligatures w14:val="standardContextual"/>
              </w:rPr>
              <w:t xml:space="preserve"> </w:t>
            </w:r>
            <w:r w:rsidRPr="00AA719F">
              <w:rPr>
                <w:rStyle w:val="spar"/>
              </w:rPr>
              <w:t>atenuarea riscului fiscal sistemic, iminent și de o gravitate excepțională, generat de o supracontractare masivă și necorelată cu realitățile bugetare a proiectelor de infrastructură finanțate din fonduri europene, în special prin Politica de Coeziune și Planul Național de Redresare și Reziliență (PNRR);</w:t>
            </w:r>
          </w:p>
          <w:p w14:paraId="0BC3DE2B" w14:textId="5301EAE9" w:rsidR="00C0312D" w:rsidRDefault="00C0312D" w:rsidP="00485EF8">
            <w:pPr>
              <w:spacing w:line="276" w:lineRule="auto"/>
              <w:ind w:right="-13"/>
              <w:jc w:val="both"/>
              <w:rPr>
                <w:rStyle w:val="spar"/>
              </w:rPr>
            </w:pPr>
            <w:r>
              <w:rPr>
                <w:rStyle w:val="spar"/>
              </w:rPr>
              <w:t>-</w:t>
            </w:r>
            <w:r w:rsidRPr="000D34C7">
              <w:rPr>
                <w:rStyle w:val="spar"/>
              </w:rPr>
              <w:t xml:space="preserve"> </w:t>
            </w:r>
            <w:r>
              <w:rPr>
                <w:rStyle w:val="spar"/>
              </w:rPr>
              <w:t xml:space="preserve"> diminuarea</w:t>
            </w:r>
            <w:r w:rsidRPr="00AA719F">
              <w:rPr>
                <w:rStyle w:val="spar"/>
              </w:rPr>
              <w:t xml:space="preserve"> portofoliul de angajamente financiare viitoare care depășește în mod manifest capacitatea de susținere a bugetului național, prin menținerea acelor proiecte care au șanse reale de a se implementa în termenul final al PNRR; </w:t>
            </w:r>
          </w:p>
          <w:p w14:paraId="5D7C0B08" w14:textId="5C769F1C" w:rsidR="00C0312D" w:rsidRPr="00AA719F" w:rsidRDefault="00C0312D" w:rsidP="00485EF8">
            <w:pPr>
              <w:spacing w:line="276" w:lineRule="auto"/>
              <w:ind w:right="-13"/>
              <w:jc w:val="both"/>
              <w:rPr>
                <w:rStyle w:val="spar"/>
              </w:rPr>
            </w:pPr>
            <w:r>
              <w:rPr>
                <w:rStyle w:val="spar"/>
              </w:rPr>
              <w:t xml:space="preserve">-  adoptarea unor </w:t>
            </w:r>
            <w:r w:rsidRPr="00AA719F">
              <w:rPr>
                <w:rStyle w:val="spar"/>
              </w:rPr>
              <w:t xml:space="preserve">măsuri corective ferme și imediate, precum și modalitatea de ajustare a contractelor de finanțare încheiate astfel încât acestea să se încadreze în anvelopa financiară renegociată a PNRR; </w:t>
            </w:r>
          </w:p>
          <w:p w14:paraId="0C2A5F11" w14:textId="635B8E90" w:rsidR="00C0312D" w:rsidRDefault="00C0312D" w:rsidP="00485EF8">
            <w:pPr>
              <w:spacing w:line="276" w:lineRule="auto"/>
              <w:ind w:right="-13"/>
              <w:jc w:val="both"/>
              <w:rPr>
                <w:rStyle w:val="spar"/>
              </w:rPr>
            </w:pPr>
            <w:r>
              <w:rPr>
                <w:rStyle w:val="spar"/>
              </w:rPr>
              <w:t xml:space="preserve">- evitarea unor </w:t>
            </w:r>
            <w:r w:rsidRPr="00AA719F">
              <w:rPr>
                <w:rStyle w:val="spar"/>
              </w:rPr>
              <w:t xml:space="preserve">consecințe macroeconomice severe, și diminuarea </w:t>
            </w:r>
            <w:r>
              <w:rPr>
                <w:rStyle w:val="spar"/>
              </w:rPr>
              <w:t xml:space="preserve">riscului de neîncadrare în traiectoria fiscală asumată de România în cadrul planului fiscal, </w:t>
            </w:r>
          </w:p>
          <w:p w14:paraId="46DDCA16" w14:textId="1C4DC721" w:rsidR="00AA719F" w:rsidRPr="00F17DB0" w:rsidRDefault="00C0312D" w:rsidP="00485EF8">
            <w:pPr>
              <w:spacing w:line="276" w:lineRule="auto"/>
              <w:ind w:right="-13"/>
              <w:jc w:val="both"/>
              <w:rPr>
                <w:rStyle w:val="spar"/>
                <w:rFonts w:eastAsiaTheme="minorHAnsi"/>
                <w:kern w:val="2"/>
                <w:lang w:val="it-IT"/>
                <w14:ligatures w14:val="standardContextual"/>
              </w:rPr>
            </w:pPr>
            <w:r>
              <w:rPr>
                <w:rStyle w:val="spar"/>
                <w:kern w:val="2"/>
                <w14:ligatures w14:val="standardContextual"/>
              </w:rPr>
              <w:t xml:space="preserve">- </w:t>
            </w:r>
            <w:r w:rsidR="00AA719F" w:rsidRPr="004A273D">
              <w:rPr>
                <w:rStyle w:val="spar"/>
              </w:rPr>
              <w:t>institu</w:t>
            </w:r>
            <w:r w:rsidR="00AA719F">
              <w:rPr>
                <w:rStyle w:val="spar"/>
              </w:rPr>
              <w:t>irea</w:t>
            </w:r>
            <w:r w:rsidR="00AA719F" w:rsidRPr="004A273D">
              <w:rPr>
                <w:rStyle w:val="spar"/>
              </w:rPr>
              <w:t xml:space="preserve"> un control riguros, centralizat și transparent al cheltuielilor publice aferente proiectelor de infrastructură </w:t>
            </w:r>
            <w:r w:rsidR="00AA719F" w:rsidRPr="00F17DB0">
              <w:rPr>
                <w:rStyle w:val="spar"/>
              </w:rPr>
              <w:t xml:space="preserve">finanțate din surse europene printr-un </w:t>
            </w:r>
            <w:r w:rsidR="00AA719F" w:rsidRPr="00F17DB0">
              <w:rPr>
                <w:rStyle w:val="spar"/>
                <w:lang w:val="it-IT"/>
              </w:rPr>
              <w:t>set de măsuri structurate, menite să restabilească disciplina bugetară și să prioritizeze investițiile în funcție de maturitate și sustenabilitate financiară</w:t>
            </w:r>
          </w:p>
          <w:p w14:paraId="01196E72" w14:textId="52BA19DA" w:rsidR="00ED067E" w:rsidRPr="00F17DB0" w:rsidRDefault="00AA719F" w:rsidP="00485EF8">
            <w:pPr>
              <w:spacing w:line="276" w:lineRule="auto"/>
              <w:ind w:right="-13"/>
              <w:jc w:val="both"/>
              <w:rPr>
                <w:bCs/>
                <w:bdr w:val="none" w:sz="0" w:space="0" w:color="auto" w:frame="1"/>
                <w:shd w:val="clear" w:color="auto" w:fill="FFFFFF"/>
              </w:rPr>
            </w:pPr>
            <w:r w:rsidRPr="00F17DB0">
              <w:rPr>
                <w:rStyle w:val="spar"/>
                <w:rFonts w:eastAsiaTheme="minorHAnsi"/>
                <w:kern w:val="2"/>
                <w:lang w:val="it-IT"/>
                <w14:ligatures w14:val="standardContextual"/>
              </w:rPr>
              <w:t xml:space="preserve">- </w:t>
            </w:r>
            <w:r w:rsidRPr="00F17DB0">
              <w:rPr>
                <w:bCs/>
                <w:bdr w:val="none" w:sz="0" w:space="0" w:color="auto" w:frame="1"/>
                <w:shd w:val="clear" w:color="auto" w:fill="FFFFFF"/>
              </w:rPr>
              <w:t>suspendarea</w:t>
            </w:r>
            <w:r w:rsidR="00F17DB0" w:rsidRPr="00F17DB0">
              <w:rPr>
                <w:bCs/>
                <w:bdr w:val="none" w:sz="0" w:space="0" w:color="auto" w:frame="1"/>
                <w:shd w:val="clear" w:color="auto" w:fill="FFFFFF"/>
              </w:rPr>
              <w:t xml:space="preserve"> până la aprobarea de către Comisia Europeană a Deciziei de modificare a Deciziei de punere în aplicare a Consiliului din 3 noiembrie 2021 de aprobare a evaluării planului de redresare şi rezilienţă al României</w:t>
            </w:r>
            <w:r w:rsidR="00AE7B14" w:rsidRPr="00AE7B14">
              <w:rPr>
                <w:bCs/>
                <w:bdr w:val="none" w:sz="0" w:space="0" w:color="auto" w:frame="1"/>
                <w:shd w:val="clear" w:color="auto" w:fill="FFFFFF"/>
                <w:lang w:val="it-IT"/>
              </w:rPr>
              <w:t xml:space="preserve"> modificată prin Decizia de punere în aplicare a Consiliului din 5 decembrie 2023</w:t>
            </w:r>
            <w:r w:rsidR="00AE7B14">
              <w:rPr>
                <w:bCs/>
                <w:bdr w:val="none" w:sz="0" w:space="0" w:color="auto" w:frame="1"/>
                <w:shd w:val="clear" w:color="auto" w:fill="FFFFFF"/>
                <w:lang w:val="it-IT"/>
              </w:rPr>
              <w:t>,</w:t>
            </w:r>
            <w:r w:rsidR="00F17DB0" w:rsidRPr="00F17DB0">
              <w:rPr>
                <w:bCs/>
                <w:bdr w:val="none" w:sz="0" w:space="0" w:color="auto" w:frame="1"/>
                <w:shd w:val="clear" w:color="auto" w:fill="FFFFFF"/>
              </w:rPr>
              <w:t xml:space="preserve"> a încheierii sau emiterii contractelor/deciziilor/ordinelor de finanțare în cadrul Planului Național de Redresare și Reziliență de către coordonatorii de reforme și/sau investiții, agențiile de implementare și responsabilii de implementarea investițiilor specifice locale, după caz, așa cum sunt definiți în Ordonanța de urgență a Guvernului nr. 124/2021 privind stabilirea cadrului instituțional și financiar pentru gestionarea fondurilor europene alocate României prin Mecanismul de redresare și reziliență, precum și pentru modificarea și </w:t>
            </w:r>
            <w:r w:rsidR="00F17DB0" w:rsidRPr="00F17DB0">
              <w:rPr>
                <w:bCs/>
                <w:bdr w:val="none" w:sz="0" w:space="0" w:color="auto" w:frame="1"/>
                <w:shd w:val="clear" w:color="auto" w:fill="FFFFFF"/>
              </w:rPr>
              <w:lastRenderedPageBreak/>
              <w:t>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cu modificările și completările ulterioare cu beneficiarii, astfel cum sunt definiți la art. 2 lit. l) din aceeași ordonanță de urgență</w:t>
            </w:r>
            <w:r w:rsidR="00F17DB0">
              <w:rPr>
                <w:bCs/>
                <w:bdr w:val="none" w:sz="0" w:space="0" w:color="auto" w:frame="1"/>
                <w:shd w:val="clear" w:color="auto" w:fill="FFFFFF"/>
              </w:rPr>
              <w:t xml:space="preserve"> precum și excepția prin care </w:t>
            </w:r>
            <w:r w:rsidR="00F17DB0" w:rsidRPr="00211F8A">
              <w:rPr>
                <w:bCs/>
                <w:bdr w:val="none" w:sz="0" w:space="0" w:color="auto" w:frame="1"/>
                <w:shd w:val="clear" w:color="auto" w:fill="FFFFFF"/>
              </w:rPr>
              <w:t>Guvernul poate autoriza încheierea sau emiterea de contracte/decizii/ordine de finanțare</w:t>
            </w:r>
            <w:r w:rsidR="00F17DB0">
              <w:rPr>
                <w:bCs/>
                <w:bdr w:val="none" w:sz="0" w:space="0" w:color="auto" w:frame="1"/>
                <w:shd w:val="clear" w:color="auto" w:fill="FFFFFF"/>
              </w:rPr>
              <w:t xml:space="preserve"> </w:t>
            </w:r>
            <w:r w:rsidR="00F17DB0" w:rsidRPr="00211F8A">
              <w:rPr>
                <w:bCs/>
                <w:bdr w:val="none" w:sz="0" w:space="0" w:color="auto" w:frame="1"/>
                <w:shd w:val="clear" w:color="auto" w:fill="FFFFFF"/>
              </w:rPr>
              <w:t>în cazuri temeinic justificate, prin memorandum inițiat de ordonatorii principali de credite cu rol de coordonatori de reformă și investiții, cu avizul Ministerului Investițiilor și Proiectelor Europene</w:t>
            </w:r>
          </w:p>
          <w:p w14:paraId="60FB53A6" w14:textId="77777777" w:rsidR="00F17DB0" w:rsidRDefault="00F17DB0" w:rsidP="00485EF8">
            <w:pPr>
              <w:spacing w:line="276" w:lineRule="auto"/>
              <w:ind w:right="-13"/>
              <w:jc w:val="both"/>
              <w:rPr>
                <w:bCs/>
                <w:bdr w:val="none" w:sz="0" w:space="0" w:color="auto" w:frame="1"/>
                <w:shd w:val="clear" w:color="auto" w:fill="FFFFFF"/>
              </w:rPr>
            </w:pPr>
          </w:p>
          <w:p w14:paraId="22A09B50" w14:textId="148FD70D" w:rsidR="00C0312D" w:rsidRDefault="00ED067E" w:rsidP="00485EF8">
            <w:pPr>
              <w:spacing w:line="276" w:lineRule="auto"/>
              <w:ind w:right="-13"/>
              <w:jc w:val="both"/>
              <w:rPr>
                <w:bCs/>
                <w:bdr w:val="none" w:sz="0" w:space="0" w:color="auto" w:frame="1"/>
                <w:shd w:val="clear" w:color="auto" w:fill="FFFFFF"/>
              </w:rPr>
            </w:pPr>
            <w:r>
              <w:rPr>
                <w:bCs/>
                <w:bdr w:val="none" w:sz="0" w:space="0" w:color="auto" w:frame="1"/>
                <w:shd w:val="clear" w:color="auto" w:fill="FFFFFF"/>
              </w:rPr>
              <w:t xml:space="preserve">- suspendarea </w:t>
            </w:r>
            <w:r w:rsidR="00D62082" w:rsidRPr="00211F8A">
              <w:rPr>
                <w:bCs/>
                <w:bdr w:val="none" w:sz="0" w:space="0" w:color="auto" w:frame="1"/>
                <w:shd w:val="clear" w:color="auto" w:fill="FFFFFF"/>
              </w:rPr>
              <w:t xml:space="preserve">până la </w:t>
            </w:r>
            <w:r w:rsidR="00D62082" w:rsidRPr="004D19FF">
              <w:rPr>
                <w:bCs/>
                <w:bdr w:val="none" w:sz="0" w:space="0" w:color="auto" w:frame="1"/>
                <w:shd w:val="clear" w:color="auto" w:fill="FFFFFF"/>
              </w:rPr>
              <w:t>aprobarea de către Comisia Europeană a Deciziei de modificare a Deciziei de punere în aplicare a Consiliului din 3 noiembrie 2021 de aprobare a evaluării planului de redresare şi rezilienţă al României</w:t>
            </w:r>
            <w:r w:rsidR="00AE7B14">
              <w:t xml:space="preserve"> </w:t>
            </w:r>
            <w:r w:rsidR="00AE7B14" w:rsidRPr="00AE7B14">
              <w:rPr>
                <w:bCs/>
                <w:bdr w:val="none" w:sz="0" w:space="0" w:color="auto" w:frame="1"/>
                <w:shd w:val="clear" w:color="auto" w:fill="FFFFFF"/>
              </w:rPr>
              <w:t>modificată prin Decizia de punere în aplicare a Consiliului din 5 decembrie 2023</w:t>
            </w:r>
            <w:r w:rsidR="00AE7B14">
              <w:rPr>
                <w:bCs/>
                <w:bdr w:val="none" w:sz="0" w:space="0" w:color="auto" w:frame="1"/>
                <w:shd w:val="clear" w:color="auto" w:fill="FFFFFF"/>
              </w:rPr>
              <w:t>,</w:t>
            </w:r>
            <w:r w:rsidR="00D62082" w:rsidRPr="004D19FF">
              <w:rPr>
                <w:bCs/>
                <w:bdr w:val="none" w:sz="0" w:space="0" w:color="auto" w:frame="1"/>
                <w:shd w:val="clear" w:color="auto" w:fill="FFFFFF"/>
              </w:rPr>
              <w:t xml:space="preserve"> </w:t>
            </w:r>
            <w:r w:rsidR="00D62082">
              <w:rPr>
                <w:bCs/>
                <w:bdr w:val="none" w:sz="0" w:space="0" w:color="auto" w:frame="1"/>
                <w:shd w:val="clear" w:color="auto" w:fill="FFFFFF"/>
              </w:rPr>
              <w:t xml:space="preserve">a </w:t>
            </w:r>
            <w:r>
              <w:rPr>
                <w:bCs/>
                <w:bdr w:val="none" w:sz="0" w:space="0" w:color="auto" w:frame="1"/>
                <w:shd w:val="clear" w:color="auto" w:fill="FFFFFF"/>
              </w:rPr>
              <w:t xml:space="preserve">încheierii de </w:t>
            </w:r>
            <w:r w:rsidRPr="00ED067E">
              <w:rPr>
                <w:bCs/>
                <w:bdr w:val="none" w:sz="0" w:space="0" w:color="auto" w:frame="1"/>
                <w:shd w:val="clear" w:color="auto" w:fill="FFFFFF"/>
              </w:rPr>
              <w:t>angajamente legale de către beneficiarii instituții și autorități publice, astfel cum sunt definite la art. 2 alin. (1) pct. 30 din Legea nr. 500/2002, cu modificările și completările ulterioare, și la art. 2 alin. (1) pct. 39 din Legea nr. 273/2006, cu modificările și completările ulterioare, indiferent de sistemul de finanțare și de subordonare și structurile de implementare, din cadrul Planului Național de Redresare și Reziliență așa cum sunt definiți în Ordonanța de urgență a Guvernului nr. 124/2021, aprobată cu modificări şi completări prin Legea nr. 178/2022, cu modificările și completările ulterioare</w:t>
            </w:r>
            <w:r w:rsidR="00D62082">
              <w:rPr>
                <w:bCs/>
                <w:bdr w:val="none" w:sz="0" w:space="0" w:color="auto" w:frame="1"/>
                <w:shd w:val="clear" w:color="auto" w:fill="FFFFFF"/>
              </w:rPr>
              <w:t>;</w:t>
            </w:r>
          </w:p>
          <w:p w14:paraId="4779BC88" w14:textId="7B0AA6EF" w:rsidR="00D62082" w:rsidRDefault="00D62082" w:rsidP="00485EF8">
            <w:pPr>
              <w:spacing w:line="276" w:lineRule="auto"/>
              <w:ind w:right="-13"/>
              <w:jc w:val="both"/>
              <w:rPr>
                <w:bCs/>
                <w:bdr w:val="none" w:sz="0" w:space="0" w:color="auto" w:frame="1"/>
                <w:shd w:val="clear" w:color="auto" w:fill="FFFFFF"/>
              </w:rPr>
            </w:pPr>
            <w:r>
              <w:rPr>
                <w:bCs/>
                <w:bdr w:val="none" w:sz="0" w:space="0" w:color="auto" w:frame="1"/>
                <w:shd w:val="clear" w:color="auto" w:fill="FFFFFF"/>
              </w:rPr>
              <w:t xml:space="preserve">- suspendarea până la </w:t>
            </w:r>
            <w:r w:rsidRPr="00D62082">
              <w:rPr>
                <w:bCs/>
                <w:bdr w:val="none" w:sz="0" w:space="0" w:color="auto" w:frame="1"/>
                <w:shd w:val="clear" w:color="auto" w:fill="FFFFFF"/>
              </w:rPr>
              <w:t>aprobarea de către Comisia Europeană a Deciziei de modificare a Deciziei de punere în aplicare a Consiliului din 3 noiembrie 2021 de aprobare a evaluării planului de redresare şi rezilienţă al României</w:t>
            </w:r>
            <w:r w:rsidR="008D5E48">
              <w:t xml:space="preserve"> </w:t>
            </w:r>
            <w:r w:rsidR="008D5E48" w:rsidRPr="008D5E48">
              <w:rPr>
                <w:bCs/>
                <w:bdr w:val="none" w:sz="0" w:space="0" w:color="auto" w:frame="1"/>
                <w:shd w:val="clear" w:color="auto" w:fill="FFFFFF"/>
              </w:rPr>
              <w:t>modificată prin Decizia de punere în aplicare a Consiliului din 5 decembrie 2023</w:t>
            </w:r>
            <w:r w:rsidR="008D5E48">
              <w:rPr>
                <w:bCs/>
                <w:bdr w:val="none" w:sz="0" w:space="0" w:color="auto" w:frame="1"/>
                <w:shd w:val="clear" w:color="auto" w:fill="FFFFFF"/>
              </w:rPr>
              <w:t>,</w:t>
            </w:r>
            <w:r w:rsidRPr="00D62082">
              <w:rPr>
                <w:bCs/>
                <w:bdr w:val="none" w:sz="0" w:space="0" w:color="auto" w:frame="1"/>
                <w:shd w:val="clear" w:color="auto" w:fill="FFFFFF"/>
              </w:rPr>
              <w:t xml:space="preserve"> </w:t>
            </w:r>
            <w:r>
              <w:rPr>
                <w:bCs/>
                <w:bdr w:val="none" w:sz="0" w:space="0" w:color="auto" w:frame="1"/>
                <w:shd w:val="clear" w:color="auto" w:fill="FFFFFF"/>
              </w:rPr>
              <w:t xml:space="preserve">a </w:t>
            </w:r>
            <w:r w:rsidRPr="00445D90">
              <w:rPr>
                <w:bCs/>
                <w:bdr w:val="none" w:sz="0" w:space="0" w:color="auto" w:frame="1"/>
                <w:shd w:val="clear" w:color="auto" w:fill="FFFFFF"/>
              </w:rPr>
              <w:t>atribuir</w:t>
            </w:r>
            <w:r>
              <w:rPr>
                <w:bCs/>
                <w:bdr w:val="none" w:sz="0" w:space="0" w:color="auto" w:frame="1"/>
                <w:shd w:val="clear" w:color="auto" w:fill="FFFFFF"/>
              </w:rPr>
              <w:t>ii</w:t>
            </w:r>
            <w:r w:rsidRPr="00445D90">
              <w:rPr>
                <w:bCs/>
                <w:bdr w:val="none" w:sz="0" w:space="0" w:color="auto" w:frame="1"/>
                <w:shd w:val="clear" w:color="auto" w:fill="FFFFFF"/>
              </w:rPr>
              <w:t xml:space="preserve"> de contracte de prestări de servicii, de execuție de lucrări</w:t>
            </w:r>
            <w:r>
              <w:rPr>
                <w:bCs/>
                <w:bdr w:val="none" w:sz="0" w:space="0" w:color="auto" w:frame="1"/>
                <w:shd w:val="clear" w:color="auto" w:fill="FFFFFF"/>
              </w:rPr>
              <w:t xml:space="preserve"> </w:t>
            </w:r>
            <w:r w:rsidRPr="00D62082">
              <w:rPr>
                <w:bCs/>
                <w:bdr w:val="none" w:sz="0" w:space="0" w:color="auto" w:frame="1"/>
                <w:shd w:val="clear" w:color="auto" w:fill="FFFFFF"/>
              </w:rPr>
              <w:t>aferente reformelor și investițiilor finanțate prin Planul Național de Redresare și Reziliență,</w:t>
            </w:r>
            <w:r>
              <w:rPr>
                <w:bCs/>
                <w:color w:val="FF0000"/>
                <w:bdr w:val="none" w:sz="0" w:space="0" w:color="auto" w:frame="1"/>
                <w:shd w:val="clear" w:color="auto" w:fill="FFFFFF"/>
              </w:rPr>
              <w:t xml:space="preserve"> </w:t>
            </w:r>
            <w:r>
              <w:rPr>
                <w:bCs/>
                <w:bdr w:val="none" w:sz="0" w:space="0" w:color="auto" w:frame="1"/>
                <w:shd w:val="clear" w:color="auto" w:fill="FFFFFF"/>
              </w:rPr>
              <w:t xml:space="preserve">de către beneficiarii sau structurile de implementare, operatori economici </w:t>
            </w:r>
            <w:r w:rsidRPr="00445D90">
              <w:rPr>
                <w:bCs/>
                <w:bdr w:val="none" w:sz="0" w:space="0" w:color="auto" w:frame="1"/>
                <w:shd w:val="clear" w:color="auto" w:fill="FFFFFF"/>
              </w:rPr>
              <w:t>afla</w:t>
            </w:r>
            <w:r>
              <w:rPr>
                <w:bCs/>
                <w:bdr w:val="none" w:sz="0" w:space="0" w:color="auto" w:frame="1"/>
                <w:shd w:val="clear" w:color="auto" w:fill="FFFFFF"/>
              </w:rPr>
              <w:t>ți</w:t>
            </w:r>
            <w:r w:rsidRPr="00445D90">
              <w:rPr>
                <w:bCs/>
                <w:bdr w:val="none" w:sz="0" w:space="0" w:color="auto" w:frame="1"/>
                <w:shd w:val="clear" w:color="auto" w:fill="FFFFFF"/>
              </w:rPr>
              <w:t xml:space="preserve"> în subordinea/coordonarea/sub autoritatea unei autorităţi publice centrale</w:t>
            </w:r>
            <w:r>
              <w:rPr>
                <w:bCs/>
                <w:bdr w:val="none" w:sz="0" w:space="0" w:color="auto" w:frame="1"/>
                <w:shd w:val="clear" w:color="auto" w:fill="FFFFFF"/>
              </w:rPr>
              <w:t xml:space="preserve"> </w:t>
            </w:r>
            <w:r w:rsidRPr="009B13DB">
              <w:rPr>
                <w:bCs/>
                <w:bdr w:val="none" w:sz="0" w:space="0" w:color="auto" w:frame="1"/>
                <w:shd w:val="clear" w:color="auto" w:fill="FFFFFF"/>
              </w:rPr>
              <w:t xml:space="preserve">și </w:t>
            </w:r>
            <w:r w:rsidRPr="00683B69">
              <w:rPr>
                <w:bCs/>
                <w:bdr w:val="none" w:sz="0" w:space="0" w:color="auto" w:frame="1"/>
                <w:shd w:val="clear" w:color="auto" w:fill="FFFFFF"/>
              </w:rPr>
              <w:t>locale</w:t>
            </w:r>
            <w:r>
              <w:rPr>
                <w:bCs/>
                <w:bdr w:val="none" w:sz="0" w:space="0" w:color="auto" w:frame="1"/>
                <w:shd w:val="clear" w:color="auto" w:fill="FFFFFF"/>
              </w:rPr>
              <w:t>;</w:t>
            </w:r>
          </w:p>
          <w:p w14:paraId="13B52D97" w14:textId="6C6CA06B" w:rsidR="00AA719F" w:rsidRDefault="00AA719F" w:rsidP="00485EF8">
            <w:pPr>
              <w:spacing w:line="276" w:lineRule="auto"/>
              <w:ind w:right="33"/>
              <w:jc w:val="both"/>
              <w:rPr>
                <w:rStyle w:val="spar"/>
                <w:kern w:val="2"/>
                <w14:ligatures w14:val="standardContextual"/>
              </w:rPr>
            </w:pPr>
            <w:r>
              <w:rPr>
                <w:rStyle w:val="spar"/>
                <w:kern w:val="2"/>
                <w14:ligatures w14:val="standardContextual"/>
              </w:rPr>
              <w:t xml:space="preserve">- </w:t>
            </w:r>
            <w:r w:rsidRPr="00AA719F">
              <w:rPr>
                <w:rStyle w:val="spar"/>
                <w:kern w:val="2"/>
                <w14:ligatures w14:val="standardContextual"/>
              </w:rPr>
              <w:t>denunța</w:t>
            </w:r>
            <w:r>
              <w:rPr>
                <w:rStyle w:val="spar"/>
                <w:kern w:val="2"/>
                <w14:ligatures w14:val="standardContextual"/>
              </w:rPr>
              <w:t>rea</w:t>
            </w:r>
            <w:r w:rsidRPr="00AA719F">
              <w:rPr>
                <w:rStyle w:val="spar"/>
                <w:kern w:val="2"/>
                <w14:ligatures w14:val="standardContextual"/>
              </w:rPr>
              <w:t xml:space="preserve"> unilateral</w:t>
            </w:r>
            <w:r>
              <w:rPr>
                <w:rStyle w:val="spar"/>
                <w:kern w:val="2"/>
                <w14:ligatures w14:val="standardContextual"/>
              </w:rPr>
              <w:t xml:space="preserve">ă </w:t>
            </w:r>
            <w:r w:rsidRPr="00AA719F">
              <w:rPr>
                <w:rStyle w:val="spar"/>
                <w:kern w:val="2"/>
                <w14:ligatures w14:val="standardContextual"/>
              </w:rPr>
              <w:t xml:space="preserve">de către coordonatorii de reforme și/sau investiții, agențiile de implementare și responsabilii de implementarea investițiilor specifice locale </w:t>
            </w:r>
            <w:r>
              <w:rPr>
                <w:rStyle w:val="spar"/>
                <w:kern w:val="2"/>
                <w14:ligatures w14:val="standardContextual"/>
              </w:rPr>
              <w:t>a c</w:t>
            </w:r>
            <w:r w:rsidRPr="00AA719F">
              <w:rPr>
                <w:rStyle w:val="spar"/>
                <w:kern w:val="2"/>
                <w14:ligatures w14:val="standardContextual"/>
              </w:rPr>
              <w:t>ontractel</w:t>
            </w:r>
            <w:r>
              <w:rPr>
                <w:rStyle w:val="spar"/>
                <w:kern w:val="2"/>
                <w14:ligatures w14:val="standardContextual"/>
              </w:rPr>
              <w:t>or</w:t>
            </w:r>
            <w:r w:rsidRPr="00AA719F">
              <w:rPr>
                <w:rStyle w:val="spar"/>
                <w:kern w:val="2"/>
                <w14:ligatures w14:val="standardContextual"/>
              </w:rPr>
              <w:t>/deciziil</w:t>
            </w:r>
            <w:r>
              <w:rPr>
                <w:rStyle w:val="spar"/>
                <w:kern w:val="2"/>
                <w14:ligatures w14:val="standardContextual"/>
              </w:rPr>
              <w:t>or</w:t>
            </w:r>
            <w:r w:rsidRPr="00AA719F">
              <w:rPr>
                <w:rStyle w:val="spar"/>
                <w:kern w:val="2"/>
                <w14:ligatures w14:val="standardContextual"/>
              </w:rPr>
              <w:t>/ordinel</w:t>
            </w:r>
            <w:r>
              <w:rPr>
                <w:rStyle w:val="spar"/>
                <w:kern w:val="2"/>
                <w14:ligatures w14:val="standardContextual"/>
              </w:rPr>
              <w:t>or</w:t>
            </w:r>
            <w:r w:rsidRPr="00AA719F">
              <w:rPr>
                <w:rStyle w:val="spar"/>
                <w:kern w:val="2"/>
                <w14:ligatures w14:val="standardContextual"/>
              </w:rPr>
              <w:t xml:space="preserve"> de finanțare finanțate din PNRR, în cadrul cărora nu există proceduri de atribuire a contractelor de achiziție </w:t>
            </w:r>
            <w:r w:rsidR="00E84FD3">
              <w:rPr>
                <w:rStyle w:val="spar"/>
                <w:kern w:val="2"/>
                <w14:ligatures w14:val="standardContextual"/>
              </w:rPr>
              <w:t>inițiate</w:t>
            </w:r>
            <w:r w:rsidRPr="00AA719F">
              <w:rPr>
                <w:rStyle w:val="spar"/>
                <w:kern w:val="2"/>
                <w14:ligatures w14:val="standardContextual"/>
              </w:rPr>
              <w:t xml:space="preserve"> de beneficiari și/sau structurile de implementare</w:t>
            </w:r>
            <w:r>
              <w:rPr>
                <w:rStyle w:val="spar"/>
                <w:kern w:val="2"/>
                <w14:ligatures w14:val="standardContextual"/>
              </w:rPr>
              <w:t xml:space="preserve">, </w:t>
            </w:r>
            <w:r w:rsidR="0070604C">
              <w:rPr>
                <w:rStyle w:val="spar"/>
                <w:kern w:val="2"/>
                <w14:ligatures w14:val="standardContextual"/>
              </w:rPr>
              <w:t xml:space="preserve">precum și pentru </w:t>
            </w:r>
            <w:r w:rsidR="0070604C" w:rsidRPr="0070604C">
              <w:rPr>
                <w:bdr w:val="none" w:sz="0" w:space="0" w:color="auto" w:frame="1"/>
                <w:shd w:val="clear" w:color="auto" w:fill="FFFFFF"/>
              </w:rPr>
              <w:t>procedurile de achiziție publică pentru care nu a fost parcursă etapa de comunicare a rezultatului procedurii de achiziție publică la data intrării în vigoare a prezentei ordonanțe de urgență,</w:t>
            </w:r>
            <w:r>
              <w:rPr>
                <w:rStyle w:val="spar"/>
                <w:kern w:val="2"/>
                <w14:ligatures w14:val="standardContextual"/>
              </w:rPr>
              <w:t xml:space="preserve"> </w:t>
            </w:r>
          </w:p>
          <w:p w14:paraId="739A0C99" w14:textId="5C9C900E" w:rsidR="00AA719F" w:rsidRDefault="00AA719F" w:rsidP="00485EF8">
            <w:pPr>
              <w:spacing w:line="276" w:lineRule="auto"/>
              <w:ind w:right="33"/>
              <w:jc w:val="both"/>
              <w:rPr>
                <w:bdr w:val="none" w:sz="0" w:space="0" w:color="auto" w:frame="1"/>
                <w:shd w:val="clear" w:color="auto" w:fill="FFFFFF"/>
              </w:rPr>
            </w:pPr>
            <w:r>
              <w:rPr>
                <w:rStyle w:val="spar"/>
                <w:kern w:val="2"/>
                <w14:ligatures w14:val="standardContextual"/>
              </w:rPr>
              <w:t xml:space="preserve">- </w:t>
            </w:r>
            <w:r>
              <w:rPr>
                <w:bdr w:val="none" w:sz="0" w:space="0" w:color="auto" w:frame="1"/>
                <w:shd w:val="clear" w:color="auto" w:fill="FFFFFF"/>
              </w:rPr>
              <w:t>suspendarea unilaterală,</w:t>
            </w:r>
            <w:r w:rsidR="002A144A">
              <w:t xml:space="preserve"> </w:t>
            </w:r>
            <w:r w:rsidR="002A144A" w:rsidRPr="002A144A">
              <w:rPr>
                <w:bdr w:val="none" w:sz="0" w:space="0" w:color="auto" w:frame="1"/>
                <w:shd w:val="clear" w:color="auto" w:fill="FFFFFF"/>
              </w:rPr>
              <w:t>până la data de 31 decembrie 202</w:t>
            </w:r>
            <w:r w:rsidR="004E6ABD">
              <w:rPr>
                <w:bdr w:val="none" w:sz="0" w:space="0" w:color="auto" w:frame="1"/>
                <w:shd w:val="clear" w:color="auto" w:fill="FFFFFF"/>
              </w:rPr>
              <w:t>6</w:t>
            </w:r>
            <w:r w:rsidR="002A144A">
              <w:rPr>
                <w:bdr w:val="none" w:sz="0" w:space="0" w:color="auto" w:frame="1"/>
                <w:shd w:val="clear" w:color="auto" w:fill="FFFFFF"/>
              </w:rPr>
              <w:t>,</w:t>
            </w:r>
            <w:r>
              <w:rPr>
                <w:bdr w:val="none" w:sz="0" w:space="0" w:color="auto" w:frame="1"/>
                <w:shd w:val="clear" w:color="auto" w:fill="FFFFFF"/>
              </w:rPr>
              <w:t xml:space="preserve"> prin notificare, de către </w:t>
            </w:r>
            <w:r w:rsidRPr="006C1DEB">
              <w:rPr>
                <w:bdr w:val="none" w:sz="0" w:space="0" w:color="auto" w:frame="1"/>
                <w:shd w:val="clear" w:color="auto" w:fill="FFFFFF"/>
              </w:rPr>
              <w:t>coordonatorii de reforme și/sau investiții, agențiile de implementar</w:t>
            </w:r>
            <w:r w:rsidR="002A144A">
              <w:rPr>
                <w:bdr w:val="none" w:sz="0" w:space="0" w:color="auto" w:frame="1"/>
                <w:shd w:val="clear" w:color="auto" w:fill="FFFFFF"/>
              </w:rPr>
              <w:t>e, structurile de implementare</w:t>
            </w:r>
            <w:r w:rsidRPr="006C1DEB">
              <w:rPr>
                <w:bdr w:val="none" w:sz="0" w:space="0" w:color="auto" w:frame="1"/>
                <w:shd w:val="clear" w:color="auto" w:fill="FFFFFF"/>
              </w:rPr>
              <w:t xml:space="preserve"> și responsabilii de implementarea investițiilor specifice locale</w:t>
            </w:r>
            <w:r>
              <w:rPr>
                <w:bdr w:val="none" w:sz="0" w:space="0" w:color="auto" w:frame="1"/>
                <w:shd w:val="clear" w:color="auto" w:fill="FFFFFF"/>
              </w:rPr>
              <w:t xml:space="preserve"> a </w:t>
            </w:r>
            <w:r w:rsidR="00DC3FE2">
              <w:rPr>
                <w:bdr w:val="none" w:sz="0" w:space="0" w:color="auto" w:frame="1"/>
                <w:shd w:val="clear" w:color="auto" w:fill="FFFFFF"/>
              </w:rPr>
              <w:t>c</w:t>
            </w:r>
            <w:r w:rsidR="00DC3FE2" w:rsidRPr="004E1637">
              <w:rPr>
                <w:bdr w:val="none" w:sz="0" w:space="0" w:color="auto" w:frame="1"/>
                <w:shd w:val="clear" w:color="auto" w:fill="FFFFFF"/>
              </w:rPr>
              <w:t>ontractel</w:t>
            </w:r>
            <w:r w:rsidR="00DC3FE2">
              <w:rPr>
                <w:bdr w:val="none" w:sz="0" w:space="0" w:color="auto" w:frame="1"/>
                <w:shd w:val="clear" w:color="auto" w:fill="FFFFFF"/>
              </w:rPr>
              <w:t>or</w:t>
            </w:r>
            <w:r w:rsidR="00DC3FE2" w:rsidRPr="004E1637">
              <w:rPr>
                <w:bdr w:val="none" w:sz="0" w:space="0" w:color="auto" w:frame="1"/>
                <w:shd w:val="clear" w:color="auto" w:fill="FFFFFF"/>
              </w:rPr>
              <w:t>/deciziil</w:t>
            </w:r>
            <w:r w:rsidR="00DC3FE2">
              <w:rPr>
                <w:bdr w:val="none" w:sz="0" w:space="0" w:color="auto" w:frame="1"/>
                <w:shd w:val="clear" w:color="auto" w:fill="FFFFFF"/>
              </w:rPr>
              <w:t>or</w:t>
            </w:r>
            <w:r w:rsidR="00DC3FE2" w:rsidRPr="004E1637">
              <w:rPr>
                <w:bdr w:val="none" w:sz="0" w:space="0" w:color="auto" w:frame="1"/>
                <w:shd w:val="clear" w:color="auto" w:fill="FFFFFF"/>
              </w:rPr>
              <w:t>/ordinel</w:t>
            </w:r>
            <w:r w:rsidR="00DC3FE2">
              <w:rPr>
                <w:bdr w:val="none" w:sz="0" w:space="0" w:color="auto" w:frame="1"/>
                <w:shd w:val="clear" w:color="auto" w:fill="FFFFFF"/>
              </w:rPr>
              <w:t>or</w:t>
            </w:r>
            <w:r w:rsidR="00DC3FE2" w:rsidRPr="004E1637">
              <w:rPr>
                <w:bdr w:val="none" w:sz="0" w:space="0" w:color="auto" w:frame="1"/>
                <w:shd w:val="clear" w:color="auto" w:fill="FFFFFF"/>
              </w:rPr>
              <w:t xml:space="preserve"> de finanțare </w:t>
            </w:r>
            <w:r w:rsidR="00DC3FE2">
              <w:rPr>
                <w:bdr w:val="none" w:sz="0" w:space="0" w:color="auto" w:frame="1"/>
                <w:shd w:val="clear" w:color="auto" w:fill="FFFFFF"/>
              </w:rPr>
              <w:t>finanțate din PNRR în cadrul cărora au fost parcurse etapele pregătitoare referitoare la elaborarea studiilor de fezabilitate, și/sau obținerea de avize și autorizații</w:t>
            </w:r>
            <w:r w:rsidR="002A144A">
              <w:rPr>
                <w:bdr w:val="none" w:sz="0" w:space="0" w:color="auto" w:frame="1"/>
                <w:shd w:val="clear" w:color="auto" w:fill="FFFFFF"/>
              </w:rPr>
              <w:t>,</w:t>
            </w:r>
            <w:r w:rsidR="00DC3FE2">
              <w:rPr>
                <w:bdr w:val="none" w:sz="0" w:space="0" w:color="auto" w:frame="1"/>
                <w:shd w:val="clear" w:color="auto" w:fill="FFFFFF"/>
              </w:rPr>
              <w:t xml:space="preserve"> procedurile de achiziție de lucrări au fost finalizate</w:t>
            </w:r>
            <w:r w:rsidR="002A144A">
              <w:rPr>
                <w:bdr w:val="none" w:sz="0" w:space="0" w:color="auto" w:frame="1"/>
                <w:shd w:val="clear" w:color="auto" w:fill="FFFFFF"/>
              </w:rPr>
              <w:t xml:space="preserve">, </w:t>
            </w:r>
            <w:r w:rsidR="002A144A" w:rsidRPr="002A144A">
              <w:rPr>
                <w:bdr w:val="none" w:sz="0" w:space="0" w:color="auto" w:frame="1"/>
                <w:shd w:val="clear" w:color="auto" w:fill="FFFFFF"/>
              </w:rPr>
              <w:t>iar în cadrul contractelor/acordurilor-cadru de achiziție încheiat</w:t>
            </w:r>
            <w:r w:rsidR="002A144A">
              <w:rPr>
                <w:bdr w:val="none" w:sz="0" w:space="0" w:color="auto" w:frame="1"/>
                <w:shd w:val="clear" w:color="auto" w:fill="FFFFFF"/>
              </w:rPr>
              <w:t>e</w:t>
            </w:r>
            <w:r w:rsidR="00DC3FE2">
              <w:rPr>
                <w:bdr w:val="none" w:sz="0" w:space="0" w:color="auto" w:frame="1"/>
                <w:shd w:val="clear" w:color="auto" w:fill="FFFFFF"/>
              </w:rPr>
              <w:t xml:space="preserve"> </w:t>
            </w:r>
            <w:r w:rsidR="002A144A">
              <w:rPr>
                <w:bdr w:val="none" w:sz="0" w:space="0" w:color="auto" w:frame="1"/>
                <w:shd w:val="clear" w:color="auto" w:fill="FFFFFF"/>
              </w:rPr>
              <w:t>nu au fost emise ordin</w:t>
            </w:r>
            <w:r w:rsidR="00D62082">
              <w:rPr>
                <w:bdr w:val="none" w:sz="0" w:space="0" w:color="auto" w:frame="1"/>
                <w:shd w:val="clear" w:color="auto" w:fill="FFFFFF"/>
              </w:rPr>
              <w:t>e</w:t>
            </w:r>
            <w:r w:rsidR="002A144A">
              <w:rPr>
                <w:bdr w:val="none" w:sz="0" w:space="0" w:color="auto" w:frame="1"/>
                <w:shd w:val="clear" w:color="auto" w:fill="FFFFFF"/>
              </w:rPr>
              <w:t xml:space="preserve">le </w:t>
            </w:r>
            <w:r w:rsidR="00DC3FE2">
              <w:rPr>
                <w:bdr w:val="none" w:sz="0" w:space="0" w:color="auto" w:frame="1"/>
                <w:shd w:val="clear" w:color="auto" w:fill="FFFFFF"/>
              </w:rPr>
              <w:t>de începere a lucrărilor</w:t>
            </w:r>
            <w:r w:rsidR="002A144A">
              <w:rPr>
                <w:bdr w:val="none" w:sz="0" w:space="0" w:color="auto" w:frame="1"/>
                <w:shd w:val="clear" w:color="auto" w:fill="FFFFFF"/>
              </w:rPr>
              <w:t xml:space="preserve"> de execuție</w:t>
            </w:r>
            <w:r w:rsidR="00DC3FE2">
              <w:rPr>
                <w:bdr w:val="none" w:sz="0" w:space="0" w:color="auto" w:frame="1"/>
                <w:shd w:val="clear" w:color="auto" w:fill="FFFFFF"/>
              </w:rPr>
              <w:t>,</w:t>
            </w:r>
          </w:p>
          <w:p w14:paraId="4DD2FD33" w14:textId="254DD078" w:rsidR="00DC3FE2" w:rsidRDefault="00DC3FE2" w:rsidP="00485EF8">
            <w:pPr>
              <w:spacing w:line="276" w:lineRule="auto"/>
              <w:jc w:val="both"/>
              <w:rPr>
                <w:bdr w:val="none" w:sz="0" w:space="0" w:color="auto" w:frame="1"/>
                <w:shd w:val="clear" w:color="auto" w:fill="FFFFFF"/>
              </w:rPr>
            </w:pPr>
            <w:r>
              <w:rPr>
                <w:rStyle w:val="spar"/>
                <w:kern w:val="2"/>
                <w14:ligatures w14:val="standardContextual"/>
              </w:rPr>
              <w:t>-</w:t>
            </w:r>
            <w:r w:rsidR="00485EF8">
              <w:rPr>
                <w:rStyle w:val="spar"/>
                <w:kern w:val="2"/>
                <w14:ligatures w14:val="standardContextual"/>
              </w:rPr>
              <w:t xml:space="preserve"> </w:t>
            </w:r>
            <w:r>
              <w:rPr>
                <w:bdr w:val="none" w:sz="0" w:space="0" w:color="auto" w:frame="1"/>
                <w:shd w:val="clear" w:color="auto" w:fill="FFFFFF"/>
              </w:rPr>
              <w:t xml:space="preserve">instituirea unei obligații de a obține </w:t>
            </w:r>
            <w:r w:rsidR="00580444">
              <w:rPr>
                <w:bdr w:val="none" w:sz="0" w:space="0" w:color="auto" w:frame="1"/>
                <w:shd w:val="clear" w:color="auto" w:fill="FFFFFF"/>
              </w:rPr>
              <w:t xml:space="preserve">aprobarea </w:t>
            </w:r>
            <w:r w:rsidR="00F42782">
              <w:rPr>
                <w:bdr w:val="none" w:sz="0" w:space="0" w:color="auto" w:frame="1"/>
                <w:shd w:val="clear" w:color="auto" w:fill="FFFFFF"/>
              </w:rPr>
              <w:t>Guvernului prin memorandum inițiat de</w:t>
            </w:r>
            <w:r w:rsidR="00F42782" w:rsidRPr="009A16FA">
              <w:rPr>
                <w:bdr w:val="none" w:sz="0" w:space="0" w:color="auto" w:frame="1"/>
                <w:shd w:val="clear" w:color="auto" w:fill="FFFFFF"/>
              </w:rPr>
              <w:t xml:space="preserve"> </w:t>
            </w:r>
            <w:r w:rsidR="00F42782">
              <w:rPr>
                <w:bdr w:val="none" w:sz="0" w:space="0" w:color="auto" w:frame="1"/>
                <w:shd w:val="clear" w:color="auto" w:fill="FFFFFF"/>
              </w:rPr>
              <w:t>către coordonatorul de reforme și/sau investiții cu privire la oportunitatea continuării investiției și a impactului bugetar total avizat de MF și MIPE</w:t>
            </w:r>
            <w:r>
              <w:rPr>
                <w:bdr w:val="none" w:sz="0" w:space="0" w:color="auto" w:frame="1"/>
                <w:shd w:val="clear" w:color="auto" w:fill="FFFFFF"/>
              </w:rPr>
              <w:t xml:space="preserve"> pentru continuarea derulării c</w:t>
            </w:r>
            <w:r w:rsidRPr="004E1637">
              <w:rPr>
                <w:bdr w:val="none" w:sz="0" w:space="0" w:color="auto" w:frame="1"/>
                <w:shd w:val="clear" w:color="auto" w:fill="FFFFFF"/>
              </w:rPr>
              <w:t>ontractel</w:t>
            </w:r>
            <w:r>
              <w:rPr>
                <w:bdr w:val="none" w:sz="0" w:space="0" w:color="auto" w:frame="1"/>
                <w:shd w:val="clear" w:color="auto" w:fill="FFFFFF"/>
              </w:rPr>
              <w:t>or</w:t>
            </w:r>
            <w:r w:rsidRPr="004E1637">
              <w:rPr>
                <w:bdr w:val="none" w:sz="0" w:space="0" w:color="auto" w:frame="1"/>
                <w:shd w:val="clear" w:color="auto" w:fill="FFFFFF"/>
              </w:rPr>
              <w:t>/deciziil</w:t>
            </w:r>
            <w:r>
              <w:rPr>
                <w:bdr w:val="none" w:sz="0" w:space="0" w:color="auto" w:frame="1"/>
                <w:shd w:val="clear" w:color="auto" w:fill="FFFFFF"/>
              </w:rPr>
              <w:t>or</w:t>
            </w:r>
            <w:r w:rsidRPr="004E1637">
              <w:rPr>
                <w:bdr w:val="none" w:sz="0" w:space="0" w:color="auto" w:frame="1"/>
                <w:shd w:val="clear" w:color="auto" w:fill="FFFFFF"/>
              </w:rPr>
              <w:t>/ordinel</w:t>
            </w:r>
            <w:r>
              <w:rPr>
                <w:bdr w:val="none" w:sz="0" w:space="0" w:color="auto" w:frame="1"/>
                <w:shd w:val="clear" w:color="auto" w:fill="FFFFFF"/>
              </w:rPr>
              <w:t>or</w:t>
            </w:r>
            <w:r w:rsidRPr="004E1637">
              <w:rPr>
                <w:bdr w:val="none" w:sz="0" w:space="0" w:color="auto" w:frame="1"/>
                <w:shd w:val="clear" w:color="auto" w:fill="FFFFFF"/>
              </w:rPr>
              <w:t xml:space="preserve"> de finanțare </w:t>
            </w:r>
            <w:r>
              <w:rPr>
                <w:bdr w:val="none" w:sz="0" w:space="0" w:color="auto" w:frame="1"/>
                <w:shd w:val="clear" w:color="auto" w:fill="FFFFFF"/>
              </w:rPr>
              <w:t xml:space="preserve">finanțate din PNRR în cadrul cărora progresul fizic al obiectivului de investiții, certificat prin situații de lucrări este </w:t>
            </w:r>
            <w:r w:rsidR="008D5E48">
              <w:rPr>
                <w:bdr w:val="none" w:sz="0" w:space="0" w:color="auto" w:frame="1"/>
                <w:shd w:val="clear" w:color="auto" w:fill="FFFFFF"/>
              </w:rPr>
              <w:t>mai mic de 30%</w:t>
            </w:r>
            <w:r w:rsidR="00F42782">
              <w:rPr>
                <w:bdr w:val="none" w:sz="0" w:space="0" w:color="auto" w:frame="1"/>
                <w:shd w:val="clear" w:color="auto" w:fill="FFFFFF"/>
              </w:rPr>
              <w:t>;</w:t>
            </w:r>
          </w:p>
          <w:p w14:paraId="51A3C639" w14:textId="59A58414" w:rsidR="00F42782" w:rsidRDefault="00F42782" w:rsidP="00485EF8">
            <w:pPr>
              <w:spacing w:line="276" w:lineRule="auto"/>
              <w:jc w:val="both"/>
              <w:rPr>
                <w:bdr w:val="none" w:sz="0" w:space="0" w:color="auto" w:frame="1"/>
                <w:shd w:val="clear" w:color="auto" w:fill="FFFFFF"/>
              </w:rPr>
            </w:pPr>
            <w:r>
              <w:rPr>
                <w:bdr w:val="none" w:sz="0" w:space="0" w:color="auto" w:frame="1"/>
                <w:shd w:val="clear" w:color="auto" w:fill="FFFFFF"/>
              </w:rPr>
              <w:t xml:space="preserve">- în situația în care progresul fizic al obiectivului de investiții, certificat prin situații de lucrări este mai mare de </w:t>
            </w:r>
            <w:r w:rsidR="00580444">
              <w:rPr>
                <w:bdr w:val="none" w:sz="0" w:space="0" w:color="auto" w:frame="1"/>
                <w:shd w:val="clear" w:color="auto" w:fill="FFFFFF"/>
              </w:rPr>
              <w:t>30%</w:t>
            </w:r>
            <w:r>
              <w:rPr>
                <w:bdr w:val="none" w:sz="0" w:space="0" w:color="auto" w:frame="1"/>
                <w:shd w:val="clear" w:color="auto" w:fill="FFFFFF"/>
              </w:rPr>
              <w:t xml:space="preserve">, continuarea implementării se va efectua </w:t>
            </w:r>
            <w:r w:rsidR="00580444">
              <w:rPr>
                <w:bdr w:val="none" w:sz="0" w:space="0" w:color="auto" w:frame="1"/>
                <w:shd w:val="clear" w:color="auto" w:fill="FFFFFF"/>
              </w:rPr>
              <w:t xml:space="preserve">doar </w:t>
            </w:r>
            <w:r w:rsidR="00580444" w:rsidRPr="00580444">
              <w:rPr>
                <w:bdr w:val="none" w:sz="0" w:space="0" w:color="auto" w:frame="1"/>
                <w:shd w:val="clear" w:color="auto" w:fill="FFFFFF"/>
              </w:rPr>
              <w:t xml:space="preserve">în condițiile în care finalizarea obiectivului conform </w:t>
            </w:r>
            <w:r w:rsidR="00580444" w:rsidRPr="00580444">
              <w:rPr>
                <w:bdr w:val="none" w:sz="0" w:space="0" w:color="auto" w:frame="1"/>
                <w:shd w:val="clear" w:color="auto" w:fill="FFFFFF"/>
              </w:rPr>
              <w:lastRenderedPageBreak/>
              <w:t>graficului de lucrări asumat este anterioară datei de 3</w:t>
            </w:r>
            <w:r w:rsidR="00607B7D">
              <w:rPr>
                <w:bdr w:val="none" w:sz="0" w:space="0" w:color="auto" w:frame="1"/>
                <w:shd w:val="clear" w:color="auto" w:fill="FFFFFF"/>
              </w:rPr>
              <w:t>1</w:t>
            </w:r>
            <w:r w:rsidR="00580444" w:rsidRPr="00580444">
              <w:rPr>
                <w:bdr w:val="none" w:sz="0" w:space="0" w:color="auto" w:frame="1"/>
                <w:shd w:val="clear" w:color="auto" w:fill="FFFFFF"/>
              </w:rPr>
              <w:t xml:space="preserve"> </w:t>
            </w:r>
            <w:r w:rsidR="00057B37">
              <w:rPr>
                <w:bdr w:val="none" w:sz="0" w:space="0" w:color="auto" w:frame="1"/>
                <w:shd w:val="clear" w:color="auto" w:fill="FFFFFF"/>
              </w:rPr>
              <w:t>august</w:t>
            </w:r>
            <w:r w:rsidR="00057B37" w:rsidRPr="00580444">
              <w:rPr>
                <w:bdr w:val="none" w:sz="0" w:space="0" w:color="auto" w:frame="1"/>
                <w:shd w:val="clear" w:color="auto" w:fill="FFFFFF"/>
              </w:rPr>
              <w:t xml:space="preserve"> </w:t>
            </w:r>
            <w:r w:rsidR="00580444" w:rsidRPr="00580444">
              <w:rPr>
                <w:bdr w:val="none" w:sz="0" w:space="0" w:color="auto" w:frame="1"/>
                <w:shd w:val="clear" w:color="auto" w:fill="FFFFFF"/>
              </w:rPr>
              <w:t>2026</w:t>
            </w:r>
            <w:r w:rsidR="00287637">
              <w:rPr>
                <w:bdr w:val="none" w:sz="0" w:space="0" w:color="auto" w:frame="1"/>
                <w:shd w:val="clear" w:color="auto" w:fill="FFFFFF"/>
              </w:rPr>
              <w:t xml:space="preserve">, </w:t>
            </w:r>
            <w:r w:rsidR="00287637" w:rsidRPr="00287637">
              <w:rPr>
                <w:bdr w:val="none" w:sz="0" w:space="0" w:color="auto" w:frame="1"/>
                <w:shd w:val="clear" w:color="auto" w:fill="FFFFFF"/>
              </w:rPr>
              <w:t>în baza unui aviz emis de către Ministerul Investițiilor și Proiectelor Europene la solicitarea coordonatorului de reforme și/sau investiții</w:t>
            </w:r>
            <w:r>
              <w:rPr>
                <w:bdr w:val="none" w:sz="0" w:space="0" w:color="auto" w:frame="1"/>
                <w:shd w:val="clear" w:color="auto" w:fill="FFFFFF"/>
              </w:rPr>
              <w:t>;</w:t>
            </w:r>
          </w:p>
          <w:p w14:paraId="65170A22" w14:textId="257C186D" w:rsidR="00DC3FE2" w:rsidRDefault="00BB2CCF" w:rsidP="00485EF8">
            <w:pPr>
              <w:spacing w:line="276" w:lineRule="auto"/>
              <w:jc w:val="both"/>
              <w:rPr>
                <w:bCs/>
                <w:bdr w:val="none" w:sz="0" w:space="0" w:color="auto" w:frame="1"/>
                <w:shd w:val="clear" w:color="auto" w:fill="FFFFFF"/>
              </w:rPr>
            </w:pPr>
            <w:r>
              <w:rPr>
                <w:bdr w:val="none" w:sz="0" w:space="0" w:color="auto" w:frame="1"/>
                <w:shd w:val="clear" w:color="auto" w:fill="FFFFFF"/>
              </w:rPr>
              <w:t>- instituiea unor excepții prin care pot fi încheiate noi angajamente legale și continuată implementarea c</w:t>
            </w:r>
            <w:r w:rsidRPr="004E1637">
              <w:rPr>
                <w:bdr w:val="none" w:sz="0" w:space="0" w:color="auto" w:frame="1"/>
                <w:shd w:val="clear" w:color="auto" w:fill="FFFFFF"/>
              </w:rPr>
              <w:t>ontractel</w:t>
            </w:r>
            <w:r>
              <w:rPr>
                <w:bdr w:val="none" w:sz="0" w:space="0" w:color="auto" w:frame="1"/>
                <w:shd w:val="clear" w:color="auto" w:fill="FFFFFF"/>
              </w:rPr>
              <w:t>or</w:t>
            </w:r>
            <w:r w:rsidRPr="004E1637">
              <w:rPr>
                <w:bdr w:val="none" w:sz="0" w:space="0" w:color="auto" w:frame="1"/>
                <w:shd w:val="clear" w:color="auto" w:fill="FFFFFF"/>
              </w:rPr>
              <w:t>/deciziil</w:t>
            </w:r>
            <w:r>
              <w:rPr>
                <w:bdr w:val="none" w:sz="0" w:space="0" w:color="auto" w:frame="1"/>
                <w:shd w:val="clear" w:color="auto" w:fill="FFFFFF"/>
              </w:rPr>
              <w:t>or</w:t>
            </w:r>
            <w:r w:rsidRPr="004E1637">
              <w:rPr>
                <w:bdr w:val="none" w:sz="0" w:space="0" w:color="auto" w:frame="1"/>
                <w:shd w:val="clear" w:color="auto" w:fill="FFFFFF"/>
              </w:rPr>
              <w:t>/ordinel</w:t>
            </w:r>
            <w:r>
              <w:rPr>
                <w:bdr w:val="none" w:sz="0" w:space="0" w:color="auto" w:frame="1"/>
                <w:shd w:val="clear" w:color="auto" w:fill="FFFFFF"/>
              </w:rPr>
              <w:t>or</w:t>
            </w:r>
            <w:r w:rsidRPr="004E1637">
              <w:rPr>
                <w:bdr w:val="none" w:sz="0" w:space="0" w:color="auto" w:frame="1"/>
                <w:shd w:val="clear" w:color="auto" w:fill="FFFFFF"/>
              </w:rPr>
              <w:t xml:space="preserve"> de finanțare</w:t>
            </w:r>
            <w:r>
              <w:rPr>
                <w:bdr w:val="none" w:sz="0" w:space="0" w:color="auto" w:frame="1"/>
                <w:shd w:val="clear" w:color="auto" w:fill="FFFFFF"/>
              </w:rPr>
              <w:t xml:space="preserve"> </w:t>
            </w:r>
            <w:r w:rsidRPr="00211F8A">
              <w:rPr>
                <w:bCs/>
                <w:bdr w:val="none" w:sz="0" w:space="0" w:color="auto" w:frame="1"/>
                <w:shd w:val="clear" w:color="auto" w:fill="FFFFFF"/>
              </w:rPr>
              <w:t xml:space="preserve">în scopul eficientizării și accelerării implementării investițiilor, precum și pentru atingerea jaloanelor și țintelor ce fac obiectul renegocierii în Planul Național de Redresare și Reziliență, </w:t>
            </w:r>
            <w:r>
              <w:rPr>
                <w:bCs/>
                <w:bdr w:val="none" w:sz="0" w:space="0" w:color="auto" w:frame="1"/>
                <w:shd w:val="clear" w:color="auto" w:fill="FFFFFF"/>
              </w:rPr>
              <w:t xml:space="preserve">respectiv prin </w:t>
            </w:r>
            <w:r w:rsidRPr="00211F8A">
              <w:rPr>
                <w:bCs/>
                <w:bdr w:val="none" w:sz="0" w:space="0" w:color="auto" w:frame="1"/>
                <w:shd w:val="clear" w:color="auto" w:fill="FFFFFF"/>
              </w:rPr>
              <w:t>memorandum inițiat de ordonatorii principali de credite cu rol de coordonatori de reformă și</w:t>
            </w:r>
            <w:r>
              <w:rPr>
                <w:bCs/>
                <w:bdr w:val="none" w:sz="0" w:space="0" w:color="auto" w:frame="1"/>
                <w:shd w:val="clear" w:color="auto" w:fill="FFFFFF"/>
              </w:rPr>
              <w:t>/sa</w:t>
            </w:r>
            <w:r w:rsidR="00FA230B">
              <w:rPr>
                <w:bCs/>
                <w:bdr w:val="none" w:sz="0" w:space="0" w:color="auto" w:frame="1"/>
                <w:shd w:val="clear" w:color="auto" w:fill="FFFFFF"/>
              </w:rPr>
              <w:t>u</w:t>
            </w:r>
            <w:r w:rsidRPr="00211F8A">
              <w:rPr>
                <w:bCs/>
                <w:bdr w:val="none" w:sz="0" w:space="0" w:color="auto" w:frame="1"/>
                <w:shd w:val="clear" w:color="auto" w:fill="FFFFFF"/>
              </w:rPr>
              <w:t xml:space="preserve"> investiții, cu avizul Ministerului Investițiilor și Proiectelor Europene, </w:t>
            </w:r>
          </w:p>
          <w:p w14:paraId="68C4A27E" w14:textId="356121CB" w:rsidR="00FA230B" w:rsidRPr="003E1697" w:rsidRDefault="00FA230B" w:rsidP="00485EF8">
            <w:pPr>
              <w:spacing w:line="276" w:lineRule="auto"/>
              <w:jc w:val="both"/>
              <w:rPr>
                <w:color w:val="000000" w:themeColor="text1"/>
                <w:bdr w:val="none" w:sz="0" w:space="0" w:color="auto" w:frame="1"/>
                <w:shd w:val="clear" w:color="auto" w:fill="FFFFFF"/>
              </w:rPr>
            </w:pPr>
            <w:r>
              <w:rPr>
                <w:bdr w:val="none" w:sz="0" w:space="0" w:color="auto" w:frame="1"/>
                <w:shd w:val="clear" w:color="auto" w:fill="FFFFFF"/>
              </w:rPr>
              <w:t>- reglementa</w:t>
            </w:r>
            <w:r w:rsidR="00485EF8">
              <w:rPr>
                <w:bdr w:val="none" w:sz="0" w:space="0" w:color="auto" w:frame="1"/>
                <w:shd w:val="clear" w:color="auto" w:fill="FFFFFF"/>
              </w:rPr>
              <w:t>rea</w:t>
            </w:r>
            <w:r>
              <w:rPr>
                <w:bdr w:val="none" w:sz="0" w:space="0" w:color="auto" w:frame="1"/>
                <w:shd w:val="clear" w:color="auto" w:fill="FFFFFF"/>
              </w:rPr>
              <w:t xml:space="preserve"> </w:t>
            </w:r>
            <w:r w:rsidR="003B4987">
              <w:rPr>
                <w:bdr w:val="none" w:sz="0" w:space="0" w:color="auto" w:frame="1"/>
                <w:shd w:val="clear" w:color="auto" w:fill="FFFFFF"/>
              </w:rPr>
              <w:t xml:space="preserve">interdicției </w:t>
            </w:r>
            <w:r>
              <w:rPr>
                <w:bdr w:val="none" w:sz="0" w:space="0" w:color="auto" w:frame="1"/>
                <w:shd w:val="clear" w:color="auto" w:fill="FFFFFF"/>
              </w:rPr>
              <w:t xml:space="preserve">de efectuare a transferurilor de fonduri publice </w:t>
            </w:r>
            <w:r w:rsidR="00860370" w:rsidRPr="00860370">
              <w:rPr>
                <w:color w:val="000000" w:themeColor="text1"/>
                <w:bdr w:val="none" w:sz="0" w:space="0" w:color="auto" w:frame="1"/>
                <w:shd w:val="clear" w:color="auto" w:fill="FFFFFF"/>
              </w:rPr>
              <w:t xml:space="preserve">aferente PNRR pentru proiectele ce fac obiectul informărilor Comisiei Europene cu privire la nerespectarea </w:t>
            </w:r>
            <w:r w:rsidRPr="00FA230B">
              <w:rPr>
                <w:color w:val="000000" w:themeColor="text1"/>
                <w:bdr w:val="none" w:sz="0" w:space="0" w:color="auto" w:frame="1"/>
                <w:shd w:val="clear" w:color="auto" w:fill="FFFFFF"/>
              </w:rPr>
              <w:t>Directivei 2014/24</w:t>
            </w:r>
            <w:r>
              <w:rPr>
                <w:color w:val="000000" w:themeColor="text1"/>
                <w:bdr w:val="none" w:sz="0" w:space="0" w:color="auto" w:frame="1"/>
                <w:shd w:val="clear" w:color="auto" w:fill="FFFFFF"/>
              </w:rPr>
              <w:t>/</w:t>
            </w:r>
            <w:bookmarkStart w:id="1" w:name="_Hlk204693075"/>
            <w:r>
              <w:rPr>
                <w:color w:val="000000" w:themeColor="text1"/>
                <w:bdr w:val="none" w:sz="0" w:space="0" w:color="auto" w:frame="1"/>
                <w:shd w:val="clear" w:color="auto" w:fill="FFFFFF"/>
              </w:rPr>
              <w:t>UE</w:t>
            </w:r>
            <w:r w:rsidR="000A1891">
              <w:t xml:space="preserve"> </w:t>
            </w:r>
            <w:r w:rsidR="000A1891" w:rsidRPr="000A1891">
              <w:rPr>
                <w:color w:val="000000" w:themeColor="text1"/>
                <w:bdr w:val="none" w:sz="0" w:space="0" w:color="auto" w:frame="1"/>
                <w:shd w:val="clear" w:color="auto" w:fill="FFFFFF"/>
              </w:rPr>
              <w:t xml:space="preserve">a Parlamentului European și a Consiliului din 26 februarie 2014 </w:t>
            </w:r>
            <w:r w:rsidRPr="003E1697">
              <w:rPr>
                <w:b/>
                <w:bCs/>
                <w:color w:val="000000" w:themeColor="text1"/>
                <w:bdr w:val="none" w:sz="0" w:space="0" w:color="auto" w:frame="1"/>
                <w:shd w:val="clear" w:color="auto" w:fill="FFFFFF"/>
              </w:rPr>
              <w:t xml:space="preserve"> </w:t>
            </w:r>
            <w:r w:rsidRPr="003E1697">
              <w:rPr>
                <w:color w:val="000000" w:themeColor="text1"/>
                <w:bdr w:val="none" w:sz="0" w:space="0" w:color="auto" w:frame="1"/>
                <w:shd w:val="clear" w:color="auto" w:fill="FFFFFF"/>
              </w:rPr>
              <w:t>privind achizițiile publice și de abrogare a Directivei 2004/18/CE,</w:t>
            </w:r>
          </w:p>
          <w:bookmarkEnd w:id="1"/>
          <w:p w14:paraId="3F5824B9" w14:textId="7362F126" w:rsidR="00FA230B" w:rsidRDefault="00FA230B" w:rsidP="00485EF8">
            <w:pPr>
              <w:spacing w:line="276" w:lineRule="auto"/>
              <w:jc w:val="both"/>
              <w:rPr>
                <w:bCs/>
                <w:bdr w:val="none" w:sz="0" w:space="0" w:color="auto" w:frame="1"/>
                <w:shd w:val="clear" w:color="auto" w:fill="FFFFFF"/>
              </w:rPr>
            </w:pPr>
            <w:r w:rsidRPr="003E1697">
              <w:rPr>
                <w:color w:val="000000" w:themeColor="text1"/>
                <w:bdr w:val="none" w:sz="0" w:space="0" w:color="auto" w:frame="1"/>
                <w:shd w:val="clear" w:color="auto" w:fill="FFFFFF"/>
                <w:lang w:val="fr-FR"/>
              </w:rPr>
              <w:t>- reglementa</w:t>
            </w:r>
            <w:r w:rsidR="00485EF8" w:rsidRPr="003E1697">
              <w:rPr>
                <w:color w:val="000000" w:themeColor="text1"/>
                <w:bdr w:val="none" w:sz="0" w:space="0" w:color="auto" w:frame="1"/>
                <w:shd w:val="clear" w:color="auto" w:fill="FFFFFF"/>
                <w:lang w:val="fr-FR"/>
              </w:rPr>
              <w:t>rea</w:t>
            </w:r>
            <w:r w:rsidR="00DF7E3D">
              <w:t xml:space="preserve"> </w:t>
            </w:r>
            <w:r w:rsidR="00DF7E3D" w:rsidRPr="00DF7E3D">
              <w:rPr>
                <w:color w:val="000000" w:themeColor="text1"/>
                <w:bdr w:val="none" w:sz="0" w:space="0" w:color="auto" w:frame="1"/>
                <w:shd w:val="clear" w:color="auto" w:fill="FFFFFF"/>
                <w:lang w:val="fr-FR"/>
              </w:rPr>
              <w:t>pentru anul 2025</w:t>
            </w:r>
            <w:r w:rsidR="00DF7E3D">
              <w:rPr>
                <w:color w:val="000000" w:themeColor="text1"/>
                <w:bdr w:val="none" w:sz="0" w:space="0" w:color="auto" w:frame="1"/>
                <w:shd w:val="clear" w:color="auto" w:fill="FFFFFF"/>
                <w:lang w:val="fr-FR"/>
              </w:rPr>
              <w:t xml:space="preserve"> a</w:t>
            </w:r>
            <w:r w:rsidR="00DF7E3D" w:rsidRPr="00DF7E3D">
              <w:rPr>
                <w:color w:val="000000" w:themeColor="text1"/>
                <w:bdr w:val="none" w:sz="0" w:space="0" w:color="auto" w:frame="1"/>
                <w:shd w:val="clear" w:color="auto" w:fill="FFFFFF"/>
                <w:lang w:val="fr-FR"/>
              </w:rPr>
              <w:t xml:space="preserve"> </w:t>
            </w:r>
            <w:r w:rsidRPr="003E1697">
              <w:rPr>
                <w:color w:val="000000" w:themeColor="text1"/>
                <w:bdr w:val="none" w:sz="0" w:space="0" w:color="auto" w:frame="1"/>
                <w:shd w:val="clear" w:color="auto" w:fill="FFFFFF"/>
                <w:lang w:val="fr-FR"/>
              </w:rPr>
              <w:t xml:space="preserve"> </w:t>
            </w:r>
            <w:proofErr w:type="spellStart"/>
            <w:r w:rsidRPr="003E1697">
              <w:rPr>
                <w:color w:val="000000" w:themeColor="text1"/>
                <w:bdr w:val="none" w:sz="0" w:space="0" w:color="auto" w:frame="1"/>
                <w:shd w:val="clear" w:color="auto" w:fill="FFFFFF"/>
                <w:lang w:val="fr-FR"/>
              </w:rPr>
              <w:t>modalit</w:t>
            </w:r>
            <w:r w:rsidR="00485EF8" w:rsidRPr="003E1697">
              <w:rPr>
                <w:color w:val="000000" w:themeColor="text1"/>
                <w:bdr w:val="none" w:sz="0" w:space="0" w:color="auto" w:frame="1"/>
                <w:shd w:val="clear" w:color="auto" w:fill="FFFFFF"/>
                <w:lang w:val="fr-FR"/>
              </w:rPr>
              <w:t>ății</w:t>
            </w:r>
            <w:proofErr w:type="spellEnd"/>
            <w:r w:rsidRPr="003E1697">
              <w:rPr>
                <w:color w:val="000000" w:themeColor="text1"/>
                <w:bdr w:val="none" w:sz="0" w:space="0" w:color="auto" w:frame="1"/>
                <w:shd w:val="clear" w:color="auto" w:fill="FFFFFF"/>
                <w:lang w:val="fr-FR"/>
              </w:rPr>
              <w:t xml:space="preserve"> de </w:t>
            </w:r>
            <w:proofErr w:type="spellStart"/>
            <w:r w:rsidRPr="003E1697">
              <w:rPr>
                <w:color w:val="000000" w:themeColor="text1"/>
                <w:bdr w:val="none" w:sz="0" w:space="0" w:color="auto" w:frame="1"/>
                <w:shd w:val="clear" w:color="auto" w:fill="FFFFFF"/>
                <w:lang w:val="fr-FR"/>
              </w:rPr>
              <w:t>încheiere</w:t>
            </w:r>
            <w:proofErr w:type="spellEnd"/>
            <w:r w:rsidRPr="003E1697">
              <w:rPr>
                <w:color w:val="000000" w:themeColor="text1"/>
                <w:bdr w:val="none" w:sz="0" w:space="0" w:color="auto" w:frame="1"/>
                <w:shd w:val="clear" w:color="auto" w:fill="FFFFFF"/>
                <w:lang w:val="fr-FR"/>
              </w:rPr>
              <w:t xml:space="preserve"> a </w:t>
            </w:r>
            <w:proofErr w:type="spellStart"/>
            <w:r w:rsidRPr="003E1697">
              <w:rPr>
                <w:color w:val="000000" w:themeColor="text1"/>
                <w:bdr w:val="none" w:sz="0" w:space="0" w:color="auto" w:frame="1"/>
                <w:shd w:val="clear" w:color="auto" w:fill="FFFFFF"/>
                <w:lang w:val="fr-FR"/>
              </w:rPr>
              <w:t>unor</w:t>
            </w:r>
            <w:proofErr w:type="spellEnd"/>
            <w:r w:rsidRPr="003E1697">
              <w:rPr>
                <w:color w:val="000000" w:themeColor="text1"/>
                <w:bdr w:val="none" w:sz="0" w:space="0" w:color="auto" w:frame="1"/>
                <w:shd w:val="clear" w:color="auto" w:fill="FFFFFF"/>
                <w:lang w:val="fr-FR"/>
              </w:rPr>
              <w:t xml:space="preserve"> </w:t>
            </w:r>
            <w:proofErr w:type="spellStart"/>
            <w:r w:rsidRPr="003E1697">
              <w:rPr>
                <w:color w:val="000000" w:themeColor="text1"/>
                <w:bdr w:val="none" w:sz="0" w:space="0" w:color="auto" w:frame="1"/>
                <w:shd w:val="clear" w:color="auto" w:fill="FFFFFF"/>
                <w:lang w:val="fr-FR"/>
              </w:rPr>
              <w:t>no</w:t>
            </w:r>
            <w:r w:rsidR="006032A0">
              <w:rPr>
                <w:color w:val="000000" w:themeColor="text1"/>
                <w:bdr w:val="none" w:sz="0" w:space="0" w:color="auto" w:frame="1"/>
                <w:shd w:val="clear" w:color="auto" w:fill="FFFFFF"/>
                <w:lang w:val="fr-FR"/>
              </w:rPr>
              <w:t>u</w:t>
            </w:r>
            <w:proofErr w:type="spellEnd"/>
            <w:r w:rsidRPr="003E1697">
              <w:rPr>
                <w:color w:val="000000" w:themeColor="text1"/>
                <w:bdr w:val="none" w:sz="0" w:space="0" w:color="auto" w:frame="1"/>
                <w:shd w:val="clear" w:color="auto" w:fill="FFFFFF"/>
                <w:lang w:val="fr-FR"/>
              </w:rPr>
              <w:t xml:space="preserve"> </w:t>
            </w:r>
            <w:proofErr w:type="spellStart"/>
            <w:r w:rsidRPr="003E1697">
              <w:rPr>
                <w:color w:val="000000" w:themeColor="text1"/>
                <w:bdr w:val="none" w:sz="0" w:space="0" w:color="auto" w:frame="1"/>
                <w:shd w:val="clear" w:color="auto" w:fill="FFFFFF"/>
                <w:lang w:val="fr-FR"/>
              </w:rPr>
              <w:t>angajamente</w:t>
            </w:r>
            <w:proofErr w:type="spellEnd"/>
            <w:r w:rsidRPr="003E1697">
              <w:rPr>
                <w:color w:val="000000" w:themeColor="text1"/>
                <w:bdr w:val="none" w:sz="0" w:space="0" w:color="auto" w:frame="1"/>
                <w:shd w:val="clear" w:color="auto" w:fill="FFFFFF"/>
                <w:lang w:val="fr-FR"/>
              </w:rPr>
              <w:t xml:space="preserve"> </w:t>
            </w:r>
            <w:r w:rsidRPr="00E8558D">
              <w:rPr>
                <w:bCs/>
                <w:bdr w:val="none" w:sz="0" w:space="0" w:color="auto" w:frame="1"/>
                <w:shd w:val="clear" w:color="auto" w:fill="FFFFFF"/>
              </w:rPr>
              <w:t>legale pentru proiecte de investiții no</w:t>
            </w:r>
            <w:r>
              <w:rPr>
                <w:bCs/>
                <w:bdr w:val="none" w:sz="0" w:space="0" w:color="auto" w:frame="1"/>
                <w:shd w:val="clear" w:color="auto" w:fill="FFFFFF"/>
              </w:rPr>
              <w:t>u</w:t>
            </w:r>
            <w:r w:rsidRPr="00E8558D">
              <w:rPr>
                <w:bCs/>
                <w:bdr w:val="none" w:sz="0" w:space="0" w:color="auto" w:frame="1"/>
                <w:shd w:val="clear" w:color="auto" w:fill="FFFFFF"/>
              </w:rPr>
              <w:t xml:space="preserve"> finanțate prin Programul național de dezvoltare locală etapa I și etapa a II-a, Programul național de investiții ”Anghel Saligny” și Programul național de construcții de interes public sau social</w:t>
            </w:r>
            <w:r>
              <w:rPr>
                <w:bCs/>
                <w:bdr w:val="none" w:sz="0" w:space="0" w:color="auto" w:frame="1"/>
                <w:shd w:val="clear" w:color="auto" w:fill="FFFFFF"/>
              </w:rPr>
              <w:t>, începând cu data intrării în vigoare a prezentei ordonanțe de urgență,</w:t>
            </w:r>
            <w:r w:rsidRPr="00E8558D">
              <w:rPr>
                <w:bCs/>
                <w:bdr w:val="none" w:sz="0" w:space="0" w:color="auto" w:frame="1"/>
                <w:shd w:val="clear" w:color="auto" w:fill="FFFFFF"/>
              </w:rPr>
              <w:t xml:space="preserve"> </w:t>
            </w:r>
            <w:r>
              <w:rPr>
                <w:bCs/>
                <w:bdr w:val="none" w:sz="0" w:space="0" w:color="auto" w:frame="1"/>
                <w:shd w:val="clear" w:color="auto" w:fill="FFFFFF"/>
              </w:rPr>
              <w:t xml:space="preserve">precum și </w:t>
            </w:r>
            <w:r w:rsidRPr="00E8558D">
              <w:rPr>
                <w:bCs/>
                <w:bdr w:val="none" w:sz="0" w:space="0" w:color="auto" w:frame="1"/>
                <w:shd w:val="clear" w:color="auto" w:fill="FFFFFF"/>
              </w:rPr>
              <w:t>atribuirea de noi contracte de prestări de servicii, de execuție de lucrări, aferente proiectelor de investiții finanțate din fonduri publice, de către Compania Națională de Investiții "C.N.I." - S.A</w:t>
            </w:r>
            <w:r>
              <w:rPr>
                <w:bCs/>
                <w:bdr w:val="none" w:sz="0" w:space="0" w:color="auto" w:frame="1"/>
                <w:shd w:val="clear" w:color="auto" w:fill="FFFFFF"/>
              </w:rPr>
              <w:t>,</w:t>
            </w:r>
          </w:p>
          <w:p w14:paraId="48E92804" w14:textId="2D2CDFEC" w:rsidR="00FA230B" w:rsidRDefault="00FA230B" w:rsidP="00485EF8">
            <w:pPr>
              <w:spacing w:line="276" w:lineRule="auto"/>
              <w:jc w:val="both"/>
              <w:rPr>
                <w:bCs/>
                <w:bdr w:val="none" w:sz="0" w:space="0" w:color="auto" w:frame="1"/>
                <w:shd w:val="clear" w:color="auto" w:fill="FFFFFF"/>
              </w:rPr>
            </w:pPr>
            <w:r>
              <w:rPr>
                <w:color w:val="000000" w:themeColor="text1"/>
                <w:bdr w:val="none" w:sz="0" w:space="0" w:color="auto" w:frame="1"/>
                <w:shd w:val="clear" w:color="auto" w:fill="FFFFFF"/>
              </w:rPr>
              <w:t>- institui</w:t>
            </w:r>
            <w:r w:rsidR="00485EF8">
              <w:rPr>
                <w:color w:val="000000" w:themeColor="text1"/>
                <w:bdr w:val="none" w:sz="0" w:space="0" w:color="auto" w:frame="1"/>
                <w:shd w:val="clear" w:color="auto" w:fill="FFFFFF"/>
              </w:rPr>
              <w:t>rea</w:t>
            </w:r>
            <w:r w:rsidR="003C5B35">
              <w:rPr>
                <w:color w:val="000000" w:themeColor="text1"/>
                <w:bdr w:val="none" w:sz="0" w:space="0" w:color="auto" w:frame="1"/>
                <w:shd w:val="clear" w:color="auto" w:fill="FFFFFF"/>
              </w:rPr>
              <w:t>, pentru anul 2025, a</w:t>
            </w:r>
            <w:r w:rsidR="0053061F">
              <w:rPr>
                <w:color w:val="000000" w:themeColor="text1"/>
                <w:bdr w:val="none" w:sz="0" w:space="0" w:color="auto" w:frame="1"/>
                <w:shd w:val="clear" w:color="auto" w:fill="FFFFFF"/>
              </w:rPr>
              <w:t xml:space="preserve"> </w:t>
            </w:r>
            <w:r>
              <w:rPr>
                <w:color w:val="000000" w:themeColor="text1"/>
                <w:bdr w:val="none" w:sz="0" w:space="0" w:color="auto" w:frame="1"/>
                <w:shd w:val="clear" w:color="auto" w:fill="FFFFFF"/>
              </w:rPr>
              <w:t>interdicți</w:t>
            </w:r>
            <w:r w:rsidR="00485EF8">
              <w:rPr>
                <w:color w:val="000000" w:themeColor="text1"/>
                <w:bdr w:val="none" w:sz="0" w:space="0" w:color="auto" w:frame="1"/>
                <w:shd w:val="clear" w:color="auto" w:fill="FFFFFF"/>
              </w:rPr>
              <w:t>ei</w:t>
            </w:r>
            <w:r>
              <w:rPr>
                <w:color w:val="000000" w:themeColor="text1"/>
                <w:bdr w:val="none" w:sz="0" w:space="0" w:color="auto" w:frame="1"/>
                <w:shd w:val="clear" w:color="auto" w:fill="FFFFFF"/>
              </w:rPr>
              <w:t xml:space="preserve"> depășirii </w:t>
            </w:r>
            <w:r w:rsidRPr="00E8558D">
              <w:rPr>
                <w:bCs/>
                <w:bdr w:val="none" w:sz="0" w:space="0" w:color="auto" w:frame="1"/>
                <w:shd w:val="clear" w:color="auto" w:fill="FFFFFF"/>
              </w:rPr>
              <w:t>sumelor aloca</w:t>
            </w:r>
            <w:r>
              <w:rPr>
                <w:bCs/>
                <w:bdr w:val="none" w:sz="0" w:space="0" w:color="auto" w:frame="1"/>
                <w:shd w:val="clear" w:color="auto" w:fill="FFFFFF"/>
              </w:rPr>
              <w:t xml:space="preserve">te în euro, la nivel de program prevăzute la </w:t>
            </w:r>
            <w:r w:rsidRPr="00E8558D">
              <w:rPr>
                <w:bCs/>
                <w:bdr w:val="none" w:sz="0" w:space="0" w:color="auto" w:frame="1"/>
                <w:shd w:val="clear" w:color="auto" w:fill="FFFFFF"/>
              </w:rPr>
              <w:t>art</w:t>
            </w:r>
            <w:r>
              <w:rPr>
                <w:bCs/>
                <w:bdr w:val="none" w:sz="0" w:space="0" w:color="auto" w:frame="1"/>
                <w:shd w:val="clear" w:color="auto" w:fill="FFFFFF"/>
              </w:rPr>
              <w:t>.</w:t>
            </w:r>
            <w:r w:rsidRPr="00E8558D">
              <w:rPr>
                <w:bCs/>
                <w:bdr w:val="none" w:sz="0" w:space="0" w:color="auto" w:frame="1"/>
                <w:shd w:val="clear" w:color="auto" w:fill="FFFFFF"/>
              </w:rPr>
              <w:t xml:space="preserve"> 15 din Ordonanța de urgență a Guvernului nr. 133/2021</w:t>
            </w:r>
            <w:r w:rsidR="00642C57">
              <w:rPr>
                <w:bCs/>
                <w:bdr w:val="none" w:sz="0" w:space="0" w:color="auto" w:frame="1"/>
                <w:shd w:val="clear" w:color="auto" w:fill="FFFFFF"/>
              </w:rPr>
              <w:t>,</w:t>
            </w:r>
            <w:r w:rsidRPr="00E8558D">
              <w:rPr>
                <w:bCs/>
                <w:bdr w:val="none" w:sz="0" w:space="0" w:color="auto" w:frame="1"/>
                <w:shd w:val="clear" w:color="auto" w:fill="FFFFFF"/>
              </w:rPr>
              <w:t xml:space="preserve"> </w:t>
            </w:r>
            <w:r w:rsidR="000A1891" w:rsidRPr="000A1891">
              <w:rPr>
                <w:bCs/>
                <w:bdr w:val="none" w:sz="0" w:space="0" w:color="auto" w:frame="1"/>
                <w:shd w:val="clear" w:color="auto" w:fill="FFFFFF"/>
              </w:rPr>
              <w:t>aprobată cu modificări prin Legea nr. 231/202</w:t>
            </w:r>
            <w:r w:rsidR="00057B37">
              <w:rPr>
                <w:bCs/>
                <w:bdr w:val="none" w:sz="0" w:space="0" w:color="auto" w:frame="1"/>
                <w:shd w:val="clear" w:color="auto" w:fill="FFFFFF"/>
              </w:rPr>
              <w:t>3</w:t>
            </w:r>
            <w:r w:rsidRPr="00E8558D">
              <w:rPr>
                <w:bCs/>
                <w:bdr w:val="none" w:sz="0" w:space="0" w:color="auto" w:frame="1"/>
                <w:shd w:val="clear" w:color="auto" w:fill="FFFFFF"/>
              </w:rPr>
              <w:t>, cu modificăr</w:t>
            </w:r>
            <w:r>
              <w:rPr>
                <w:bCs/>
                <w:bdr w:val="none" w:sz="0" w:space="0" w:color="auto" w:frame="1"/>
                <w:shd w:val="clear" w:color="auto" w:fill="FFFFFF"/>
              </w:rPr>
              <w:t>ile și completările ulterioare,</w:t>
            </w:r>
            <w:r w:rsidR="00485EF8">
              <w:rPr>
                <w:bCs/>
                <w:bdr w:val="none" w:sz="0" w:space="0" w:color="auto" w:frame="1"/>
                <w:shd w:val="clear" w:color="auto" w:fill="FFFFFF"/>
              </w:rPr>
              <w:t xml:space="preserve"> cât și </w:t>
            </w:r>
            <w:r w:rsidR="009B3BF6">
              <w:rPr>
                <w:bCs/>
                <w:bdr w:val="none" w:sz="0" w:space="0" w:color="auto" w:frame="1"/>
                <w:shd w:val="clear" w:color="auto" w:fill="FFFFFF"/>
              </w:rPr>
              <w:t xml:space="preserve"> condițiile de exceptare</w:t>
            </w:r>
            <w:r w:rsidR="0053061F">
              <w:rPr>
                <w:bCs/>
                <w:bdr w:val="none" w:sz="0" w:space="0" w:color="auto" w:frame="1"/>
                <w:shd w:val="clear" w:color="auto" w:fill="FFFFFF"/>
              </w:rPr>
              <w:t>.</w:t>
            </w:r>
          </w:p>
          <w:p w14:paraId="0E53FB86" w14:textId="5A9AAEDD" w:rsidR="00FA230B" w:rsidRPr="00FA230B" w:rsidRDefault="00FA230B" w:rsidP="00642C57">
            <w:pPr>
              <w:spacing w:line="360" w:lineRule="auto"/>
              <w:jc w:val="both"/>
              <w:rPr>
                <w:color w:val="000000" w:themeColor="text1"/>
                <w:bdr w:val="none" w:sz="0" w:space="0" w:color="auto" w:frame="1"/>
                <w:shd w:val="clear" w:color="auto" w:fill="FFFFFF"/>
              </w:rPr>
            </w:pPr>
          </w:p>
          <w:p w14:paraId="45862F79" w14:textId="1366FE9C" w:rsidR="00303141" w:rsidRPr="00607AB7" w:rsidRDefault="00303141" w:rsidP="00C46976">
            <w:pPr>
              <w:spacing w:line="276" w:lineRule="auto"/>
              <w:jc w:val="both"/>
              <w:rPr>
                <w:bdr w:val="none" w:sz="0" w:space="0" w:color="auto" w:frame="1"/>
              </w:rPr>
            </w:pPr>
          </w:p>
        </w:tc>
      </w:tr>
      <w:tr w:rsidR="00607AB7" w:rsidRPr="00607AB7" w14:paraId="6B402A63" w14:textId="77777777" w:rsidTr="009C70FA">
        <w:trPr>
          <w:trHeight w:val="841"/>
        </w:trPr>
        <w:tc>
          <w:tcPr>
            <w:tcW w:w="10490" w:type="dxa"/>
          </w:tcPr>
          <w:p w14:paraId="55F804E5" w14:textId="77777777" w:rsidR="001B42FA" w:rsidRPr="00607AB7" w:rsidRDefault="003E2EA8" w:rsidP="0064057C">
            <w:pPr>
              <w:autoSpaceDE w:val="0"/>
              <w:autoSpaceDN w:val="0"/>
              <w:adjustRightInd w:val="0"/>
              <w:spacing w:line="276" w:lineRule="auto"/>
              <w:jc w:val="both"/>
              <w:rPr>
                <w:b/>
                <w:bCs/>
                <w:lang w:eastAsia="en-GB"/>
              </w:rPr>
            </w:pPr>
            <w:r w:rsidRPr="00607AB7">
              <w:rPr>
                <w:b/>
                <w:bCs/>
                <w:lang w:eastAsia="en-GB"/>
              </w:rPr>
              <w:lastRenderedPageBreak/>
              <w:t>2.4 Alte informații *)</w:t>
            </w:r>
          </w:p>
          <w:p w14:paraId="63637308" w14:textId="77777777" w:rsidR="003D5447" w:rsidRPr="00607AB7" w:rsidRDefault="003D5447" w:rsidP="00607AB7">
            <w:pPr>
              <w:autoSpaceDE w:val="0"/>
              <w:autoSpaceDN w:val="0"/>
              <w:adjustRightInd w:val="0"/>
              <w:jc w:val="both"/>
              <w:rPr>
                <w:rFonts w:ascii="Trebuchet MS" w:hAnsi="Trebuchet MS"/>
                <w:bCs/>
                <w:sz w:val="22"/>
                <w:szCs w:val="22"/>
                <w:lang w:eastAsia="ro-RO"/>
              </w:rPr>
            </w:pPr>
          </w:p>
          <w:p w14:paraId="64D21A19" w14:textId="5739626D" w:rsidR="00885C31" w:rsidRPr="00607AB7" w:rsidRDefault="00885C31" w:rsidP="00420EEF">
            <w:pPr>
              <w:autoSpaceDE w:val="0"/>
              <w:autoSpaceDN w:val="0"/>
              <w:adjustRightInd w:val="0"/>
              <w:spacing w:line="276" w:lineRule="auto"/>
              <w:jc w:val="both"/>
              <w:rPr>
                <w:bCs/>
                <w:lang w:eastAsia="ro-RO"/>
              </w:rPr>
            </w:pPr>
          </w:p>
        </w:tc>
      </w:tr>
    </w:tbl>
    <w:p w14:paraId="554F7114" w14:textId="77777777" w:rsidR="00922760" w:rsidRPr="00607AB7" w:rsidRDefault="00DB715E" w:rsidP="00151751">
      <w:pPr>
        <w:spacing w:line="276" w:lineRule="auto"/>
        <w:rPr>
          <w:b/>
        </w:rPr>
      </w:pPr>
      <w:r w:rsidRPr="00607AB7">
        <w:rPr>
          <w:b/>
        </w:rPr>
        <w:t xml:space="preserve">   </w:t>
      </w:r>
      <w:r w:rsidR="007C16BF" w:rsidRPr="00607AB7">
        <w:rPr>
          <w:b/>
        </w:rPr>
        <w:t xml:space="preserve">   </w:t>
      </w:r>
    </w:p>
    <w:p w14:paraId="3DB54A60" w14:textId="77777777" w:rsidR="00922760" w:rsidRPr="00607AB7" w:rsidRDefault="00922760" w:rsidP="00151751">
      <w:pPr>
        <w:spacing w:line="276" w:lineRule="auto"/>
        <w:rPr>
          <w:b/>
        </w:rPr>
      </w:pPr>
    </w:p>
    <w:p w14:paraId="4794020D" w14:textId="63B1F949" w:rsidR="00223491" w:rsidRPr="00607AB7" w:rsidRDefault="002D2045" w:rsidP="00151751">
      <w:pPr>
        <w:spacing w:line="276" w:lineRule="auto"/>
        <w:rPr>
          <w:b/>
        </w:rPr>
      </w:pPr>
      <w:r w:rsidRPr="00607AB7">
        <w:rPr>
          <w:b/>
        </w:rPr>
        <w:tab/>
      </w:r>
      <w:r w:rsidR="003864F6" w:rsidRPr="00607AB7">
        <w:rPr>
          <w:b/>
        </w:rPr>
        <w:t>Secțiunea</w:t>
      </w:r>
      <w:r w:rsidR="00670C79" w:rsidRPr="00607AB7">
        <w:rPr>
          <w:b/>
        </w:rPr>
        <w:t xml:space="preserve"> a 3-a </w:t>
      </w:r>
    </w:p>
    <w:p w14:paraId="4E4A7A8E" w14:textId="1497639D" w:rsidR="00670C79" w:rsidRPr="00607AB7" w:rsidRDefault="00670C79" w:rsidP="0064057C">
      <w:pPr>
        <w:spacing w:line="276" w:lineRule="auto"/>
        <w:ind w:firstLine="720"/>
        <w:rPr>
          <w:b/>
        </w:rPr>
      </w:pPr>
      <w:r w:rsidRPr="00607AB7">
        <w:rPr>
          <w:b/>
        </w:rPr>
        <w:t xml:space="preserve">Impactul socioeconomic </w:t>
      </w:r>
      <w:r w:rsidR="0064777F" w:rsidRPr="00607AB7">
        <w:rPr>
          <w:b/>
        </w:rPr>
        <w:t>**)</w:t>
      </w:r>
    </w:p>
    <w:p w14:paraId="0ED54479" w14:textId="5903C1C2" w:rsidR="00BA1894" w:rsidRPr="00607AB7" w:rsidRDefault="00BA1894" w:rsidP="0064057C">
      <w:pPr>
        <w:spacing w:line="276" w:lineRule="auto"/>
        <w:ind w:firstLine="720"/>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607AB7" w:rsidRPr="00607AB7" w14:paraId="4F7B7B5A" w14:textId="77777777" w:rsidTr="009C70FA">
        <w:tc>
          <w:tcPr>
            <w:tcW w:w="10533" w:type="dxa"/>
          </w:tcPr>
          <w:p w14:paraId="612A275C" w14:textId="77777777" w:rsidR="00F72189" w:rsidRPr="00607AB7" w:rsidRDefault="00F72189" w:rsidP="0064057C">
            <w:pPr>
              <w:spacing w:line="276" w:lineRule="auto"/>
              <w:jc w:val="both"/>
              <w:rPr>
                <w:b/>
              </w:rPr>
            </w:pPr>
            <w:r w:rsidRPr="00607AB7">
              <w:rPr>
                <w:b/>
              </w:rPr>
              <w:t>3.1 Descrierea generală a beneficiilor și costurilor estimate ca urmare a intrării în vigoare a actului normativ</w:t>
            </w:r>
          </w:p>
          <w:p w14:paraId="0675353F" w14:textId="77777777" w:rsidR="00F72189" w:rsidRPr="00607AB7" w:rsidRDefault="00F72189" w:rsidP="0064057C">
            <w:pPr>
              <w:spacing w:line="276" w:lineRule="auto"/>
              <w:jc w:val="both"/>
              <w:rPr>
                <w:b/>
              </w:rPr>
            </w:pPr>
            <w:r w:rsidRPr="00607AB7">
              <w:rPr>
                <w:b/>
              </w:rPr>
              <w:t>3.2 Impactul social</w:t>
            </w:r>
          </w:p>
          <w:p w14:paraId="13458C25" w14:textId="7E5DDCD2" w:rsidR="00203210" w:rsidRDefault="00FB45DC" w:rsidP="00203210">
            <w:pPr>
              <w:spacing w:line="276" w:lineRule="auto"/>
              <w:jc w:val="both"/>
              <w:rPr>
                <w:bCs/>
              </w:rPr>
            </w:pPr>
            <w:r w:rsidRPr="00607AB7">
              <w:rPr>
                <w:bCs/>
              </w:rPr>
              <w:t xml:space="preserve">    </w:t>
            </w:r>
            <w:r w:rsidR="00203210" w:rsidRPr="00203210">
              <w:rPr>
                <w:bCs/>
              </w:rPr>
              <w:t>Proiectul de act normativ nu se referă la acest subiect</w:t>
            </w:r>
            <w:r w:rsidR="00203210">
              <w:rPr>
                <w:bCs/>
              </w:rPr>
              <w:t>.</w:t>
            </w:r>
          </w:p>
          <w:p w14:paraId="190C27FD" w14:textId="40DDE101" w:rsidR="00FB45DC" w:rsidRPr="00607AB7" w:rsidRDefault="00FB45DC" w:rsidP="00203210">
            <w:pPr>
              <w:spacing w:line="276" w:lineRule="auto"/>
              <w:jc w:val="both"/>
              <w:rPr>
                <w:bCs/>
              </w:rPr>
            </w:pPr>
          </w:p>
          <w:p w14:paraId="71A3E7CB" w14:textId="232B29F4" w:rsidR="00F72189" w:rsidRPr="00607AB7" w:rsidRDefault="00F72189" w:rsidP="0064057C">
            <w:pPr>
              <w:spacing w:line="276" w:lineRule="auto"/>
              <w:jc w:val="both"/>
              <w:rPr>
                <w:b/>
              </w:rPr>
            </w:pPr>
            <w:r w:rsidRPr="00607AB7">
              <w:rPr>
                <w:b/>
              </w:rPr>
              <w:t xml:space="preserve">3.3. Impactul asupra drepturilor și libertăților fundamentale ale omului </w:t>
            </w:r>
          </w:p>
          <w:p w14:paraId="17DED89A" w14:textId="1D4EFAE4" w:rsidR="00203210" w:rsidRDefault="00FB45DC" w:rsidP="0064057C">
            <w:pPr>
              <w:spacing w:line="276" w:lineRule="auto"/>
              <w:jc w:val="both"/>
              <w:rPr>
                <w:bCs/>
              </w:rPr>
            </w:pPr>
            <w:r w:rsidRPr="00607AB7">
              <w:rPr>
                <w:bCs/>
              </w:rPr>
              <w:t xml:space="preserve">    </w:t>
            </w:r>
            <w:r w:rsidR="00203210" w:rsidRPr="00203210">
              <w:rPr>
                <w:bCs/>
              </w:rPr>
              <w:t>Proiectul de act normativ nu se referă la acest subiect</w:t>
            </w:r>
            <w:r w:rsidR="00203210">
              <w:rPr>
                <w:bCs/>
              </w:rPr>
              <w:t>.</w:t>
            </w:r>
          </w:p>
          <w:p w14:paraId="49F54BE2" w14:textId="7D4F44CB" w:rsidR="00FB45DC" w:rsidRPr="00607AB7" w:rsidRDefault="00FB45DC" w:rsidP="00203210">
            <w:pPr>
              <w:spacing w:line="276" w:lineRule="auto"/>
              <w:jc w:val="both"/>
              <w:rPr>
                <w:bCs/>
              </w:rPr>
            </w:pPr>
          </w:p>
          <w:p w14:paraId="139B6ECC" w14:textId="3BEF0A3B" w:rsidR="00FB45DC" w:rsidRPr="00607AB7" w:rsidRDefault="00FD3526" w:rsidP="0064057C">
            <w:pPr>
              <w:spacing w:line="276" w:lineRule="auto"/>
              <w:jc w:val="both"/>
              <w:rPr>
                <w:b/>
              </w:rPr>
            </w:pPr>
            <w:r w:rsidRPr="00607AB7">
              <w:rPr>
                <w:b/>
              </w:rPr>
              <w:t>3.4. Impactul macroeconomic</w:t>
            </w:r>
          </w:p>
          <w:p w14:paraId="4D194D62" w14:textId="77777777" w:rsidR="001A52F1" w:rsidRPr="00607AB7" w:rsidRDefault="001A52F1" w:rsidP="0064057C">
            <w:pPr>
              <w:spacing w:line="276" w:lineRule="auto"/>
              <w:jc w:val="both"/>
            </w:pPr>
            <w:r w:rsidRPr="00607AB7">
              <w:t>Proiectul de act normativ nu se referă la acest subiect.</w:t>
            </w:r>
          </w:p>
          <w:p w14:paraId="164EC38B" w14:textId="4863D9E5" w:rsidR="00F72189" w:rsidRPr="00607AB7" w:rsidRDefault="00F72189" w:rsidP="0064057C">
            <w:pPr>
              <w:spacing w:line="276" w:lineRule="auto"/>
              <w:jc w:val="both"/>
              <w:rPr>
                <w:b/>
              </w:rPr>
            </w:pPr>
            <w:r w:rsidRPr="00607AB7">
              <w:rPr>
                <w:b/>
              </w:rPr>
              <w:t>3.</w:t>
            </w:r>
            <w:r w:rsidR="00FD3526" w:rsidRPr="00607AB7">
              <w:rPr>
                <w:b/>
              </w:rPr>
              <w:t>4</w:t>
            </w:r>
            <w:r w:rsidRPr="00607AB7">
              <w:rPr>
                <w:b/>
              </w:rPr>
              <w:t xml:space="preserve">.1 Impactul asupra </w:t>
            </w:r>
            <w:r w:rsidR="00FD3526" w:rsidRPr="00607AB7">
              <w:rPr>
                <w:b/>
              </w:rPr>
              <w:t xml:space="preserve">economiei și asupra </w:t>
            </w:r>
            <w:r w:rsidRPr="00607AB7">
              <w:rPr>
                <w:b/>
              </w:rPr>
              <w:t>principalilor indicatori macroeconomici</w:t>
            </w:r>
          </w:p>
          <w:p w14:paraId="52850EAE" w14:textId="77777777" w:rsidR="00D30B06" w:rsidRPr="00607AB7" w:rsidRDefault="00D30B06" w:rsidP="0064057C">
            <w:pPr>
              <w:spacing w:line="276" w:lineRule="auto"/>
              <w:jc w:val="both"/>
            </w:pPr>
            <w:r w:rsidRPr="00607AB7">
              <w:t>Proiectul de act normativ nu se referă la acest subiect.</w:t>
            </w:r>
          </w:p>
          <w:p w14:paraId="18C98DD5" w14:textId="3E18A52A" w:rsidR="00F72189" w:rsidRPr="00607AB7" w:rsidRDefault="00F72189" w:rsidP="0064057C">
            <w:pPr>
              <w:spacing w:line="276" w:lineRule="auto"/>
              <w:jc w:val="both"/>
              <w:rPr>
                <w:b/>
              </w:rPr>
            </w:pPr>
            <w:r w:rsidRPr="00607AB7">
              <w:rPr>
                <w:b/>
              </w:rPr>
              <w:t>3.</w:t>
            </w:r>
            <w:r w:rsidR="00FD3526" w:rsidRPr="00607AB7">
              <w:rPr>
                <w:b/>
              </w:rPr>
              <w:t>4</w:t>
            </w:r>
            <w:r w:rsidRPr="00607AB7">
              <w:rPr>
                <w:b/>
              </w:rPr>
              <w:t>.2 Impactul asupra mediului concurențial si domeniul</w:t>
            </w:r>
            <w:r w:rsidR="00FB45DC" w:rsidRPr="00607AB7">
              <w:rPr>
                <w:b/>
              </w:rPr>
              <w:t>ui</w:t>
            </w:r>
            <w:r w:rsidRPr="00607AB7">
              <w:rPr>
                <w:b/>
              </w:rPr>
              <w:t xml:space="preserve"> ajutoarelor de stat</w:t>
            </w:r>
          </w:p>
          <w:p w14:paraId="39875987" w14:textId="623B8A5D" w:rsidR="009545F6" w:rsidRPr="00607AB7" w:rsidRDefault="009545F6" w:rsidP="0064057C">
            <w:pPr>
              <w:pStyle w:val="NormalWeb"/>
              <w:spacing w:before="0" w:beforeAutospacing="0" w:after="0" w:afterAutospacing="0" w:line="276" w:lineRule="auto"/>
              <w:jc w:val="both"/>
            </w:pPr>
            <w:r w:rsidRPr="00607AB7">
              <w:lastRenderedPageBreak/>
              <w:t xml:space="preserve">Proiectul de act normativ are impact asupra mediului concurenţial şi domeniului ajutoarelor de stat. </w:t>
            </w:r>
          </w:p>
          <w:p w14:paraId="18826DC8" w14:textId="77777777" w:rsidR="009545F6" w:rsidRPr="00607AB7" w:rsidRDefault="009545F6" w:rsidP="0064057C">
            <w:pPr>
              <w:pStyle w:val="NormalWeb"/>
              <w:spacing w:before="0" w:beforeAutospacing="0" w:after="0" w:afterAutospacing="0" w:line="276" w:lineRule="auto"/>
              <w:jc w:val="both"/>
            </w:pPr>
            <w:r w:rsidRPr="00607AB7">
              <w:t>Reformele și investițiile din cadrul PNRR se implementează inclusiv prin intermediul schemelor de ajutor de stat/de minimis. Conform prevederilor din Planul național de redresare și reziliență, a fost stipulată necesitatea asigurării conformității cu regulile naționale și europene aplicabile domeniului ajutoarelor de stat.</w:t>
            </w:r>
          </w:p>
          <w:p w14:paraId="08CC60DE" w14:textId="3D060709" w:rsidR="009545F6" w:rsidRPr="00607AB7" w:rsidRDefault="00F72189" w:rsidP="0064057C">
            <w:pPr>
              <w:spacing w:line="276" w:lineRule="auto"/>
              <w:jc w:val="both"/>
              <w:rPr>
                <w:b/>
              </w:rPr>
            </w:pPr>
            <w:r w:rsidRPr="00607AB7">
              <w:rPr>
                <w:b/>
              </w:rPr>
              <w:t>3.</w:t>
            </w:r>
            <w:r w:rsidR="00FD3526" w:rsidRPr="00607AB7">
              <w:rPr>
                <w:b/>
              </w:rPr>
              <w:t>5</w:t>
            </w:r>
            <w:r w:rsidRPr="00607AB7">
              <w:rPr>
                <w:b/>
              </w:rPr>
              <w:t>. Impactul asupra mediului de afaceri</w:t>
            </w:r>
          </w:p>
          <w:p w14:paraId="2B48AE27" w14:textId="7B1C2B57" w:rsidR="0064057C" w:rsidRPr="00607AB7" w:rsidRDefault="0064057C" w:rsidP="0064057C">
            <w:pPr>
              <w:spacing w:line="276" w:lineRule="auto"/>
              <w:jc w:val="both"/>
              <w:rPr>
                <w:b/>
              </w:rPr>
            </w:pPr>
            <w:r w:rsidRPr="00607AB7">
              <w:t>Proiectul de act normativ nu se referă la acest subiect.</w:t>
            </w:r>
          </w:p>
          <w:p w14:paraId="18F88A51" w14:textId="77777777" w:rsidR="00C033E3" w:rsidRPr="00607AB7" w:rsidRDefault="00FD3526" w:rsidP="0064057C">
            <w:pPr>
              <w:spacing w:line="276" w:lineRule="auto"/>
              <w:jc w:val="both"/>
              <w:rPr>
                <w:b/>
              </w:rPr>
            </w:pPr>
            <w:r w:rsidRPr="00607AB7">
              <w:rPr>
                <w:b/>
              </w:rPr>
              <w:t>3.6 Impactul asupra mediului înconjurător</w:t>
            </w:r>
          </w:p>
          <w:p w14:paraId="41ACF09B" w14:textId="232336C3" w:rsidR="00031D8D" w:rsidRPr="00607AB7" w:rsidRDefault="00D30B06" w:rsidP="0064057C">
            <w:pPr>
              <w:spacing w:line="276" w:lineRule="auto"/>
              <w:jc w:val="both"/>
              <w:rPr>
                <w:b/>
              </w:rPr>
            </w:pPr>
            <w:r w:rsidRPr="00607AB7">
              <w:t>Proiectul de act normativ nu se referă la acest subiect.</w:t>
            </w:r>
          </w:p>
          <w:p w14:paraId="3A82850D" w14:textId="77777777" w:rsidR="00C033E3" w:rsidRPr="00607AB7" w:rsidRDefault="00FD3526" w:rsidP="0064057C">
            <w:pPr>
              <w:spacing w:line="276" w:lineRule="auto"/>
              <w:jc w:val="both"/>
              <w:rPr>
                <w:b/>
                <w:bCs/>
              </w:rPr>
            </w:pPr>
            <w:r w:rsidRPr="00607AB7">
              <w:rPr>
                <w:b/>
                <w:bCs/>
              </w:rPr>
              <w:t>3.7. Evaluarea costurilor și beneficiilor din perspectiva inovării și digitalizării</w:t>
            </w:r>
          </w:p>
          <w:p w14:paraId="4590BA78" w14:textId="748F5A27" w:rsidR="00031D8D" w:rsidRPr="00607AB7" w:rsidRDefault="00D30B06" w:rsidP="0064057C">
            <w:pPr>
              <w:spacing w:line="276" w:lineRule="auto"/>
              <w:jc w:val="both"/>
              <w:rPr>
                <w:b/>
                <w:bCs/>
              </w:rPr>
            </w:pPr>
            <w:r w:rsidRPr="00607AB7">
              <w:t>Proiectul de act normativ nu se referă la acest subiect.</w:t>
            </w:r>
          </w:p>
          <w:p w14:paraId="7757C40E" w14:textId="77777777" w:rsidR="00C033E3" w:rsidRPr="00607AB7" w:rsidRDefault="00FD3526" w:rsidP="0064057C">
            <w:pPr>
              <w:spacing w:line="276" w:lineRule="auto"/>
              <w:jc w:val="both"/>
              <w:rPr>
                <w:b/>
                <w:bCs/>
              </w:rPr>
            </w:pPr>
            <w:r w:rsidRPr="00607AB7">
              <w:rPr>
                <w:b/>
                <w:bCs/>
              </w:rPr>
              <w:t>3.8 Evaluarea costurilor și beneficiilor din perspectiva dezvoltării durabile</w:t>
            </w:r>
          </w:p>
          <w:p w14:paraId="703E42F4" w14:textId="0CF6E910" w:rsidR="0046279C" w:rsidRPr="00607AB7" w:rsidRDefault="00D30B06" w:rsidP="0064057C">
            <w:pPr>
              <w:spacing w:line="276" w:lineRule="auto"/>
              <w:jc w:val="both"/>
              <w:rPr>
                <w:b/>
                <w:bCs/>
              </w:rPr>
            </w:pPr>
            <w:r w:rsidRPr="00607AB7">
              <w:t>Proiectul de act normativ nu se referă la acest subiect.</w:t>
            </w:r>
          </w:p>
          <w:p w14:paraId="041FB550" w14:textId="47581C68" w:rsidR="009545F6" w:rsidRPr="00607AB7" w:rsidRDefault="0046279C" w:rsidP="0064057C">
            <w:pPr>
              <w:spacing w:line="276" w:lineRule="auto"/>
              <w:jc w:val="both"/>
              <w:rPr>
                <w:b/>
                <w:bCs/>
              </w:rPr>
            </w:pPr>
            <w:r w:rsidRPr="00607AB7">
              <w:t xml:space="preserve"> </w:t>
            </w:r>
            <w:r w:rsidR="00FD3526" w:rsidRPr="00607AB7">
              <w:rPr>
                <w:b/>
                <w:bCs/>
              </w:rPr>
              <w:t>3.9. Alte informații</w:t>
            </w:r>
          </w:p>
        </w:tc>
      </w:tr>
    </w:tbl>
    <w:p w14:paraId="288C6A1B" w14:textId="77777777" w:rsidR="00BA1894" w:rsidRPr="00607AB7" w:rsidRDefault="00BA1894" w:rsidP="0064057C">
      <w:pPr>
        <w:spacing w:line="276" w:lineRule="auto"/>
        <w:ind w:firstLine="720"/>
        <w:jc w:val="both"/>
        <w:rPr>
          <w:b/>
        </w:rPr>
      </w:pPr>
    </w:p>
    <w:p w14:paraId="7638B368" w14:textId="77777777" w:rsidR="00C10285" w:rsidRPr="00607AB7" w:rsidRDefault="00C10285" w:rsidP="0064057C">
      <w:pPr>
        <w:spacing w:line="276" w:lineRule="auto"/>
        <w:ind w:firstLine="720"/>
        <w:jc w:val="both"/>
        <w:rPr>
          <w:b/>
        </w:rPr>
      </w:pPr>
    </w:p>
    <w:p w14:paraId="20A2BC5C" w14:textId="572E5C01" w:rsidR="005A13C5" w:rsidRPr="00607AB7" w:rsidRDefault="00670C79" w:rsidP="0064057C">
      <w:pPr>
        <w:spacing w:line="276" w:lineRule="auto"/>
        <w:ind w:firstLine="720"/>
        <w:jc w:val="both"/>
        <w:rPr>
          <w:b/>
        </w:rPr>
      </w:pPr>
      <w:r w:rsidRPr="00607AB7">
        <w:rPr>
          <w:b/>
        </w:rPr>
        <w:t xml:space="preserve">Secţiunea a 4-a </w:t>
      </w:r>
    </w:p>
    <w:p w14:paraId="34AED0C5" w14:textId="62EE1554" w:rsidR="00670C79" w:rsidRPr="00607AB7" w:rsidRDefault="00670C79" w:rsidP="0064057C">
      <w:pPr>
        <w:spacing w:line="276" w:lineRule="auto"/>
        <w:ind w:firstLine="720"/>
        <w:jc w:val="both"/>
        <w:rPr>
          <w:b/>
        </w:rPr>
      </w:pPr>
      <w:r w:rsidRPr="00607AB7">
        <w:rPr>
          <w:b/>
        </w:rPr>
        <w:t xml:space="preserve">Impactul financiar asupra bugetului </w:t>
      </w:r>
      <w:r w:rsidR="0064777F" w:rsidRPr="00607AB7">
        <w:rPr>
          <w:b/>
        </w:rPr>
        <w:t>general</w:t>
      </w:r>
      <w:r w:rsidRPr="00607AB7">
        <w:rPr>
          <w:b/>
        </w:rPr>
        <w:t xml:space="preserve"> consolidat atât pe termen scurt, pentru</w:t>
      </w:r>
      <w:r w:rsidR="00DB71DB" w:rsidRPr="00607AB7">
        <w:rPr>
          <w:b/>
        </w:rPr>
        <w:t xml:space="preserve"> </w:t>
      </w:r>
      <w:r w:rsidRPr="00607AB7">
        <w:rPr>
          <w:b/>
        </w:rPr>
        <w:t>anul curent, cât şi pe termen lung (pe 5 ani)</w:t>
      </w:r>
      <w:r w:rsidR="003034B1" w:rsidRPr="00607AB7">
        <w:rPr>
          <w:b/>
        </w:rPr>
        <w:t>, inclusiv informații cu privire la cheltuieli și venituri</w:t>
      </w:r>
      <w:r w:rsidR="0064777F" w:rsidRPr="00607AB7">
        <w:rPr>
          <w:b/>
        </w:rPr>
        <w:t xml:space="preserve"> ***)</w:t>
      </w:r>
    </w:p>
    <w:p w14:paraId="59F88B4B" w14:textId="77777777" w:rsidR="00BA1894" w:rsidRPr="00607AB7" w:rsidRDefault="00BA1894" w:rsidP="0064057C">
      <w:pPr>
        <w:spacing w:line="276" w:lineRule="auto"/>
        <w:ind w:firstLine="720"/>
        <w:jc w:val="both"/>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058"/>
        <w:gridCol w:w="1366"/>
        <w:gridCol w:w="1466"/>
        <w:gridCol w:w="1366"/>
        <w:gridCol w:w="1135"/>
        <w:gridCol w:w="1448"/>
      </w:tblGrid>
      <w:tr w:rsidR="00607AB7" w:rsidRPr="00607AB7" w14:paraId="0C843357" w14:textId="77777777" w:rsidTr="009C70FA">
        <w:tc>
          <w:tcPr>
            <w:tcW w:w="10533" w:type="dxa"/>
            <w:gridSpan w:val="7"/>
          </w:tcPr>
          <w:p w14:paraId="33061C9B" w14:textId="7824EB12" w:rsidR="009A76F9" w:rsidRPr="00607AB7" w:rsidRDefault="009A76F9" w:rsidP="0064057C">
            <w:pPr>
              <w:pStyle w:val="ListParagraph"/>
              <w:numPr>
                <w:ilvl w:val="0"/>
                <w:numId w:val="13"/>
              </w:numPr>
              <w:spacing w:line="276" w:lineRule="auto"/>
              <w:jc w:val="right"/>
              <w:rPr>
                <w:rFonts w:ascii="Times New Roman" w:hAnsi="Times New Roman" w:cs="Times New Roman"/>
              </w:rPr>
            </w:pPr>
            <w:r w:rsidRPr="00607AB7">
              <w:rPr>
                <w:rFonts w:ascii="Times New Roman" w:hAnsi="Times New Roman" w:cs="Times New Roman"/>
              </w:rPr>
              <w:t>În mii lei (RON)</w:t>
            </w:r>
          </w:p>
        </w:tc>
      </w:tr>
      <w:tr w:rsidR="00607AB7" w:rsidRPr="00607AB7" w14:paraId="57D824B3" w14:textId="77777777" w:rsidTr="005A13C5">
        <w:tc>
          <w:tcPr>
            <w:tcW w:w="2694" w:type="dxa"/>
          </w:tcPr>
          <w:p w14:paraId="318BEE35" w14:textId="77777777" w:rsidR="00670C79" w:rsidRPr="00607AB7" w:rsidRDefault="00670C79" w:rsidP="0064057C">
            <w:pPr>
              <w:pStyle w:val="Heading2"/>
              <w:spacing w:line="276" w:lineRule="auto"/>
              <w:rPr>
                <w:sz w:val="24"/>
              </w:rPr>
            </w:pPr>
            <w:r w:rsidRPr="00607AB7">
              <w:rPr>
                <w:sz w:val="24"/>
              </w:rPr>
              <w:t>Indicatori</w:t>
            </w:r>
          </w:p>
        </w:tc>
        <w:tc>
          <w:tcPr>
            <w:tcW w:w="1058" w:type="dxa"/>
          </w:tcPr>
          <w:p w14:paraId="603E3C85" w14:textId="129C77CD" w:rsidR="00670C79" w:rsidRPr="00607AB7" w:rsidRDefault="00670C79" w:rsidP="0064057C">
            <w:pPr>
              <w:spacing w:line="276" w:lineRule="auto"/>
              <w:jc w:val="center"/>
            </w:pPr>
            <w:r w:rsidRPr="00607AB7">
              <w:t>An</w:t>
            </w:r>
            <w:r w:rsidR="009A76F9" w:rsidRPr="00607AB7">
              <w:t>ul</w:t>
            </w:r>
            <w:r w:rsidRPr="00607AB7">
              <w:t xml:space="preserve"> curent</w:t>
            </w:r>
          </w:p>
        </w:tc>
        <w:tc>
          <w:tcPr>
            <w:tcW w:w="5333" w:type="dxa"/>
            <w:gridSpan w:val="4"/>
          </w:tcPr>
          <w:p w14:paraId="4EA4AF47" w14:textId="77777777" w:rsidR="00670C79" w:rsidRPr="00607AB7" w:rsidRDefault="00670C79" w:rsidP="0064057C">
            <w:pPr>
              <w:spacing w:line="276" w:lineRule="auto"/>
              <w:jc w:val="center"/>
            </w:pPr>
            <w:r w:rsidRPr="00607AB7">
              <w:t>Următorii 4 ani</w:t>
            </w:r>
          </w:p>
        </w:tc>
        <w:tc>
          <w:tcPr>
            <w:tcW w:w="1448" w:type="dxa"/>
          </w:tcPr>
          <w:p w14:paraId="1EE52564" w14:textId="74A4CFA0" w:rsidR="00670C79" w:rsidRPr="00607AB7" w:rsidRDefault="00670C79" w:rsidP="0064057C">
            <w:pPr>
              <w:spacing w:line="276" w:lineRule="auto"/>
              <w:jc w:val="center"/>
            </w:pPr>
            <w:r w:rsidRPr="00607AB7">
              <w:t xml:space="preserve">Media </w:t>
            </w:r>
            <w:r w:rsidR="009A76F9" w:rsidRPr="00607AB7">
              <w:t>pe</w:t>
            </w:r>
            <w:r w:rsidRPr="00607AB7">
              <w:t xml:space="preserve"> 5 ani</w:t>
            </w:r>
          </w:p>
        </w:tc>
      </w:tr>
      <w:tr w:rsidR="00607AB7" w:rsidRPr="00607AB7" w14:paraId="31AEB740" w14:textId="77777777" w:rsidTr="005A13C5">
        <w:tc>
          <w:tcPr>
            <w:tcW w:w="2694" w:type="dxa"/>
          </w:tcPr>
          <w:p w14:paraId="1A04C9C9" w14:textId="77777777" w:rsidR="00670C79" w:rsidRPr="00607AB7" w:rsidRDefault="00670C79" w:rsidP="0064057C">
            <w:pPr>
              <w:spacing w:line="276" w:lineRule="auto"/>
              <w:jc w:val="center"/>
            </w:pPr>
            <w:r w:rsidRPr="00607AB7">
              <w:t>1</w:t>
            </w:r>
          </w:p>
        </w:tc>
        <w:tc>
          <w:tcPr>
            <w:tcW w:w="1058" w:type="dxa"/>
            <w:vAlign w:val="center"/>
          </w:tcPr>
          <w:p w14:paraId="44BDE6EE" w14:textId="77777777" w:rsidR="00670C79" w:rsidRPr="00607AB7" w:rsidRDefault="00670C79" w:rsidP="0064057C">
            <w:pPr>
              <w:spacing w:line="276" w:lineRule="auto"/>
              <w:jc w:val="center"/>
            </w:pPr>
            <w:r w:rsidRPr="00607AB7">
              <w:t>2</w:t>
            </w:r>
          </w:p>
        </w:tc>
        <w:tc>
          <w:tcPr>
            <w:tcW w:w="1366" w:type="dxa"/>
            <w:vAlign w:val="center"/>
          </w:tcPr>
          <w:p w14:paraId="44511A2B" w14:textId="77777777" w:rsidR="00670C79" w:rsidRPr="00607AB7" w:rsidRDefault="00670C79" w:rsidP="0064057C">
            <w:pPr>
              <w:spacing w:line="276" w:lineRule="auto"/>
              <w:jc w:val="center"/>
            </w:pPr>
            <w:r w:rsidRPr="00607AB7">
              <w:t>3</w:t>
            </w:r>
          </w:p>
        </w:tc>
        <w:tc>
          <w:tcPr>
            <w:tcW w:w="1466" w:type="dxa"/>
            <w:vAlign w:val="center"/>
          </w:tcPr>
          <w:p w14:paraId="7665B810" w14:textId="77777777" w:rsidR="00670C79" w:rsidRPr="00607AB7" w:rsidRDefault="00670C79" w:rsidP="0064057C">
            <w:pPr>
              <w:spacing w:line="276" w:lineRule="auto"/>
              <w:jc w:val="center"/>
            </w:pPr>
            <w:r w:rsidRPr="00607AB7">
              <w:t>4</w:t>
            </w:r>
          </w:p>
        </w:tc>
        <w:tc>
          <w:tcPr>
            <w:tcW w:w="1366" w:type="dxa"/>
            <w:vAlign w:val="center"/>
          </w:tcPr>
          <w:p w14:paraId="375332DA" w14:textId="77777777" w:rsidR="00670C79" w:rsidRPr="00607AB7" w:rsidRDefault="00670C79" w:rsidP="0064057C">
            <w:pPr>
              <w:spacing w:line="276" w:lineRule="auto"/>
              <w:jc w:val="center"/>
            </w:pPr>
            <w:r w:rsidRPr="00607AB7">
              <w:t>5</w:t>
            </w:r>
          </w:p>
        </w:tc>
        <w:tc>
          <w:tcPr>
            <w:tcW w:w="1135" w:type="dxa"/>
            <w:vAlign w:val="center"/>
          </w:tcPr>
          <w:p w14:paraId="0DD2A48C" w14:textId="77777777" w:rsidR="00670C79" w:rsidRPr="00607AB7" w:rsidRDefault="00670C79" w:rsidP="0064057C">
            <w:pPr>
              <w:spacing w:line="276" w:lineRule="auto"/>
              <w:jc w:val="center"/>
            </w:pPr>
            <w:r w:rsidRPr="00607AB7">
              <w:t>6</w:t>
            </w:r>
          </w:p>
        </w:tc>
        <w:tc>
          <w:tcPr>
            <w:tcW w:w="1448" w:type="dxa"/>
            <w:vAlign w:val="center"/>
          </w:tcPr>
          <w:p w14:paraId="64FF500C" w14:textId="77777777" w:rsidR="00670C79" w:rsidRPr="00607AB7" w:rsidRDefault="00670C79" w:rsidP="0064057C">
            <w:pPr>
              <w:spacing w:line="276" w:lineRule="auto"/>
              <w:jc w:val="center"/>
            </w:pPr>
            <w:r w:rsidRPr="00607AB7">
              <w:t>7</w:t>
            </w:r>
          </w:p>
        </w:tc>
      </w:tr>
      <w:tr w:rsidR="00607AB7" w:rsidRPr="00607AB7" w14:paraId="24F374CE" w14:textId="77777777" w:rsidTr="005A13C5">
        <w:tc>
          <w:tcPr>
            <w:tcW w:w="2694" w:type="dxa"/>
          </w:tcPr>
          <w:p w14:paraId="7075F3AB" w14:textId="3D2A3576" w:rsidR="0025682E" w:rsidRPr="00607AB7" w:rsidRDefault="00CD28D5" w:rsidP="0064057C">
            <w:pPr>
              <w:spacing w:line="276" w:lineRule="auto"/>
              <w:jc w:val="both"/>
              <w:rPr>
                <w:b/>
                <w:bCs/>
              </w:rPr>
            </w:pPr>
            <w:r w:rsidRPr="00607AB7">
              <w:rPr>
                <w:b/>
                <w:bCs/>
              </w:rPr>
              <w:t>4.</w:t>
            </w:r>
            <w:r w:rsidR="00670C79" w:rsidRPr="00607AB7">
              <w:rPr>
                <w:b/>
                <w:bCs/>
              </w:rPr>
              <w:t>1.</w:t>
            </w:r>
            <w:r w:rsidRPr="00607AB7">
              <w:rPr>
                <w:b/>
                <w:bCs/>
              </w:rPr>
              <w:t xml:space="preserve"> </w:t>
            </w:r>
            <w:r w:rsidR="00670C79" w:rsidRPr="00607AB7">
              <w:rPr>
                <w:b/>
                <w:bCs/>
              </w:rPr>
              <w:t>Modificări ale veniturilor bugetare, plus/minus, din care:</w:t>
            </w:r>
          </w:p>
        </w:tc>
        <w:tc>
          <w:tcPr>
            <w:tcW w:w="1058" w:type="dxa"/>
          </w:tcPr>
          <w:p w14:paraId="7811CDB2" w14:textId="290A30BC" w:rsidR="00670C79" w:rsidRPr="00607AB7" w:rsidRDefault="00B00D95" w:rsidP="00B00D95">
            <w:pPr>
              <w:pStyle w:val="BodyText2"/>
              <w:spacing w:line="276" w:lineRule="auto"/>
              <w:jc w:val="center"/>
              <w:rPr>
                <w:sz w:val="24"/>
              </w:rPr>
            </w:pPr>
            <w:r w:rsidRPr="00607AB7">
              <w:rPr>
                <w:sz w:val="24"/>
              </w:rPr>
              <w:t>-</w:t>
            </w:r>
          </w:p>
        </w:tc>
        <w:tc>
          <w:tcPr>
            <w:tcW w:w="1366" w:type="dxa"/>
          </w:tcPr>
          <w:p w14:paraId="5E0D1921" w14:textId="11C796B4" w:rsidR="00670C79" w:rsidRPr="00607AB7" w:rsidRDefault="00B00D95" w:rsidP="00B00D95">
            <w:pPr>
              <w:pStyle w:val="BodyText2"/>
              <w:spacing w:line="276" w:lineRule="auto"/>
              <w:jc w:val="center"/>
              <w:rPr>
                <w:sz w:val="24"/>
              </w:rPr>
            </w:pPr>
            <w:r w:rsidRPr="00607AB7">
              <w:rPr>
                <w:sz w:val="24"/>
              </w:rPr>
              <w:t>-</w:t>
            </w:r>
          </w:p>
        </w:tc>
        <w:tc>
          <w:tcPr>
            <w:tcW w:w="1466" w:type="dxa"/>
          </w:tcPr>
          <w:p w14:paraId="3789DD62" w14:textId="644FAFA6" w:rsidR="00670C79" w:rsidRPr="00607AB7" w:rsidRDefault="00B00D95" w:rsidP="00B00D95">
            <w:pPr>
              <w:pStyle w:val="BodyText2"/>
              <w:spacing w:line="276" w:lineRule="auto"/>
              <w:jc w:val="center"/>
              <w:rPr>
                <w:sz w:val="24"/>
              </w:rPr>
            </w:pPr>
            <w:r w:rsidRPr="00607AB7">
              <w:rPr>
                <w:sz w:val="24"/>
              </w:rPr>
              <w:t>-</w:t>
            </w:r>
          </w:p>
        </w:tc>
        <w:tc>
          <w:tcPr>
            <w:tcW w:w="1366" w:type="dxa"/>
          </w:tcPr>
          <w:p w14:paraId="3EFEBCA3" w14:textId="08A6F084" w:rsidR="00670C79" w:rsidRPr="00607AB7" w:rsidRDefault="00B00D95" w:rsidP="00B00D95">
            <w:pPr>
              <w:pStyle w:val="BodyText2"/>
              <w:spacing w:line="276" w:lineRule="auto"/>
              <w:jc w:val="center"/>
              <w:rPr>
                <w:sz w:val="24"/>
              </w:rPr>
            </w:pPr>
            <w:r w:rsidRPr="00607AB7">
              <w:rPr>
                <w:sz w:val="24"/>
              </w:rPr>
              <w:t>-</w:t>
            </w:r>
          </w:p>
        </w:tc>
        <w:tc>
          <w:tcPr>
            <w:tcW w:w="1135" w:type="dxa"/>
          </w:tcPr>
          <w:p w14:paraId="4D97905B" w14:textId="61337F3B" w:rsidR="00670C79" w:rsidRPr="00607AB7" w:rsidRDefault="00B00D95" w:rsidP="00B00D95">
            <w:pPr>
              <w:pStyle w:val="BodyText2"/>
              <w:spacing w:line="276" w:lineRule="auto"/>
              <w:jc w:val="center"/>
              <w:rPr>
                <w:sz w:val="24"/>
              </w:rPr>
            </w:pPr>
            <w:r w:rsidRPr="00607AB7">
              <w:rPr>
                <w:sz w:val="24"/>
              </w:rPr>
              <w:t>-</w:t>
            </w:r>
          </w:p>
        </w:tc>
        <w:tc>
          <w:tcPr>
            <w:tcW w:w="1448" w:type="dxa"/>
          </w:tcPr>
          <w:p w14:paraId="4A89D66A" w14:textId="3555594C" w:rsidR="00670C79" w:rsidRPr="00607AB7" w:rsidRDefault="00B00D95" w:rsidP="00B00D95">
            <w:pPr>
              <w:pStyle w:val="BodyText2"/>
              <w:spacing w:line="276" w:lineRule="auto"/>
              <w:jc w:val="center"/>
              <w:rPr>
                <w:sz w:val="24"/>
              </w:rPr>
            </w:pPr>
            <w:r w:rsidRPr="00607AB7">
              <w:rPr>
                <w:sz w:val="24"/>
              </w:rPr>
              <w:t>-</w:t>
            </w:r>
          </w:p>
        </w:tc>
      </w:tr>
      <w:tr w:rsidR="00607AB7" w:rsidRPr="00607AB7" w14:paraId="7E845381" w14:textId="77777777" w:rsidTr="005A13C5">
        <w:tc>
          <w:tcPr>
            <w:tcW w:w="2694" w:type="dxa"/>
          </w:tcPr>
          <w:p w14:paraId="25792053" w14:textId="77777777" w:rsidR="00B00D95" w:rsidRPr="00607AB7" w:rsidRDefault="00B00D95" w:rsidP="00B00D95">
            <w:pPr>
              <w:spacing w:line="276" w:lineRule="auto"/>
              <w:jc w:val="both"/>
            </w:pPr>
            <w:r w:rsidRPr="00607AB7">
              <w:t>a) bugetul de stat, din acesta:</w:t>
            </w:r>
          </w:p>
          <w:p w14:paraId="32D9DBFB" w14:textId="15A036BA" w:rsidR="00B00D95" w:rsidRPr="00607AB7" w:rsidRDefault="00B00D95" w:rsidP="00B00D95">
            <w:pPr>
              <w:spacing w:line="276" w:lineRule="auto"/>
              <w:jc w:val="both"/>
            </w:pPr>
            <w:r w:rsidRPr="00607AB7">
              <w:t>(i) impozit pe profit</w:t>
            </w:r>
          </w:p>
          <w:p w14:paraId="67C4E169" w14:textId="0BD99910" w:rsidR="00B00D95" w:rsidRPr="00607AB7" w:rsidRDefault="00B00D95" w:rsidP="00B00D95">
            <w:pPr>
              <w:spacing w:line="276" w:lineRule="auto"/>
              <w:jc w:val="both"/>
            </w:pPr>
            <w:r w:rsidRPr="00607AB7">
              <w:t>(ii) impozit pe venit</w:t>
            </w:r>
          </w:p>
        </w:tc>
        <w:tc>
          <w:tcPr>
            <w:tcW w:w="1058" w:type="dxa"/>
          </w:tcPr>
          <w:p w14:paraId="07086A97" w14:textId="47D421FF" w:rsidR="00B00D95" w:rsidRPr="00607AB7" w:rsidRDefault="00B00D95" w:rsidP="00B00D95">
            <w:pPr>
              <w:pStyle w:val="BodyText2"/>
              <w:spacing w:line="276" w:lineRule="auto"/>
              <w:rPr>
                <w:sz w:val="24"/>
              </w:rPr>
            </w:pPr>
            <w:r w:rsidRPr="00607AB7">
              <w:rPr>
                <w:sz w:val="24"/>
              </w:rPr>
              <w:t>-</w:t>
            </w:r>
          </w:p>
        </w:tc>
        <w:tc>
          <w:tcPr>
            <w:tcW w:w="1366" w:type="dxa"/>
          </w:tcPr>
          <w:p w14:paraId="68EDD67B" w14:textId="30290C94" w:rsidR="00B00D95" w:rsidRPr="00607AB7" w:rsidRDefault="00B00D95" w:rsidP="00B00D95">
            <w:pPr>
              <w:pStyle w:val="BodyText2"/>
              <w:spacing w:line="276" w:lineRule="auto"/>
              <w:rPr>
                <w:sz w:val="24"/>
              </w:rPr>
            </w:pPr>
            <w:r w:rsidRPr="00607AB7">
              <w:rPr>
                <w:sz w:val="24"/>
              </w:rPr>
              <w:t>-</w:t>
            </w:r>
          </w:p>
        </w:tc>
        <w:tc>
          <w:tcPr>
            <w:tcW w:w="1466" w:type="dxa"/>
          </w:tcPr>
          <w:p w14:paraId="074A0C4C" w14:textId="31D4548C" w:rsidR="00B00D95" w:rsidRPr="00607AB7" w:rsidRDefault="00B00D95" w:rsidP="00B00D95">
            <w:pPr>
              <w:pStyle w:val="BodyText2"/>
              <w:spacing w:line="276" w:lineRule="auto"/>
              <w:rPr>
                <w:sz w:val="24"/>
              </w:rPr>
            </w:pPr>
            <w:r w:rsidRPr="00607AB7">
              <w:rPr>
                <w:sz w:val="24"/>
              </w:rPr>
              <w:t>-</w:t>
            </w:r>
          </w:p>
        </w:tc>
        <w:tc>
          <w:tcPr>
            <w:tcW w:w="1366" w:type="dxa"/>
          </w:tcPr>
          <w:p w14:paraId="3EC66A65" w14:textId="39BC3CFA" w:rsidR="00B00D95" w:rsidRPr="00607AB7" w:rsidRDefault="00B00D95" w:rsidP="00B00D95">
            <w:pPr>
              <w:pStyle w:val="BodyText2"/>
              <w:spacing w:line="276" w:lineRule="auto"/>
              <w:rPr>
                <w:sz w:val="24"/>
              </w:rPr>
            </w:pPr>
            <w:r w:rsidRPr="00607AB7">
              <w:rPr>
                <w:sz w:val="24"/>
              </w:rPr>
              <w:t>-</w:t>
            </w:r>
          </w:p>
        </w:tc>
        <w:tc>
          <w:tcPr>
            <w:tcW w:w="1135" w:type="dxa"/>
          </w:tcPr>
          <w:p w14:paraId="5CEC73AA" w14:textId="057C0C8E" w:rsidR="00B00D95" w:rsidRPr="00607AB7" w:rsidRDefault="00B00D95" w:rsidP="00B00D95">
            <w:pPr>
              <w:pStyle w:val="BodyText2"/>
              <w:spacing w:line="276" w:lineRule="auto"/>
              <w:rPr>
                <w:sz w:val="24"/>
              </w:rPr>
            </w:pPr>
            <w:r w:rsidRPr="00607AB7">
              <w:rPr>
                <w:sz w:val="24"/>
              </w:rPr>
              <w:t>-</w:t>
            </w:r>
          </w:p>
        </w:tc>
        <w:tc>
          <w:tcPr>
            <w:tcW w:w="1448" w:type="dxa"/>
          </w:tcPr>
          <w:p w14:paraId="761E2BD4" w14:textId="02FA4CE0" w:rsidR="00B00D95" w:rsidRPr="00607AB7" w:rsidRDefault="00B00D95" w:rsidP="00B00D95">
            <w:pPr>
              <w:pStyle w:val="BodyText2"/>
              <w:spacing w:line="276" w:lineRule="auto"/>
              <w:rPr>
                <w:sz w:val="24"/>
              </w:rPr>
            </w:pPr>
            <w:r w:rsidRPr="00607AB7">
              <w:rPr>
                <w:sz w:val="24"/>
              </w:rPr>
              <w:t>-</w:t>
            </w:r>
          </w:p>
        </w:tc>
      </w:tr>
      <w:tr w:rsidR="00607AB7" w:rsidRPr="00607AB7" w14:paraId="6771B99C" w14:textId="77777777" w:rsidTr="005A13C5">
        <w:tc>
          <w:tcPr>
            <w:tcW w:w="2694" w:type="dxa"/>
          </w:tcPr>
          <w:p w14:paraId="6A8A0E7F" w14:textId="577483D3" w:rsidR="00B00D95" w:rsidRPr="00607AB7" w:rsidRDefault="00B00D95" w:rsidP="00B00D95">
            <w:pPr>
              <w:spacing w:line="276" w:lineRule="auto"/>
              <w:jc w:val="both"/>
            </w:pPr>
            <w:r w:rsidRPr="00607AB7">
              <w:t>b) bugete locale:</w:t>
            </w:r>
          </w:p>
          <w:p w14:paraId="3B0FCECB" w14:textId="7AB36B1B" w:rsidR="00B00D95" w:rsidRPr="00607AB7" w:rsidRDefault="00B00D95" w:rsidP="00B00D95">
            <w:pPr>
              <w:spacing w:line="276" w:lineRule="auto"/>
              <w:jc w:val="both"/>
            </w:pPr>
            <w:r w:rsidRPr="00607AB7">
              <w:t>(i) impozit pe profit</w:t>
            </w:r>
          </w:p>
        </w:tc>
        <w:tc>
          <w:tcPr>
            <w:tcW w:w="1058" w:type="dxa"/>
          </w:tcPr>
          <w:p w14:paraId="687D0BEC" w14:textId="380DC885" w:rsidR="00B00D95" w:rsidRPr="00607AB7" w:rsidRDefault="00B00D95" w:rsidP="00B00D95">
            <w:pPr>
              <w:pStyle w:val="BodyText2"/>
              <w:spacing w:line="276" w:lineRule="auto"/>
              <w:rPr>
                <w:sz w:val="24"/>
              </w:rPr>
            </w:pPr>
            <w:r w:rsidRPr="00607AB7">
              <w:rPr>
                <w:sz w:val="24"/>
              </w:rPr>
              <w:t>-</w:t>
            </w:r>
          </w:p>
        </w:tc>
        <w:tc>
          <w:tcPr>
            <w:tcW w:w="1366" w:type="dxa"/>
          </w:tcPr>
          <w:p w14:paraId="203F5632" w14:textId="03D25556" w:rsidR="00B00D95" w:rsidRPr="00607AB7" w:rsidRDefault="00B00D95" w:rsidP="00B00D95">
            <w:pPr>
              <w:pStyle w:val="BodyText2"/>
              <w:spacing w:line="276" w:lineRule="auto"/>
              <w:rPr>
                <w:sz w:val="24"/>
              </w:rPr>
            </w:pPr>
            <w:r w:rsidRPr="00607AB7">
              <w:rPr>
                <w:sz w:val="24"/>
              </w:rPr>
              <w:t>-</w:t>
            </w:r>
          </w:p>
        </w:tc>
        <w:tc>
          <w:tcPr>
            <w:tcW w:w="1466" w:type="dxa"/>
          </w:tcPr>
          <w:p w14:paraId="38DA8080" w14:textId="37206E81" w:rsidR="00B00D95" w:rsidRPr="00607AB7" w:rsidRDefault="00B00D95" w:rsidP="00B00D95">
            <w:pPr>
              <w:pStyle w:val="BodyText2"/>
              <w:spacing w:line="276" w:lineRule="auto"/>
              <w:rPr>
                <w:sz w:val="24"/>
              </w:rPr>
            </w:pPr>
            <w:r w:rsidRPr="00607AB7">
              <w:rPr>
                <w:sz w:val="24"/>
              </w:rPr>
              <w:t>-</w:t>
            </w:r>
          </w:p>
        </w:tc>
        <w:tc>
          <w:tcPr>
            <w:tcW w:w="1366" w:type="dxa"/>
          </w:tcPr>
          <w:p w14:paraId="31807B27" w14:textId="723C0F6C" w:rsidR="00B00D95" w:rsidRPr="00607AB7" w:rsidRDefault="00B00D95" w:rsidP="00B00D95">
            <w:pPr>
              <w:pStyle w:val="BodyText2"/>
              <w:spacing w:line="276" w:lineRule="auto"/>
              <w:rPr>
                <w:sz w:val="24"/>
              </w:rPr>
            </w:pPr>
            <w:r w:rsidRPr="00607AB7">
              <w:rPr>
                <w:sz w:val="24"/>
              </w:rPr>
              <w:t>-</w:t>
            </w:r>
          </w:p>
        </w:tc>
        <w:tc>
          <w:tcPr>
            <w:tcW w:w="1135" w:type="dxa"/>
          </w:tcPr>
          <w:p w14:paraId="29015A0A" w14:textId="052883CC" w:rsidR="00B00D95" w:rsidRPr="00607AB7" w:rsidRDefault="00B00D95" w:rsidP="00B00D95">
            <w:pPr>
              <w:pStyle w:val="BodyText2"/>
              <w:spacing w:line="276" w:lineRule="auto"/>
              <w:rPr>
                <w:sz w:val="24"/>
              </w:rPr>
            </w:pPr>
            <w:r w:rsidRPr="00607AB7">
              <w:rPr>
                <w:sz w:val="24"/>
              </w:rPr>
              <w:t>-</w:t>
            </w:r>
          </w:p>
        </w:tc>
        <w:tc>
          <w:tcPr>
            <w:tcW w:w="1448" w:type="dxa"/>
          </w:tcPr>
          <w:p w14:paraId="33E8076D" w14:textId="7E54C966" w:rsidR="00B00D95" w:rsidRPr="00607AB7" w:rsidRDefault="00B00D95" w:rsidP="00B00D95">
            <w:pPr>
              <w:pStyle w:val="BodyText2"/>
              <w:spacing w:line="276" w:lineRule="auto"/>
              <w:rPr>
                <w:sz w:val="24"/>
              </w:rPr>
            </w:pPr>
            <w:r w:rsidRPr="00607AB7">
              <w:rPr>
                <w:sz w:val="24"/>
              </w:rPr>
              <w:t>-</w:t>
            </w:r>
          </w:p>
        </w:tc>
      </w:tr>
      <w:tr w:rsidR="00607AB7" w:rsidRPr="00607AB7" w14:paraId="3ECF4DE7" w14:textId="77777777" w:rsidTr="005A13C5">
        <w:tc>
          <w:tcPr>
            <w:tcW w:w="2694" w:type="dxa"/>
          </w:tcPr>
          <w:p w14:paraId="454D76E8" w14:textId="401F8F98" w:rsidR="00B00D95" w:rsidRPr="00607AB7" w:rsidRDefault="00B00D95" w:rsidP="00B00D95">
            <w:pPr>
              <w:spacing w:line="276" w:lineRule="auto"/>
              <w:jc w:val="both"/>
            </w:pPr>
            <w:r w:rsidRPr="00607AB7">
              <w:t>c) bugetul asigurărilor sociale de stat</w:t>
            </w:r>
          </w:p>
          <w:p w14:paraId="551EFD10" w14:textId="6A1DCE03" w:rsidR="00B00D95" w:rsidRPr="00607AB7" w:rsidRDefault="00B00D95" w:rsidP="00B00D95">
            <w:pPr>
              <w:spacing w:line="276" w:lineRule="auto"/>
              <w:jc w:val="both"/>
            </w:pPr>
            <w:r w:rsidRPr="00607AB7">
              <w:t>(i) contribuţii de asigurări</w:t>
            </w:r>
          </w:p>
        </w:tc>
        <w:tc>
          <w:tcPr>
            <w:tcW w:w="1058" w:type="dxa"/>
          </w:tcPr>
          <w:p w14:paraId="20DF36E4" w14:textId="33D55C72" w:rsidR="00B00D95" w:rsidRPr="00607AB7" w:rsidRDefault="00B00D95" w:rsidP="00B00D95">
            <w:pPr>
              <w:pStyle w:val="BodyText2"/>
              <w:spacing w:line="276" w:lineRule="auto"/>
              <w:rPr>
                <w:sz w:val="24"/>
              </w:rPr>
            </w:pPr>
            <w:r w:rsidRPr="00607AB7">
              <w:rPr>
                <w:sz w:val="24"/>
              </w:rPr>
              <w:t>-</w:t>
            </w:r>
          </w:p>
        </w:tc>
        <w:tc>
          <w:tcPr>
            <w:tcW w:w="1366" w:type="dxa"/>
          </w:tcPr>
          <w:p w14:paraId="2E4987C5" w14:textId="1B48551D" w:rsidR="00B00D95" w:rsidRPr="00607AB7" w:rsidRDefault="00B00D95" w:rsidP="00B00D95">
            <w:pPr>
              <w:pStyle w:val="BodyText2"/>
              <w:spacing w:line="276" w:lineRule="auto"/>
              <w:rPr>
                <w:sz w:val="24"/>
              </w:rPr>
            </w:pPr>
            <w:r w:rsidRPr="00607AB7">
              <w:rPr>
                <w:sz w:val="24"/>
              </w:rPr>
              <w:t>-</w:t>
            </w:r>
          </w:p>
        </w:tc>
        <w:tc>
          <w:tcPr>
            <w:tcW w:w="1466" w:type="dxa"/>
          </w:tcPr>
          <w:p w14:paraId="55EA5A38" w14:textId="40F5E8E4" w:rsidR="00B00D95" w:rsidRPr="00607AB7" w:rsidRDefault="00B00D95" w:rsidP="00B00D95">
            <w:pPr>
              <w:pStyle w:val="BodyText2"/>
              <w:spacing w:line="276" w:lineRule="auto"/>
              <w:rPr>
                <w:sz w:val="24"/>
              </w:rPr>
            </w:pPr>
            <w:r w:rsidRPr="00607AB7">
              <w:rPr>
                <w:sz w:val="24"/>
              </w:rPr>
              <w:t>-</w:t>
            </w:r>
          </w:p>
        </w:tc>
        <w:tc>
          <w:tcPr>
            <w:tcW w:w="1366" w:type="dxa"/>
          </w:tcPr>
          <w:p w14:paraId="1A940564" w14:textId="34F444E0" w:rsidR="00B00D95" w:rsidRPr="00607AB7" w:rsidRDefault="00B00D95" w:rsidP="00B00D95">
            <w:pPr>
              <w:pStyle w:val="BodyText2"/>
              <w:spacing w:line="276" w:lineRule="auto"/>
              <w:rPr>
                <w:sz w:val="24"/>
              </w:rPr>
            </w:pPr>
            <w:r w:rsidRPr="00607AB7">
              <w:rPr>
                <w:sz w:val="24"/>
              </w:rPr>
              <w:t>-</w:t>
            </w:r>
          </w:p>
        </w:tc>
        <w:tc>
          <w:tcPr>
            <w:tcW w:w="1135" w:type="dxa"/>
          </w:tcPr>
          <w:p w14:paraId="3B9F8826" w14:textId="1A031B3F" w:rsidR="00B00D95" w:rsidRPr="00607AB7" w:rsidRDefault="00B00D95" w:rsidP="00B00D95">
            <w:pPr>
              <w:pStyle w:val="BodyText2"/>
              <w:spacing w:line="276" w:lineRule="auto"/>
              <w:rPr>
                <w:sz w:val="24"/>
              </w:rPr>
            </w:pPr>
            <w:r w:rsidRPr="00607AB7">
              <w:rPr>
                <w:sz w:val="24"/>
              </w:rPr>
              <w:t>-</w:t>
            </w:r>
          </w:p>
        </w:tc>
        <w:tc>
          <w:tcPr>
            <w:tcW w:w="1448" w:type="dxa"/>
          </w:tcPr>
          <w:p w14:paraId="7236E3D5" w14:textId="0438F983" w:rsidR="00B00D95" w:rsidRPr="00607AB7" w:rsidRDefault="00B00D95" w:rsidP="00B00D95">
            <w:pPr>
              <w:pStyle w:val="BodyText2"/>
              <w:spacing w:line="276" w:lineRule="auto"/>
              <w:rPr>
                <w:sz w:val="24"/>
              </w:rPr>
            </w:pPr>
            <w:r w:rsidRPr="00607AB7">
              <w:rPr>
                <w:sz w:val="24"/>
              </w:rPr>
              <w:t>-</w:t>
            </w:r>
          </w:p>
        </w:tc>
      </w:tr>
      <w:tr w:rsidR="00607AB7" w:rsidRPr="00607AB7" w14:paraId="3B61ACE7" w14:textId="77777777" w:rsidTr="005A13C5">
        <w:tc>
          <w:tcPr>
            <w:tcW w:w="2694" w:type="dxa"/>
          </w:tcPr>
          <w:p w14:paraId="62FD1E56" w14:textId="77777777" w:rsidR="00B00D95" w:rsidRPr="00607AB7" w:rsidRDefault="00B00D95" w:rsidP="00B00D95">
            <w:pPr>
              <w:spacing w:line="276" w:lineRule="auto"/>
              <w:jc w:val="both"/>
            </w:pPr>
            <w:r w:rsidRPr="00607AB7">
              <w:t>d) alte tipuri de venituri</w:t>
            </w:r>
          </w:p>
          <w:p w14:paraId="5EB8BD87" w14:textId="4527B335" w:rsidR="00B00D95" w:rsidRPr="00607AB7" w:rsidRDefault="00B00D95" w:rsidP="00B00D95">
            <w:pPr>
              <w:spacing w:line="276" w:lineRule="auto"/>
              <w:jc w:val="both"/>
            </w:pPr>
            <w:r w:rsidRPr="00607AB7">
              <w:t xml:space="preserve">(Se va menționa natura acestora.) </w:t>
            </w:r>
          </w:p>
        </w:tc>
        <w:tc>
          <w:tcPr>
            <w:tcW w:w="1058" w:type="dxa"/>
          </w:tcPr>
          <w:p w14:paraId="704BCA51" w14:textId="588D9950" w:rsidR="00B00D95" w:rsidRPr="00607AB7" w:rsidRDefault="00B00D95" w:rsidP="00B00D95">
            <w:pPr>
              <w:pStyle w:val="BodyText2"/>
              <w:spacing w:line="276" w:lineRule="auto"/>
              <w:rPr>
                <w:sz w:val="24"/>
              </w:rPr>
            </w:pPr>
            <w:r w:rsidRPr="00607AB7">
              <w:rPr>
                <w:sz w:val="24"/>
              </w:rPr>
              <w:t>-</w:t>
            </w:r>
          </w:p>
        </w:tc>
        <w:tc>
          <w:tcPr>
            <w:tcW w:w="1366" w:type="dxa"/>
          </w:tcPr>
          <w:p w14:paraId="269D834F" w14:textId="4B3F64DC" w:rsidR="00B00D95" w:rsidRPr="00607AB7" w:rsidRDefault="00B00D95" w:rsidP="00B00D95">
            <w:pPr>
              <w:pStyle w:val="BodyText2"/>
              <w:spacing w:line="276" w:lineRule="auto"/>
              <w:rPr>
                <w:sz w:val="24"/>
              </w:rPr>
            </w:pPr>
            <w:r w:rsidRPr="00607AB7">
              <w:rPr>
                <w:sz w:val="24"/>
              </w:rPr>
              <w:t>-</w:t>
            </w:r>
          </w:p>
        </w:tc>
        <w:tc>
          <w:tcPr>
            <w:tcW w:w="1466" w:type="dxa"/>
          </w:tcPr>
          <w:p w14:paraId="03C3272C" w14:textId="5A0D1ABF" w:rsidR="00B00D95" w:rsidRPr="00607AB7" w:rsidRDefault="00B00D95" w:rsidP="00B00D95">
            <w:pPr>
              <w:pStyle w:val="BodyText2"/>
              <w:spacing w:line="276" w:lineRule="auto"/>
              <w:rPr>
                <w:sz w:val="24"/>
              </w:rPr>
            </w:pPr>
            <w:r w:rsidRPr="00607AB7">
              <w:rPr>
                <w:sz w:val="24"/>
              </w:rPr>
              <w:t>-</w:t>
            </w:r>
          </w:p>
        </w:tc>
        <w:tc>
          <w:tcPr>
            <w:tcW w:w="1366" w:type="dxa"/>
          </w:tcPr>
          <w:p w14:paraId="70C282AC" w14:textId="43C7EE86" w:rsidR="00B00D95" w:rsidRPr="00607AB7" w:rsidRDefault="00B00D95" w:rsidP="00B00D95">
            <w:pPr>
              <w:pStyle w:val="BodyText2"/>
              <w:spacing w:line="276" w:lineRule="auto"/>
              <w:rPr>
                <w:sz w:val="24"/>
              </w:rPr>
            </w:pPr>
            <w:r w:rsidRPr="00607AB7">
              <w:rPr>
                <w:sz w:val="24"/>
              </w:rPr>
              <w:t>-</w:t>
            </w:r>
          </w:p>
        </w:tc>
        <w:tc>
          <w:tcPr>
            <w:tcW w:w="1135" w:type="dxa"/>
          </w:tcPr>
          <w:p w14:paraId="711BE975" w14:textId="68165C0D" w:rsidR="00B00D95" w:rsidRPr="00607AB7" w:rsidRDefault="00B00D95" w:rsidP="00B00D95">
            <w:pPr>
              <w:pStyle w:val="BodyText2"/>
              <w:spacing w:line="276" w:lineRule="auto"/>
              <w:rPr>
                <w:sz w:val="24"/>
              </w:rPr>
            </w:pPr>
            <w:r w:rsidRPr="00607AB7">
              <w:rPr>
                <w:sz w:val="24"/>
              </w:rPr>
              <w:t>-</w:t>
            </w:r>
          </w:p>
        </w:tc>
        <w:tc>
          <w:tcPr>
            <w:tcW w:w="1448" w:type="dxa"/>
          </w:tcPr>
          <w:p w14:paraId="56D819C6" w14:textId="3CD6429A" w:rsidR="00B00D95" w:rsidRPr="00607AB7" w:rsidRDefault="00B00D95" w:rsidP="00B00D95">
            <w:pPr>
              <w:pStyle w:val="BodyText2"/>
              <w:spacing w:line="276" w:lineRule="auto"/>
              <w:rPr>
                <w:sz w:val="24"/>
              </w:rPr>
            </w:pPr>
            <w:r w:rsidRPr="00607AB7">
              <w:rPr>
                <w:sz w:val="24"/>
              </w:rPr>
              <w:t>-</w:t>
            </w:r>
          </w:p>
        </w:tc>
      </w:tr>
      <w:tr w:rsidR="00607AB7" w:rsidRPr="00607AB7" w14:paraId="126F1061" w14:textId="77777777" w:rsidTr="005A13C5">
        <w:tc>
          <w:tcPr>
            <w:tcW w:w="2694" w:type="dxa"/>
          </w:tcPr>
          <w:p w14:paraId="1415B230" w14:textId="72A3E85F" w:rsidR="00B00D95" w:rsidRPr="00607AB7" w:rsidRDefault="00B00D95" w:rsidP="00B00D95">
            <w:pPr>
              <w:spacing w:line="276" w:lineRule="auto"/>
              <w:jc w:val="both"/>
              <w:rPr>
                <w:b/>
                <w:bCs/>
              </w:rPr>
            </w:pPr>
            <w:r w:rsidRPr="00607AB7">
              <w:rPr>
                <w:b/>
                <w:bCs/>
              </w:rPr>
              <w:t>4.2. Modificări ale cheltuielilor bugetare, plus/minus, din care:</w:t>
            </w:r>
          </w:p>
        </w:tc>
        <w:tc>
          <w:tcPr>
            <w:tcW w:w="1058" w:type="dxa"/>
          </w:tcPr>
          <w:p w14:paraId="7BB1C451" w14:textId="7E79EEB5" w:rsidR="00B00D95" w:rsidRPr="00607AB7" w:rsidRDefault="00B00D95" w:rsidP="00B00D95">
            <w:pPr>
              <w:spacing w:line="276" w:lineRule="auto"/>
              <w:jc w:val="center"/>
            </w:pPr>
            <w:r w:rsidRPr="00607AB7">
              <w:t>-</w:t>
            </w:r>
          </w:p>
        </w:tc>
        <w:tc>
          <w:tcPr>
            <w:tcW w:w="1366" w:type="dxa"/>
          </w:tcPr>
          <w:p w14:paraId="44C5A3FF" w14:textId="26C78C84" w:rsidR="00B00D95" w:rsidRPr="00607AB7" w:rsidRDefault="00B00D95" w:rsidP="00B00D95">
            <w:pPr>
              <w:spacing w:line="276" w:lineRule="auto"/>
              <w:jc w:val="center"/>
            </w:pPr>
            <w:r w:rsidRPr="00607AB7">
              <w:t>-</w:t>
            </w:r>
          </w:p>
        </w:tc>
        <w:tc>
          <w:tcPr>
            <w:tcW w:w="1466" w:type="dxa"/>
          </w:tcPr>
          <w:p w14:paraId="1702DFD2" w14:textId="50667A0C" w:rsidR="00B00D95" w:rsidRPr="00607AB7" w:rsidRDefault="00B00D95" w:rsidP="00B00D95">
            <w:pPr>
              <w:spacing w:line="276" w:lineRule="auto"/>
              <w:jc w:val="center"/>
            </w:pPr>
            <w:r w:rsidRPr="00607AB7">
              <w:t>-</w:t>
            </w:r>
          </w:p>
        </w:tc>
        <w:tc>
          <w:tcPr>
            <w:tcW w:w="1366" w:type="dxa"/>
          </w:tcPr>
          <w:p w14:paraId="1D7B38D6" w14:textId="0664ECE3" w:rsidR="00B00D95" w:rsidRPr="00607AB7" w:rsidRDefault="00B00D95" w:rsidP="00B00D95">
            <w:pPr>
              <w:spacing w:line="276" w:lineRule="auto"/>
              <w:jc w:val="center"/>
            </w:pPr>
            <w:r w:rsidRPr="00607AB7">
              <w:t>-</w:t>
            </w:r>
          </w:p>
        </w:tc>
        <w:tc>
          <w:tcPr>
            <w:tcW w:w="1135" w:type="dxa"/>
          </w:tcPr>
          <w:p w14:paraId="09F7CD9E" w14:textId="68E081BA" w:rsidR="00B00D95" w:rsidRPr="00607AB7" w:rsidRDefault="00B00D95" w:rsidP="00B00D95">
            <w:pPr>
              <w:spacing w:line="276" w:lineRule="auto"/>
              <w:jc w:val="center"/>
            </w:pPr>
            <w:r w:rsidRPr="00607AB7">
              <w:t>-</w:t>
            </w:r>
          </w:p>
        </w:tc>
        <w:tc>
          <w:tcPr>
            <w:tcW w:w="1448" w:type="dxa"/>
          </w:tcPr>
          <w:p w14:paraId="16493B27" w14:textId="07DD9E6E" w:rsidR="00B00D95" w:rsidRPr="00607AB7" w:rsidRDefault="00B00D95" w:rsidP="00B00D95">
            <w:pPr>
              <w:spacing w:line="276" w:lineRule="auto"/>
              <w:jc w:val="center"/>
            </w:pPr>
            <w:r w:rsidRPr="00607AB7">
              <w:t>-</w:t>
            </w:r>
          </w:p>
        </w:tc>
      </w:tr>
      <w:tr w:rsidR="00607AB7" w:rsidRPr="00607AB7" w14:paraId="408E6817" w14:textId="77777777" w:rsidTr="005A13C5">
        <w:tc>
          <w:tcPr>
            <w:tcW w:w="2694" w:type="dxa"/>
          </w:tcPr>
          <w:p w14:paraId="2D265B20" w14:textId="19563007" w:rsidR="00B00D95" w:rsidRPr="00607AB7" w:rsidRDefault="00B00D95" w:rsidP="00B00D95">
            <w:pPr>
              <w:spacing w:line="276" w:lineRule="auto"/>
              <w:jc w:val="both"/>
            </w:pPr>
            <w:r w:rsidRPr="00607AB7">
              <w:lastRenderedPageBreak/>
              <w:t>a) buget de stat, din acesta:</w:t>
            </w:r>
          </w:p>
          <w:p w14:paraId="3382ADB9" w14:textId="31517959" w:rsidR="00B00D95" w:rsidRPr="00607AB7" w:rsidRDefault="00B00D95" w:rsidP="00B00D95">
            <w:pPr>
              <w:spacing w:line="276" w:lineRule="auto"/>
              <w:jc w:val="both"/>
            </w:pPr>
            <w:r w:rsidRPr="00607AB7">
              <w:t>(i) cheltuieli de personal</w:t>
            </w:r>
          </w:p>
          <w:p w14:paraId="2AF2C20C" w14:textId="24F90ED4" w:rsidR="00B00D95" w:rsidRPr="00607AB7" w:rsidRDefault="00B00D95" w:rsidP="00B00D95">
            <w:pPr>
              <w:spacing w:line="276" w:lineRule="auto"/>
              <w:jc w:val="both"/>
            </w:pPr>
            <w:r w:rsidRPr="00607AB7">
              <w:t>(ii) bunuri şi servicii</w:t>
            </w:r>
          </w:p>
        </w:tc>
        <w:tc>
          <w:tcPr>
            <w:tcW w:w="1058" w:type="dxa"/>
          </w:tcPr>
          <w:p w14:paraId="3E0B1602" w14:textId="504A76BB" w:rsidR="00B00D95" w:rsidRPr="00607AB7" w:rsidRDefault="00B00D95" w:rsidP="00B00D95">
            <w:pPr>
              <w:spacing w:line="276" w:lineRule="auto"/>
              <w:jc w:val="center"/>
            </w:pPr>
            <w:r w:rsidRPr="00607AB7">
              <w:t>-</w:t>
            </w:r>
          </w:p>
        </w:tc>
        <w:tc>
          <w:tcPr>
            <w:tcW w:w="1366" w:type="dxa"/>
          </w:tcPr>
          <w:p w14:paraId="4A5827CA" w14:textId="53B9B767" w:rsidR="00B00D95" w:rsidRPr="00607AB7" w:rsidRDefault="00B00D95" w:rsidP="00B00D95">
            <w:pPr>
              <w:spacing w:line="276" w:lineRule="auto"/>
              <w:jc w:val="center"/>
            </w:pPr>
            <w:r w:rsidRPr="00607AB7">
              <w:t>-</w:t>
            </w:r>
          </w:p>
        </w:tc>
        <w:tc>
          <w:tcPr>
            <w:tcW w:w="1466" w:type="dxa"/>
          </w:tcPr>
          <w:p w14:paraId="32FB3ACA" w14:textId="16BDD199" w:rsidR="00B00D95" w:rsidRPr="00607AB7" w:rsidRDefault="00B00D95" w:rsidP="00B00D95">
            <w:pPr>
              <w:spacing w:line="276" w:lineRule="auto"/>
              <w:jc w:val="center"/>
            </w:pPr>
            <w:r w:rsidRPr="00607AB7">
              <w:t>-</w:t>
            </w:r>
          </w:p>
        </w:tc>
        <w:tc>
          <w:tcPr>
            <w:tcW w:w="1366" w:type="dxa"/>
          </w:tcPr>
          <w:p w14:paraId="6B0B1905" w14:textId="0B1E92A2" w:rsidR="00B00D95" w:rsidRPr="00607AB7" w:rsidRDefault="00B00D95" w:rsidP="00B00D95">
            <w:pPr>
              <w:spacing w:line="276" w:lineRule="auto"/>
              <w:jc w:val="center"/>
            </w:pPr>
            <w:r w:rsidRPr="00607AB7">
              <w:t>-</w:t>
            </w:r>
          </w:p>
        </w:tc>
        <w:tc>
          <w:tcPr>
            <w:tcW w:w="1135" w:type="dxa"/>
          </w:tcPr>
          <w:p w14:paraId="23CBB327" w14:textId="2EEBFF3C" w:rsidR="00B00D95" w:rsidRPr="00607AB7" w:rsidRDefault="00B00D95" w:rsidP="00B00D95">
            <w:pPr>
              <w:spacing w:line="276" w:lineRule="auto"/>
              <w:jc w:val="center"/>
            </w:pPr>
            <w:r w:rsidRPr="00607AB7">
              <w:t>-</w:t>
            </w:r>
          </w:p>
        </w:tc>
        <w:tc>
          <w:tcPr>
            <w:tcW w:w="1448" w:type="dxa"/>
          </w:tcPr>
          <w:p w14:paraId="58A4AD04" w14:textId="2EAB64FC" w:rsidR="00B00D95" w:rsidRPr="00607AB7" w:rsidRDefault="00B00D95" w:rsidP="00B00D95">
            <w:pPr>
              <w:spacing w:line="276" w:lineRule="auto"/>
              <w:jc w:val="center"/>
            </w:pPr>
            <w:r w:rsidRPr="00607AB7">
              <w:t>-</w:t>
            </w:r>
          </w:p>
        </w:tc>
      </w:tr>
      <w:tr w:rsidR="00607AB7" w:rsidRPr="00607AB7" w14:paraId="247EA305" w14:textId="77777777" w:rsidTr="005A13C5">
        <w:tc>
          <w:tcPr>
            <w:tcW w:w="2694" w:type="dxa"/>
          </w:tcPr>
          <w:p w14:paraId="1413F8FD" w14:textId="15D4A2BF" w:rsidR="00B00D95" w:rsidRPr="00607AB7" w:rsidRDefault="00B00D95" w:rsidP="00B00D95">
            <w:pPr>
              <w:spacing w:line="276" w:lineRule="auto"/>
              <w:jc w:val="both"/>
            </w:pPr>
            <w:r w:rsidRPr="00607AB7">
              <w:t>b) bugete locale:</w:t>
            </w:r>
          </w:p>
          <w:p w14:paraId="5D43B430" w14:textId="0375DEBE" w:rsidR="00B00D95" w:rsidRPr="00607AB7" w:rsidRDefault="00B00D95" w:rsidP="00B00D95">
            <w:pPr>
              <w:spacing w:line="276" w:lineRule="auto"/>
              <w:jc w:val="both"/>
            </w:pPr>
            <w:r w:rsidRPr="00607AB7">
              <w:t>(i) cheltuieli de personal</w:t>
            </w:r>
          </w:p>
          <w:p w14:paraId="5FAAC7DC" w14:textId="3646E615" w:rsidR="00B00D95" w:rsidRPr="00607AB7" w:rsidRDefault="00B00D95" w:rsidP="00B00D95">
            <w:pPr>
              <w:spacing w:line="276" w:lineRule="auto"/>
              <w:jc w:val="both"/>
            </w:pPr>
            <w:r w:rsidRPr="00607AB7">
              <w:t>(ii) bunuri şi servicii</w:t>
            </w:r>
          </w:p>
        </w:tc>
        <w:tc>
          <w:tcPr>
            <w:tcW w:w="1058" w:type="dxa"/>
          </w:tcPr>
          <w:p w14:paraId="35C2339D" w14:textId="77161AD6" w:rsidR="00B00D95" w:rsidRPr="00607AB7" w:rsidRDefault="00B00D95" w:rsidP="00B00D95">
            <w:pPr>
              <w:spacing w:line="276" w:lineRule="auto"/>
              <w:jc w:val="center"/>
            </w:pPr>
            <w:r w:rsidRPr="00607AB7">
              <w:t>-</w:t>
            </w:r>
          </w:p>
        </w:tc>
        <w:tc>
          <w:tcPr>
            <w:tcW w:w="1366" w:type="dxa"/>
          </w:tcPr>
          <w:p w14:paraId="7642EF10" w14:textId="26107A5B" w:rsidR="00B00D95" w:rsidRPr="00607AB7" w:rsidRDefault="00B00D95" w:rsidP="00B00D95">
            <w:pPr>
              <w:spacing w:line="276" w:lineRule="auto"/>
              <w:jc w:val="center"/>
            </w:pPr>
            <w:r w:rsidRPr="00607AB7">
              <w:t>-</w:t>
            </w:r>
          </w:p>
        </w:tc>
        <w:tc>
          <w:tcPr>
            <w:tcW w:w="1466" w:type="dxa"/>
          </w:tcPr>
          <w:p w14:paraId="00DA41A3" w14:textId="6132BD36" w:rsidR="00B00D95" w:rsidRPr="00607AB7" w:rsidRDefault="00B00D95" w:rsidP="00B00D95">
            <w:pPr>
              <w:spacing w:line="276" w:lineRule="auto"/>
              <w:jc w:val="center"/>
            </w:pPr>
            <w:r w:rsidRPr="00607AB7">
              <w:t>-</w:t>
            </w:r>
          </w:p>
        </w:tc>
        <w:tc>
          <w:tcPr>
            <w:tcW w:w="1366" w:type="dxa"/>
          </w:tcPr>
          <w:p w14:paraId="5014B167" w14:textId="7291BDBF" w:rsidR="00B00D95" w:rsidRPr="00607AB7" w:rsidRDefault="00B00D95" w:rsidP="00B00D95">
            <w:pPr>
              <w:spacing w:line="276" w:lineRule="auto"/>
              <w:jc w:val="center"/>
            </w:pPr>
            <w:r w:rsidRPr="00607AB7">
              <w:t>-</w:t>
            </w:r>
          </w:p>
        </w:tc>
        <w:tc>
          <w:tcPr>
            <w:tcW w:w="1135" w:type="dxa"/>
          </w:tcPr>
          <w:p w14:paraId="44E6962F" w14:textId="5C292F43" w:rsidR="00B00D95" w:rsidRPr="00607AB7" w:rsidRDefault="00B00D95" w:rsidP="00B00D95">
            <w:pPr>
              <w:spacing w:line="276" w:lineRule="auto"/>
              <w:jc w:val="center"/>
            </w:pPr>
            <w:r w:rsidRPr="00607AB7">
              <w:t>-</w:t>
            </w:r>
          </w:p>
        </w:tc>
        <w:tc>
          <w:tcPr>
            <w:tcW w:w="1448" w:type="dxa"/>
          </w:tcPr>
          <w:p w14:paraId="5D1C5F3E" w14:textId="33070651" w:rsidR="00B00D95" w:rsidRPr="00607AB7" w:rsidRDefault="00B00D95" w:rsidP="00B00D95">
            <w:pPr>
              <w:spacing w:line="276" w:lineRule="auto"/>
              <w:jc w:val="center"/>
            </w:pPr>
            <w:r w:rsidRPr="00607AB7">
              <w:t>-</w:t>
            </w:r>
          </w:p>
        </w:tc>
      </w:tr>
      <w:tr w:rsidR="00607AB7" w:rsidRPr="00607AB7" w14:paraId="64A76806" w14:textId="77777777" w:rsidTr="005A13C5">
        <w:tc>
          <w:tcPr>
            <w:tcW w:w="2694" w:type="dxa"/>
          </w:tcPr>
          <w:p w14:paraId="30172BDF" w14:textId="0D2320D4" w:rsidR="00B00D95" w:rsidRPr="00607AB7" w:rsidRDefault="00B00D95" w:rsidP="00B00D95">
            <w:pPr>
              <w:spacing w:line="276" w:lineRule="auto"/>
              <w:jc w:val="both"/>
            </w:pPr>
            <w:r w:rsidRPr="00607AB7">
              <w:t>c) bugetul asigurărilor sociale de stat:</w:t>
            </w:r>
          </w:p>
          <w:p w14:paraId="03FADADD" w14:textId="1EB62078" w:rsidR="00B00D95" w:rsidRPr="00607AB7" w:rsidRDefault="00B00D95" w:rsidP="00B00D95">
            <w:pPr>
              <w:spacing w:line="276" w:lineRule="auto"/>
              <w:jc w:val="both"/>
            </w:pPr>
            <w:r w:rsidRPr="00607AB7">
              <w:t>(i) cheltuieli de personal</w:t>
            </w:r>
          </w:p>
          <w:p w14:paraId="55656529" w14:textId="757B5B4C" w:rsidR="00B00D95" w:rsidRPr="00607AB7" w:rsidRDefault="00B00D95" w:rsidP="00B00D95">
            <w:pPr>
              <w:spacing w:line="276" w:lineRule="auto"/>
              <w:jc w:val="both"/>
            </w:pPr>
            <w:r w:rsidRPr="00607AB7">
              <w:t>(ii) bunuri şi servicii</w:t>
            </w:r>
          </w:p>
        </w:tc>
        <w:tc>
          <w:tcPr>
            <w:tcW w:w="1058" w:type="dxa"/>
          </w:tcPr>
          <w:p w14:paraId="2DE6BAAD" w14:textId="75DD38EA" w:rsidR="00B00D95" w:rsidRPr="00607AB7" w:rsidRDefault="00B00D95" w:rsidP="00B00D95">
            <w:pPr>
              <w:spacing w:line="276" w:lineRule="auto"/>
              <w:jc w:val="center"/>
            </w:pPr>
            <w:r w:rsidRPr="00607AB7">
              <w:t>-</w:t>
            </w:r>
          </w:p>
        </w:tc>
        <w:tc>
          <w:tcPr>
            <w:tcW w:w="1366" w:type="dxa"/>
          </w:tcPr>
          <w:p w14:paraId="07943E17" w14:textId="42DD4FE2" w:rsidR="00B00D95" w:rsidRPr="00607AB7" w:rsidRDefault="00B00D95" w:rsidP="00B00D95">
            <w:pPr>
              <w:spacing w:line="276" w:lineRule="auto"/>
              <w:jc w:val="center"/>
            </w:pPr>
            <w:r w:rsidRPr="00607AB7">
              <w:t>-</w:t>
            </w:r>
          </w:p>
        </w:tc>
        <w:tc>
          <w:tcPr>
            <w:tcW w:w="1466" w:type="dxa"/>
          </w:tcPr>
          <w:p w14:paraId="5D1EB785" w14:textId="3F4E7A14" w:rsidR="00B00D95" w:rsidRPr="00607AB7" w:rsidRDefault="00B00D95" w:rsidP="00B00D95">
            <w:pPr>
              <w:spacing w:line="276" w:lineRule="auto"/>
              <w:jc w:val="center"/>
            </w:pPr>
            <w:r w:rsidRPr="00607AB7">
              <w:t>-</w:t>
            </w:r>
          </w:p>
        </w:tc>
        <w:tc>
          <w:tcPr>
            <w:tcW w:w="1366" w:type="dxa"/>
          </w:tcPr>
          <w:p w14:paraId="7E7347DF" w14:textId="40AE1719" w:rsidR="00B00D95" w:rsidRPr="00607AB7" w:rsidRDefault="00B00D95" w:rsidP="00B00D95">
            <w:pPr>
              <w:spacing w:line="276" w:lineRule="auto"/>
              <w:jc w:val="center"/>
            </w:pPr>
            <w:r w:rsidRPr="00607AB7">
              <w:t>-</w:t>
            </w:r>
          </w:p>
        </w:tc>
        <w:tc>
          <w:tcPr>
            <w:tcW w:w="1135" w:type="dxa"/>
          </w:tcPr>
          <w:p w14:paraId="27993F0F" w14:textId="71B8FF02" w:rsidR="00B00D95" w:rsidRPr="00607AB7" w:rsidRDefault="00B00D95" w:rsidP="00B00D95">
            <w:pPr>
              <w:spacing w:line="276" w:lineRule="auto"/>
              <w:jc w:val="center"/>
            </w:pPr>
            <w:r w:rsidRPr="00607AB7">
              <w:t>-</w:t>
            </w:r>
          </w:p>
        </w:tc>
        <w:tc>
          <w:tcPr>
            <w:tcW w:w="1448" w:type="dxa"/>
          </w:tcPr>
          <w:p w14:paraId="3D14DE78" w14:textId="611BE344" w:rsidR="00B00D95" w:rsidRPr="00607AB7" w:rsidRDefault="00B00D95" w:rsidP="00B00D95">
            <w:pPr>
              <w:spacing w:line="276" w:lineRule="auto"/>
              <w:jc w:val="center"/>
            </w:pPr>
            <w:r w:rsidRPr="00607AB7">
              <w:t>-</w:t>
            </w:r>
          </w:p>
        </w:tc>
      </w:tr>
      <w:tr w:rsidR="00607AB7" w:rsidRPr="00607AB7" w14:paraId="5C3A403A" w14:textId="77777777" w:rsidTr="005A13C5">
        <w:tc>
          <w:tcPr>
            <w:tcW w:w="2694" w:type="dxa"/>
          </w:tcPr>
          <w:p w14:paraId="3BF8A849" w14:textId="176DF995" w:rsidR="00B00D95" w:rsidRPr="00607AB7" w:rsidRDefault="00B00D95" w:rsidP="00B00D95">
            <w:pPr>
              <w:spacing w:line="276" w:lineRule="auto"/>
              <w:jc w:val="both"/>
            </w:pPr>
            <w:r w:rsidRPr="00607AB7">
              <w:t>d) alte tipuri de cheltuieli</w:t>
            </w:r>
          </w:p>
          <w:p w14:paraId="359EE9C4" w14:textId="710C86CB" w:rsidR="00B00D95" w:rsidRPr="00607AB7" w:rsidRDefault="00B00D95" w:rsidP="00B00D95">
            <w:pPr>
              <w:spacing w:line="276" w:lineRule="auto"/>
              <w:jc w:val="both"/>
            </w:pPr>
            <w:r w:rsidRPr="00607AB7">
              <w:t>(Se va menționa natura acestora.)</w:t>
            </w:r>
          </w:p>
        </w:tc>
        <w:tc>
          <w:tcPr>
            <w:tcW w:w="1058" w:type="dxa"/>
          </w:tcPr>
          <w:p w14:paraId="2C7AC338" w14:textId="309C19F0" w:rsidR="00B00D95" w:rsidRPr="00607AB7" w:rsidRDefault="00B00D95" w:rsidP="00B00D95">
            <w:pPr>
              <w:spacing w:line="276" w:lineRule="auto"/>
              <w:jc w:val="center"/>
            </w:pPr>
            <w:r w:rsidRPr="00607AB7">
              <w:t>-</w:t>
            </w:r>
          </w:p>
        </w:tc>
        <w:tc>
          <w:tcPr>
            <w:tcW w:w="1366" w:type="dxa"/>
          </w:tcPr>
          <w:p w14:paraId="7CA00BF7" w14:textId="6F9BE653" w:rsidR="00B00D95" w:rsidRPr="00607AB7" w:rsidRDefault="00B00D95" w:rsidP="00B00D95">
            <w:pPr>
              <w:spacing w:line="276" w:lineRule="auto"/>
              <w:jc w:val="center"/>
            </w:pPr>
            <w:r w:rsidRPr="00607AB7">
              <w:t>-</w:t>
            </w:r>
          </w:p>
        </w:tc>
        <w:tc>
          <w:tcPr>
            <w:tcW w:w="1466" w:type="dxa"/>
          </w:tcPr>
          <w:p w14:paraId="22F7EDA8" w14:textId="4ADFEBB2" w:rsidR="00B00D95" w:rsidRPr="00607AB7" w:rsidRDefault="00B00D95" w:rsidP="00B00D95">
            <w:pPr>
              <w:spacing w:line="276" w:lineRule="auto"/>
              <w:jc w:val="center"/>
            </w:pPr>
            <w:r w:rsidRPr="00607AB7">
              <w:t>-</w:t>
            </w:r>
          </w:p>
        </w:tc>
        <w:tc>
          <w:tcPr>
            <w:tcW w:w="1366" w:type="dxa"/>
          </w:tcPr>
          <w:p w14:paraId="1C65014D" w14:textId="0B61FB16" w:rsidR="00B00D95" w:rsidRPr="00607AB7" w:rsidRDefault="00B00D95" w:rsidP="00B00D95">
            <w:pPr>
              <w:spacing w:line="276" w:lineRule="auto"/>
              <w:jc w:val="center"/>
            </w:pPr>
            <w:r w:rsidRPr="00607AB7">
              <w:t>-</w:t>
            </w:r>
          </w:p>
        </w:tc>
        <w:tc>
          <w:tcPr>
            <w:tcW w:w="1135" w:type="dxa"/>
          </w:tcPr>
          <w:p w14:paraId="69EFB472" w14:textId="48EA324A" w:rsidR="00B00D95" w:rsidRPr="00607AB7" w:rsidRDefault="00B00D95" w:rsidP="00B00D95">
            <w:pPr>
              <w:spacing w:line="276" w:lineRule="auto"/>
              <w:jc w:val="center"/>
            </w:pPr>
            <w:r w:rsidRPr="00607AB7">
              <w:t>-</w:t>
            </w:r>
          </w:p>
        </w:tc>
        <w:tc>
          <w:tcPr>
            <w:tcW w:w="1448" w:type="dxa"/>
          </w:tcPr>
          <w:p w14:paraId="2BEA7293" w14:textId="5B981CAB" w:rsidR="00B00D95" w:rsidRPr="00607AB7" w:rsidRDefault="00B00D95" w:rsidP="00B00D95">
            <w:pPr>
              <w:spacing w:line="276" w:lineRule="auto"/>
              <w:jc w:val="center"/>
            </w:pPr>
            <w:r w:rsidRPr="00607AB7">
              <w:t>-</w:t>
            </w:r>
          </w:p>
        </w:tc>
      </w:tr>
      <w:tr w:rsidR="00607AB7" w:rsidRPr="00607AB7" w14:paraId="6E9F3798" w14:textId="77777777" w:rsidTr="005A13C5">
        <w:tc>
          <w:tcPr>
            <w:tcW w:w="2694" w:type="dxa"/>
          </w:tcPr>
          <w:p w14:paraId="1C49C2EC" w14:textId="77777777" w:rsidR="00B00D95" w:rsidRPr="00607AB7" w:rsidRDefault="00B00D95" w:rsidP="00B00D95">
            <w:pPr>
              <w:spacing w:line="276" w:lineRule="auto"/>
              <w:jc w:val="both"/>
              <w:rPr>
                <w:b/>
                <w:bCs/>
              </w:rPr>
            </w:pPr>
            <w:r w:rsidRPr="00607AB7">
              <w:rPr>
                <w:b/>
                <w:bCs/>
              </w:rPr>
              <w:t>4.3. Impact financiar, plus/minus, din care:</w:t>
            </w:r>
          </w:p>
          <w:p w14:paraId="656BFCEC" w14:textId="54C7982C" w:rsidR="00B00D95" w:rsidRPr="00607AB7" w:rsidRDefault="00B00D95" w:rsidP="00B00D95">
            <w:pPr>
              <w:spacing w:line="276" w:lineRule="auto"/>
              <w:jc w:val="both"/>
            </w:pPr>
            <w:r w:rsidRPr="00607AB7">
              <w:t>a) buget de stat</w:t>
            </w:r>
          </w:p>
        </w:tc>
        <w:tc>
          <w:tcPr>
            <w:tcW w:w="1058" w:type="dxa"/>
          </w:tcPr>
          <w:p w14:paraId="7AD2D601" w14:textId="01675F44" w:rsidR="00B00D95" w:rsidRPr="00607AB7" w:rsidRDefault="00B00D95" w:rsidP="00B00D95">
            <w:pPr>
              <w:spacing w:line="276" w:lineRule="auto"/>
              <w:jc w:val="center"/>
            </w:pPr>
            <w:r w:rsidRPr="00607AB7">
              <w:t>-</w:t>
            </w:r>
          </w:p>
        </w:tc>
        <w:tc>
          <w:tcPr>
            <w:tcW w:w="1366" w:type="dxa"/>
          </w:tcPr>
          <w:p w14:paraId="0568D044" w14:textId="75BE5F29" w:rsidR="00B00D95" w:rsidRPr="00607AB7" w:rsidRDefault="00B00D95" w:rsidP="00B00D95">
            <w:pPr>
              <w:spacing w:line="276" w:lineRule="auto"/>
              <w:jc w:val="center"/>
            </w:pPr>
            <w:r w:rsidRPr="00607AB7">
              <w:t>-</w:t>
            </w:r>
          </w:p>
        </w:tc>
        <w:tc>
          <w:tcPr>
            <w:tcW w:w="1466" w:type="dxa"/>
          </w:tcPr>
          <w:p w14:paraId="210A6366" w14:textId="23558F39" w:rsidR="00B00D95" w:rsidRPr="00607AB7" w:rsidRDefault="00B00D95" w:rsidP="00B00D95">
            <w:pPr>
              <w:spacing w:line="276" w:lineRule="auto"/>
              <w:jc w:val="center"/>
            </w:pPr>
            <w:r w:rsidRPr="00607AB7">
              <w:t>-</w:t>
            </w:r>
          </w:p>
        </w:tc>
        <w:tc>
          <w:tcPr>
            <w:tcW w:w="1366" w:type="dxa"/>
          </w:tcPr>
          <w:p w14:paraId="2693F75B" w14:textId="24644F4E" w:rsidR="00B00D95" w:rsidRPr="00607AB7" w:rsidRDefault="00B00D95" w:rsidP="00B00D95">
            <w:pPr>
              <w:spacing w:line="276" w:lineRule="auto"/>
              <w:jc w:val="center"/>
            </w:pPr>
            <w:r w:rsidRPr="00607AB7">
              <w:t>-</w:t>
            </w:r>
          </w:p>
        </w:tc>
        <w:tc>
          <w:tcPr>
            <w:tcW w:w="1135" w:type="dxa"/>
          </w:tcPr>
          <w:p w14:paraId="1585137C" w14:textId="374335C2" w:rsidR="00B00D95" w:rsidRPr="00607AB7" w:rsidRDefault="00B00D95" w:rsidP="00B00D95">
            <w:pPr>
              <w:spacing w:line="276" w:lineRule="auto"/>
              <w:jc w:val="center"/>
            </w:pPr>
            <w:r w:rsidRPr="00607AB7">
              <w:t>-</w:t>
            </w:r>
          </w:p>
        </w:tc>
        <w:tc>
          <w:tcPr>
            <w:tcW w:w="1448" w:type="dxa"/>
          </w:tcPr>
          <w:p w14:paraId="2D494315" w14:textId="287225D3" w:rsidR="00B00D95" w:rsidRPr="00607AB7" w:rsidRDefault="00B00D95" w:rsidP="00B00D95">
            <w:pPr>
              <w:spacing w:line="276" w:lineRule="auto"/>
              <w:jc w:val="center"/>
            </w:pPr>
            <w:r w:rsidRPr="00607AB7">
              <w:t>-</w:t>
            </w:r>
          </w:p>
        </w:tc>
      </w:tr>
      <w:tr w:rsidR="00607AB7" w:rsidRPr="00607AB7" w14:paraId="3177FEF7" w14:textId="77777777" w:rsidTr="005A13C5">
        <w:tc>
          <w:tcPr>
            <w:tcW w:w="2694" w:type="dxa"/>
          </w:tcPr>
          <w:p w14:paraId="33908C4A" w14:textId="118E34DE" w:rsidR="00B00D95" w:rsidRPr="00607AB7" w:rsidRDefault="00B00D95" w:rsidP="00B00D95">
            <w:pPr>
              <w:spacing w:line="276" w:lineRule="auto"/>
              <w:jc w:val="both"/>
            </w:pPr>
            <w:r w:rsidRPr="00607AB7">
              <w:t>b) bugete locale</w:t>
            </w:r>
          </w:p>
        </w:tc>
        <w:tc>
          <w:tcPr>
            <w:tcW w:w="1058" w:type="dxa"/>
          </w:tcPr>
          <w:p w14:paraId="4B62CC0C" w14:textId="465CCFC0" w:rsidR="00B00D95" w:rsidRPr="00607AB7" w:rsidRDefault="00B00D95" w:rsidP="00B00D95">
            <w:pPr>
              <w:spacing w:line="276" w:lineRule="auto"/>
              <w:jc w:val="center"/>
            </w:pPr>
            <w:r w:rsidRPr="00607AB7">
              <w:t>-</w:t>
            </w:r>
          </w:p>
        </w:tc>
        <w:tc>
          <w:tcPr>
            <w:tcW w:w="1366" w:type="dxa"/>
          </w:tcPr>
          <w:p w14:paraId="283AC80B" w14:textId="719ACEC4" w:rsidR="00B00D95" w:rsidRPr="00607AB7" w:rsidRDefault="00B00D95" w:rsidP="00B00D95">
            <w:pPr>
              <w:spacing w:line="276" w:lineRule="auto"/>
              <w:jc w:val="center"/>
            </w:pPr>
            <w:r w:rsidRPr="00607AB7">
              <w:t>-</w:t>
            </w:r>
          </w:p>
        </w:tc>
        <w:tc>
          <w:tcPr>
            <w:tcW w:w="1466" w:type="dxa"/>
          </w:tcPr>
          <w:p w14:paraId="7219261C" w14:textId="5AFB231F" w:rsidR="00B00D95" w:rsidRPr="00607AB7" w:rsidRDefault="00B00D95" w:rsidP="00B00D95">
            <w:pPr>
              <w:spacing w:line="276" w:lineRule="auto"/>
              <w:jc w:val="center"/>
            </w:pPr>
            <w:r w:rsidRPr="00607AB7">
              <w:t>-</w:t>
            </w:r>
          </w:p>
        </w:tc>
        <w:tc>
          <w:tcPr>
            <w:tcW w:w="1366" w:type="dxa"/>
          </w:tcPr>
          <w:p w14:paraId="49D7F163" w14:textId="6F7F4815" w:rsidR="00B00D95" w:rsidRPr="00607AB7" w:rsidRDefault="00B00D95" w:rsidP="00B00D95">
            <w:pPr>
              <w:spacing w:line="276" w:lineRule="auto"/>
              <w:jc w:val="center"/>
            </w:pPr>
            <w:r w:rsidRPr="00607AB7">
              <w:t>-</w:t>
            </w:r>
          </w:p>
        </w:tc>
        <w:tc>
          <w:tcPr>
            <w:tcW w:w="1135" w:type="dxa"/>
          </w:tcPr>
          <w:p w14:paraId="7C544E7C" w14:textId="00FD3615" w:rsidR="00B00D95" w:rsidRPr="00607AB7" w:rsidRDefault="00B00D95" w:rsidP="00B00D95">
            <w:pPr>
              <w:spacing w:line="276" w:lineRule="auto"/>
              <w:jc w:val="center"/>
            </w:pPr>
            <w:r w:rsidRPr="00607AB7">
              <w:t>-</w:t>
            </w:r>
          </w:p>
        </w:tc>
        <w:tc>
          <w:tcPr>
            <w:tcW w:w="1448" w:type="dxa"/>
          </w:tcPr>
          <w:p w14:paraId="4953DDFD" w14:textId="0D107F33" w:rsidR="00B00D95" w:rsidRPr="00607AB7" w:rsidRDefault="00B00D95" w:rsidP="00B00D95">
            <w:pPr>
              <w:spacing w:line="276" w:lineRule="auto"/>
              <w:jc w:val="center"/>
            </w:pPr>
            <w:r w:rsidRPr="00607AB7">
              <w:t>-</w:t>
            </w:r>
          </w:p>
        </w:tc>
      </w:tr>
      <w:tr w:rsidR="00607AB7" w:rsidRPr="00607AB7" w14:paraId="4B985901" w14:textId="77777777" w:rsidTr="005A13C5">
        <w:tc>
          <w:tcPr>
            <w:tcW w:w="2694" w:type="dxa"/>
          </w:tcPr>
          <w:p w14:paraId="41F94191" w14:textId="4D675AF2" w:rsidR="00B00D95" w:rsidRPr="00607AB7" w:rsidRDefault="00B00D95" w:rsidP="00B00D95">
            <w:pPr>
              <w:spacing w:line="276" w:lineRule="auto"/>
              <w:jc w:val="both"/>
              <w:rPr>
                <w:b/>
                <w:bCs/>
              </w:rPr>
            </w:pPr>
            <w:r w:rsidRPr="00607AB7">
              <w:rPr>
                <w:b/>
                <w:bCs/>
              </w:rPr>
              <w:t>4.4. Propuneri pentru acoperirea creşterii cheltuielilor bugetare</w:t>
            </w:r>
          </w:p>
        </w:tc>
        <w:tc>
          <w:tcPr>
            <w:tcW w:w="1058" w:type="dxa"/>
          </w:tcPr>
          <w:p w14:paraId="12553E7B" w14:textId="1BF58F68" w:rsidR="00B00D95" w:rsidRPr="00607AB7" w:rsidRDefault="00B00D95" w:rsidP="00B00D95">
            <w:pPr>
              <w:spacing w:line="276" w:lineRule="auto"/>
              <w:jc w:val="center"/>
            </w:pPr>
            <w:r w:rsidRPr="00607AB7">
              <w:t>-</w:t>
            </w:r>
          </w:p>
        </w:tc>
        <w:tc>
          <w:tcPr>
            <w:tcW w:w="1366" w:type="dxa"/>
          </w:tcPr>
          <w:p w14:paraId="6B4AB040" w14:textId="368B5309" w:rsidR="00B00D95" w:rsidRPr="00607AB7" w:rsidRDefault="00B00D95" w:rsidP="00B00D95">
            <w:pPr>
              <w:spacing w:line="276" w:lineRule="auto"/>
              <w:jc w:val="center"/>
            </w:pPr>
            <w:r w:rsidRPr="00607AB7">
              <w:t>-</w:t>
            </w:r>
          </w:p>
        </w:tc>
        <w:tc>
          <w:tcPr>
            <w:tcW w:w="1466" w:type="dxa"/>
          </w:tcPr>
          <w:p w14:paraId="2B58709A" w14:textId="19FD5A56" w:rsidR="00B00D95" w:rsidRPr="00607AB7" w:rsidRDefault="00B00D95" w:rsidP="00B00D95">
            <w:pPr>
              <w:spacing w:line="276" w:lineRule="auto"/>
              <w:jc w:val="center"/>
            </w:pPr>
            <w:r w:rsidRPr="00607AB7">
              <w:t>-</w:t>
            </w:r>
          </w:p>
        </w:tc>
        <w:tc>
          <w:tcPr>
            <w:tcW w:w="1366" w:type="dxa"/>
          </w:tcPr>
          <w:p w14:paraId="7AE48667" w14:textId="277F5575" w:rsidR="00B00D95" w:rsidRPr="00607AB7" w:rsidRDefault="00B00D95" w:rsidP="00B00D95">
            <w:pPr>
              <w:spacing w:line="276" w:lineRule="auto"/>
              <w:jc w:val="center"/>
            </w:pPr>
            <w:r w:rsidRPr="00607AB7">
              <w:t>-</w:t>
            </w:r>
          </w:p>
        </w:tc>
        <w:tc>
          <w:tcPr>
            <w:tcW w:w="1135" w:type="dxa"/>
          </w:tcPr>
          <w:p w14:paraId="2C05220B" w14:textId="5AFE3687" w:rsidR="00B00D95" w:rsidRPr="00607AB7" w:rsidRDefault="00B00D95" w:rsidP="00B00D95">
            <w:pPr>
              <w:spacing w:line="276" w:lineRule="auto"/>
              <w:jc w:val="center"/>
            </w:pPr>
            <w:r w:rsidRPr="00607AB7">
              <w:t>-</w:t>
            </w:r>
          </w:p>
        </w:tc>
        <w:tc>
          <w:tcPr>
            <w:tcW w:w="1448" w:type="dxa"/>
          </w:tcPr>
          <w:p w14:paraId="5BF7C6F4" w14:textId="657ECEC1" w:rsidR="00B00D95" w:rsidRPr="00607AB7" w:rsidRDefault="00B00D95" w:rsidP="00B00D95">
            <w:pPr>
              <w:spacing w:line="276" w:lineRule="auto"/>
              <w:jc w:val="center"/>
            </w:pPr>
            <w:r w:rsidRPr="00607AB7">
              <w:t>-</w:t>
            </w:r>
          </w:p>
        </w:tc>
      </w:tr>
      <w:tr w:rsidR="00607AB7" w:rsidRPr="00607AB7" w14:paraId="0936FEC1" w14:textId="77777777" w:rsidTr="005A13C5">
        <w:tc>
          <w:tcPr>
            <w:tcW w:w="2694" w:type="dxa"/>
          </w:tcPr>
          <w:p w14:paraId="31602873" w14:textId="19763228" w:rsidR="00B00D95" w:rsidRPr="00607AB7" w:rsidRDefault="00B00D95" w:rsidP="00B00D95">
            <w:pPr>
              <w:spacing w:line="276" w:lineRule="auto"/>
              <w:jc w:val="both"/>
              <w:rPr>
                <w:b/>
                <w:bCs/>
              </w:rPr>
            </w:pPr>
            <w:r w:rsidRPr="00607AB7">
              <w:rPr>
                <w:b/>
                <w:bCs/>
              </w:rPr>
              <w:t>4.5. Propuneri pentru a compensa reducerea veniturilor bugetare</w:t>
            </w:r>
          </w:p>
        </w:tc>
        <w:tc>
          <w:tcPr>
            <w:tcW w:w="1058" w:type="dxa"/>
          </w:tcPr>
          <w:p w14:paraId="50FCA196" w14:textId="0FBFBCC0" w:rsidR="00B00D95" w:rsidRPr="00607AB7" w:rsidRDefault="00B00D95" w:rsidP="00B00D95">
            <w:pPr>
              <w:spacing w:line="276" w:lineRule="auto"/>
              <w:jc w:val="center"/>
            </w:pPr>
            <w:r w:rsidRPr="00607AB7">
              <w:t>-</w:t>
            </w:r>
          </w:p>
        </w:tc>
        <w:tc>
          <w:tcPr>
            <w:tcW w:w="1366" w:type="dxa"/>
          </w:tcPr>
          <w:p w14:paraId="06CFE138" w14:textId="49B8C5AD" w:rsidR="00B00D95" w:rsidRPr="00607AB7" w:rsidRDefault="00B00D95" w:rsidP="00B00D95">
            <w:pPr>
              <w:spacing w:line="276" w:lineRule="auto"/>
              <w:jc w:val="center"/>
            </w:pPr>
            <w:r w:rsidRPr="00607AB7">
              <w:t>-</w:t>
            </w:r>
          </w:p>
        </w:tc>
        <w:tc>
          <w:tcPr>
            <w:tcW w:w="1466" w:type="dxa"/>
          </w:tcPr>
          <w:p w14:paraId="6FFFE022" w14:textId="508452F7" w:rsidR="00B00D95" w:rsidRPr="00607AB7" w:rsidRDefault="00B00D95" w:rsidP="00B00D95">
            <w:pPr>
              <w:spacing w:line="276" w:lineRule="auto"/>
              <w:jc w:val="center"/>
            </w:pPr>
            <w:r w:rsidRPr="00607AB7">
              <w:t>-</w:t>
            </w:r>
          </w:p>
        </w:tc>
        <w:tc>
          <w:tcPr>
            <w:tcW w:w="1366" w:type="dxa"/>
          </w:tcPr>
          <w:p w14:paraId="46465A6F" w14:textId="7F6FB4C1" w:rsidR="00B00D95" w:rsidRPr="00607AB7" w:rsidRDefault="00B00D95" w:rsidP="00B00D95">
            <w:pPr>
              <w:spacing w:line="276" w:lineRule="auto"/>
              <w:jc w:val="center"/>
            </w:pPr>
            <w:r w:rsidRPr="00607AB7">
              <w:t>-</w:t>
            </w:r>
          </w:p>
        </w:tc>
        <w:tc>
          <w:tcPr>
            <w:tcW w:w="1135" w:type="dxa"/>
          </w:tcPr>
          <w:p w14:paraId="14082553" w14:textId="7B7646F2" w:rsidR="00B00D95" w:rsidRPr="00607AB7" w:rsidRDefault="00B00D95" w:rsidP="00B00D95">
            <w:pPr>
              <w:spacing w:line="276" w:lineRule="auto"/>
              <w:jc w:val="center"/>
            </w:pPr>
            <w:r w:rsidRPr="00607AB7">
              <w:t>-</w:t>
            </w:r>
          </w:p>
        </w:tc>
        <w:tc>
          <w:tcPr>
            <w:tcW w:w="1448" w:type="dxa"/>
          </w:tcPr>
          <w:p w14:paraId="178CA231" w14:textId="038CB56B" w:rsidR="00B00D95" w:rsidRPr="00607AB7" w:rsidRDefault="00B00D95" w:rsidP="00B00D95">
            <w:pPr>
              <w:spacing w:line="276" w:lineRule="auto"/>
              <w:jc w:val="center"/>
            </w:pPr>
            <w:r w:rsidRPr="00607AB7">
              <w:t>-</w:t>
            </w:r>
          </w:p>
        </w:tc>
      </w:tr>
      <w:tr w:rsidR="00607AB7" w:rsidRPr="00607AB7" w14:paraId="153D0F09" w14:textId="77777777" w:rsidTr="005A13C5">
        <w:tc>
          <w:tcPr>
            <w:tcW w:w="2694" w:type="dxa"/>
          </w:tcPr>
          <w:p w14:paraId="4E7FCDBB" w14:textId="336B0E28" w:rsidR="00B00D95" w:rsidRPr="00607AB7" w:rsidRDefault="00B00D95" w:rsidP="00B00D95">
            <w:pPr>
              <w:spacing w:line="276" w:lineRule="auto"/>
              <w:jc w:val="both"/>
              <w:rPr>
                <w:b/>
                <w:bCs/>
              </w:rPr>
            </w:pPr>
            <w:r w:rsidRPr="00607AB7">
              <w:rPr>
                <w:b/>
                <w:bCs/>
              </w:rPr>
              <w:t>4.6. Calcule detaliate privind fundamentarea modificărilor  veniturilor şi/sau cheltuielilor bugetare</w:t>
            </w:r>
          </w:p>
        </w:tc>
        <w:tc>
          <w:tcPr>
            <w:tcW w:w="1058" w:type="dxa"/>
          </w:tcPr>
          <w:p w14:paraId="18046DC1" w14:textId="6D504C53" w:rsidR="00B00D95" w:rsidRPr="00607AB7" w:rsidRDefault="00B00D95" w:rsidP="00B00D95">
            <w:pPr>
              <w:spacing w:line="276" w:lineRule="auto"/>
              <w:jc w:val="center"/>
            </w:pPr>
            <w:r w:rsidRPr="00607AB7">
              <w:t>-</w:t>
            </w:r>
          </w:p>
        </w:tc>
        <w:tc>
          <w:tcPr>
            <w:tcW w:w="1366" w:type="dxa"/>
          </w:tcPr>
          <w:p w14:paraId="7CF35163" w14:textId="3C8CFD38" w:rsidR="00B00D95" w:rsidRPr="00607AB7" w:rsidRDefault="00B00D95" w:rsidP="00B00D95">
            <w:pPr>
              <w:spacing w:line="276" w:lineRule="auto"/>
              <w:jc w:val="center"/>
            </w:pPr>
            <w:r w:rsidRPr="00607AB7">
              <w:t>-</w:t>
            </w:r>
          </w:p>
        </w:tc>
        <w:tc>
          <w:tcPr>
            <w:tcW w:w="1466" w:type="dxa"/>
          </w:tcPr>
          <w:p w14:paraId="1D863FB9" w14:textId="07DB2AEF" w:rsidR="00B00D95" w:rsidRPr="00607AB7" w:rsidRDefault="00B00D95" w:rsidP="00B00D95">
            <w:pPr>
              <w:spacing w:line="276" w:lineRule="auto"/>
              <w:jc w:val="center"/>
            </w:pPr>
            <w:r w:rsidRPr="00607AB7">
              <w:t>-</w:t>
            </w:r>
          </w:p>
        </w:tc>
        <w:tc>
          <w:tcPr>
            <w:tcW w:w="1366" w:type="dxa"/>
          </w:tcPr>
          <w:p w14:paraId="42476051" w14:textId="7E0AC147" w:rsidR="00B00D95" w:rsidRPr="00607AB7" w:rsidRDefault="00B00D95" w:rsidP="00B00D95">
            <w:pPr>
              <w:spacing w:line="276" w:lineRule="auto"/>
              <w:jc w:val="center"/>
            </w:pPr>
            <w:r w:rsidRPr="00607AB7">
              <w:t>-</w:t>
            </w:r>
          </w:p>
        </w:tc>
        <w:tc>
          <w:tcPr>
            <w:tcW w:w="1135" w:type="dxa"/>
          </w:tcPr>
          <w:p w14:paraId="4746E189" w14:textId="7DA5B24E" w:rsidR="00B00D95" w:rsidRPr="00607AB7" w:rsidRDefault="00B00D95" w:rsidP="00B00D95">
            <w:pPr>
              <w:spacing w:line="276" w:lineRule="auto"/>
              <w:jc w:val="center"/>
            </w:pPr>
            <w:r w:rsidRPr="00607AB7">
              <w:t>-</w:t>
            </w:r>
          </w:p>
        </w:tc>
        <w:tc>
          <w:tcPr>
            <w:tcW w:w="1448" w:type="dxa"/>
          </w:tcPr>
          <w:p w14:paraId="05472402" w14:textId="58B661BB" w:rsidR="00B00D95" w:rsidRPr="00607AB7" w:rsidRDefault="00B00D95" w:rsidP="00B00D95">
            <w:pPr>
              <w:spacing w:line="276" w:lineRule="auto"/>
              <w:jc w:val="center"/>
            </w:pPr>
            <w:r w:rsidRPr="00607AB7">
              <w:t>-</w:t>
            </w:r>
          </w:p>
        </w:tc>
      </w:tr>
      <w:tr w:rsidR="00607AB7" w:rsidRPr="00607AB7" w14:paraId="260B3CE9" w14:textId="77777777" w:rsidTr="009C70FA">
        <w:tc>
          <w:tcPr>
            <w:tcW w:w="10533" w:type="dxa"/>
            <w:gridSpan w:val="7"/>
          </w:tcPr>
          <w:p w14:paraId="38A65360" w14:textId="7BB19CF9" w:rsidR="00B00D95" w:rsidRPr="00607AB7" w:rsidRDefault="00B00D95" w:rsidP="00B00D95">
            <w:pPr>
              <w:spacing w:line="276" w:lineRule="auto"/>
              <w:jc w:val="both"/>
              <w:rPr>
                <w:b/>
                <w:bCs/>
              </w:rPr>
            </w:pPr>
            <w:r w:rsidRPr="00607AB7">
              <w:rPr>
                <w:b/>
                <w:bCs/>
              </w:rPr>
              <w:t>4.7. Prezentarea, în cazul proiectelor de acte normative a căror adaptare atrage majorarea cheltuielilor bugetare, a următoarelor documente:</w:t>
            </w:r>
          </w:p>
          <w:p w14:paraId="67DFFAEF" w14:textId="350B0C6A" w:rsidR="00B00D95" w:rsidRPr="00607AB7" w:rsidRDefault="00B00D95" w:rsidP="00B00D95">
            <w:pPr>
              <w:spacing w:line="276" w:lineRule="auto"/>
              <w:jc w:val="both"/>
            </w:pPr>
            <w:r w:rsidRPr="00607AB7">
              <w:t>a) fișa financiară prevăzută la art. 15 din Legea nr. 500/2002 privind finanțele publice, cu modificările și completările ulterioare, însoțită de ipotezele și metodologia de calcul utilizată;</w:t>
            </w:r>
          </w:p>
          <w:p w14:paraId="699F79A9" w14:textId="3858F0A9" w:rsidR="00B00D95" w:rsidRPr="00607AB7" w:rsidRDefault="00B00D95" w:rsidP="00B00D95">
            <w:pPr>
              <w:spacing w:line="276" w:lineRule="auto"/>
              <w:jc w:val="both"/>
            </w:pPr>
            <w:r w:rsidRPr="00607AB7">
              <w:t>b) declarație conform căreia majorarea de cheltuială respectivă este compatibilă cu obiectivele și prioritățile strategice specificate în strategia fiscal-bugetară, cu legea bugetară anuală și cu plafoanele de cheltuieli prezentate în strategia fiscal-bugetară.</w:t>
            </w:r>
          </w:p>
        </w:tc>
      </w:tr>
      <w:tr w:rsidR="00607AB7" w:rsidRPr="00607AB7" w14:paraId="675CE50B" w14:textId="77777777" w:rsidTr="009C70FA">
        <w:tc>
          <w:tcPr>
            <w:tcW w:w="10533" w:type="dxa"/>
            <w:gridSpan w:val="7"/>
          </w:tcPr>
          <w:p w14:paraId="3EA86AF0" w14:textId="77777777" w:rsidR="00B00D95" w:rsidRDefault="00B00D95" w:rsidP="00C033E3">
            <w:pPr>
              <w:spacing w:line="276" w:lineRule="auto"/>
              <w:rPr>
                <w:b/>
                <w:bCs/>
                <w:noProof/>
              </w:rPr>
            </w:pPr>
            <w:r w:rsidRPr="00607AB7">
              <w:rPr>
                <w:b/>
                <w:bCs/>
                <w:noProof/>
              </w:rPr>
              <w:t xml:space="preserve">4.8. </w:t>
            </w:r>
            <w:r w:rsidRPr="0053061F">
              <w:rPr>
                <w:b/>
                <w:bCs/>
                <w:noProof/>
              </w:rPr>
              <w:t>Alte informații</w:t>
            </w:r>
          </w:p>
          <w:p w14:paraId="2A465CBD" w14:textId="4099654D" w:rsidR="004E6ABD" w:rsidRPr="00607B7D" w:rsidRDefault="004E6ABD" w:rsidP="00645222">
            <w:pPr>
              <w:spacing w:line="276" w:lineRule="auto"/>
              <w:ind w:right="78" w:firstLine="37"/>
              <w:jc w:val="both"/>
              <w:rPr>
                <w:rStyle w:val="spar"/>
              </w:rPr>
            </w:pPr>
            <w:r>
              <w:rPr>
                <w:noProof/>
              </w:rPr>
              <w:t xml:space="preserve">Scopul proiectului de act normativ constă în </w:t>
            </w:r>
            <w:r w:rsidRPr="0058259E">
              <w:rPr>
                <w:noProof/>
              </w:rPr>
              <w:t>contracara</w:t>
            </w:r>
            <w:r>
              <w:rPr>
                <w:noProof/>
              </w:rPr>
              <w:t>rea</w:t>
            </w:r>
            <w:r w:rsidRPr="0058259E">
              <w:rPr>
                <w:noProof/>
              </w:rPr>
              <w:t xml:space="preserve"> efectel</w:t>
            </w:r>
            <w:r>
              <w:rPr>
                <w:noProof/>
              </w:rPr>
              <w:t>or</w:t>
            </w:r>
            <w:r w:rsidRPr="0058259E">
              <w:rPr>
                <w:noProof/>
              </w:rPr>
              <w:t xml:space="preserve"> negative </w:t>
            </w:r>
            <w:r>
              <w:rPr>
                <w:noProof/>
              </w:rPr>
              <w:t xml:space="preserve">asupra bugetului de stat </w:t>
            </w:r>
            <w:r w:rsidRPr="0058259E">
              <w:rPr>
                <w:noProof/>
              </w:rPr>
              <w:t>generate de  ritmul lent de implementare și/sau progres</w:t>
            </w:r>
            <w:r>
              <w:rPr>
                <w:noProof/>
              </w:rPr>
              <w:t xml:space="preserve"> </w:t>
            </w:r>
            <w:r w:rsidRPr="0058259E">
              <w:rPr>
                <w:noProof/>
              </w:rPr>
              <w:t>fizic redus pe un număr mare de contracte, măsuri care permit o ajustare care minimizează pierderile și riscurile de litigii pentru lucrări deja efectuate</w:t>
            </w:r>
            <w:r>
              <w:rPr>
                <w:noProof/>
              </w:rPr>
              <w:t>, prin urmare, are un impact bugetar pozitiv.</w:t>
            </w:r>
          </w:p>
          <w:p w14:paraId="64B74EF4" w14:textId="7D094498" w:rsidR="004E6ABD" w:rsidRPr="00607AB7" w:rsidRDefault="004E6ABD" w:rsidP="00C033E3">
            <w:pPr>
              <w:spacing w:line="276" w:lineRule="auto"/>
              <w:rPr>
                <w:b/>
                <w:bCs/>
                <w:noProof/>
              </w:rPr>
            </w:pPr>
          </w:p>
        </w:tc>
      </w:tr>
    </w:tbl>
    <w:p w14:paraId="3F0D2807" w14:textId="400A5DC5" w:rsidR="00BA1894" w:rsidRPr="00607AB7" w:rsidRDefault="00670C79" w:rsidP="0069177D">
      <w:pPr>
        <w:spacing w:line="276" w:lineRule="auto"/>
        <w:jc w:val="both"/>
        <w:rPr>
          <w:b/>
        </w:rPr>
      </w:pPr>
      <w:r w:rsidRPr="00607AB7">
        <w:rPr>
          <w:b/>
        </w:rPr>
        <w:t xml:space="preserve">   </w:t>
      </w:r>
      <w:r w:rsidR="0069177D" w:rsidRPr="00607AB7">
        <w:rPr>
          <w:b/>
        </w:rPr>
        <w:tab/>
      </w:r>
    </w:p>
    <w:p w14:paraId="256EDBD3" w14:textId="77777777" w:rsidR="0053061F" w:rsidRDefault="0053061F" w:rsidP="00BA1894">
      <w:pPr>
        <w:spacing w:line="276" w:lineRule="auto"/>
        <w:ind w:firstLine="720"/>
        <w:jc w:val="both"/>
        <w:rPr>
          <w:b/>
        </w:rPr>
      </w:pPr>
    </w:p>
    <w:p w14:paraId="347A0253" w14:textId="77777777" w:rsidR="0053061F" w:rsidRDefault="0053061F" w:rsidP="00BA1894">
      <w:pPr>
        <w:spacing w:line="276" w:lineRule="auto"/>
        <w:ind w:firstLine="720"/>
        <w:jc w:val="both"/>
        <w:rPr>
          <w:b/>
        </w:rPr>
      </w:pPr>
    </w:p>
    <w:p w14:paraId="777ED2E4" w14:textId="28F4053F" w:rsidR="00B4537B" w:rsidRPr="00607AB7" w:rsidRDefault="00670C79" w:rsidP="00BA1894">
      <w:pPr>
        <w:spacing w:line="276" w:lineRule="auto"/>
        <w:ind w:firstLine="720"/>
        <w:jc w:val="both"/>
        <w:rPr>
          <w:b/>
        </w:rPr>
      </w:pPr>
      <w:r w:rsidRPr="00607AB7">
        <w:rPr>
          <w:b/>
        </w:rPr>
        <w:t xml:space="preserve">Secţiunea a 5-a </w:t>
      </w:r>
    </w:p>
    <w:p w14:paraId="7E1BCAF6" w14:textId="78D02EB4" w:rsidR="00670C79" w:rsidRPr="00607AB7" w:rsidRDefault="00670C79" w:rsidP="0064057C">
      <w:pPr>
        <w:spacing w:line="276" w:lineRule="auto"/>
        <w:ind w:firstLine="720"/>
        <w:jc w:val="both"/>
        <w:rPr>
          <w:b/>
        </w:rPr>
      </w:pPr>
      <w:r w:rsidRPr="00607AB7">
        <w:rPr>
          <w:b/>
        </w:rPr>
        <w:t xml:space="preserve">Efectele proiectului de act normativ asupra </w:t>
      </w:r>
      <w:r w:rsidR="00303141" w:rsidRPr="00607AB7">
        <w:rPr>
          <w:b/>
        </w:rPr>
        <w:t>legislației</w:t>
      </w:r>
      <w:r w:rsidRPr="00607AB7">
        <w:rPr>
          <w:b/>
        </w:rPr>
        <w:t xml:space="preserve"> în vigoare</w:t>
      </w:r>
    </w:p>
    <w:p w14:paraId="1D2D990F" w14:textId="77777777" w:rsidR="00BA1894" w:rsidRPr="00607AB7" w:rsidRDefault="00BA1894" w:rsidP="0064057C">
      <w:pPr>
        <w:spacing w:line="276" w:lineRule="auto"/>
        <w:ind w:firstLine="720"/>
        <w:jc w:val="both"/>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607AB7" w:rsidRPr="00607AB7" w14:paraId="327176B4" w14:textId="77777777" w:rsidTr="009C70FA">
        <w:trPr>
          <w:trHeight w:val="561"/>
        </w:trPr>
        <w:tc>
          <w:tcPr>
            <w:tcW w:w="10533" w:type="dxa"/>
          </w:tcPr>
          <w:p w14:paraId="4F9076D7" w14:textId="407D2D2C" w:rsidR="00973701" w:rsidRPr="00607AB7" w:rsidRDefault="00973701" w:rsidP="0064057C">
            <w:pPr>
              <w:spacing w:line="276" w:lineRule="auto"/>
              <w:jc w:val="both"/>
              <w:rPr>
                <w:b/>
                <w:bCs/>
              </w:rPr>
            </w:pPr>
            <w:r w:rsidRPr="00607AB7">
              <w:rPr>
                <w:b/>
                <w:bCs/>
              </w:rPr>
              <w:t>5.1. Măsuri normative necesare pentru aplicarea prevederilor proiectului de act normativ</w:t>
            </w:r>
          </w:p>
          <w:p w14:paraId="79B335E6" w14:textId="7C87FE32" w:rsidR="00973701" w:rsidRPr="00607AB7" w:rsidRDefault="00973701" w:rsidP="0064057C">
            <w:pPr>
              <w:tabs>
                <w:tab w:val="left" w:pos="201"/>
              </w:tabs>
              <w:spacing w:line="276" w:lineRule="auto"/>
              <w:jc w:val="both"/>
              <w:rPr>
                <w:b/>
                <w:bCs/>
              </w:rPr>
            </w:pPr>
            <w:r w:rsidRPr="00607AB7">
              <w:rPr>
                <w:b/>
                <w:bCs/>
              </w:rPr>
              <w:t>5.2. Impactul asupra legislației în domeniul achizițiilor publice</w:t>
            </w:r>
          </w:p>
          <w:p w14:paraId="3CE6B9A6" w14:textId="1FF66AFD" w:rsidR="00973701" w:rsidRPr="00607AB7" w:rsidRDefault="00973701" w:rsidP="0064057C">
            <w:pPr>
              <w:tabs>
                <w:tab w:val="left" w:pos="201"/>
              </w:tabs>
              <w:spacing w:line="276" w:lineRule="auto"/>
              <w:jc w:val="both"/>
              <w:rPr>
                <w:b/>
                <w:bCs/>
              </w:rPr>
            </w:pPr>
            <w:r w:rsidRPr="00607AB7">
              <w:rPr>
                <w:b/>
                <w:bCs/>
              </w:rPr>
              <w:t>5.3. Conformitatea  proiectului de act normativ cu legislaţia UE (în cazul proiectelor ce transpun sau asigură aplicarea unor prevederi de drept UE)</w:t>
            </w:r>
          </w:p>
          <w:p w14:paraId="09158D06" w14:textId="7EEBFF96" w:rsidR="00973701" w:rsidRPr="00607AB7" w:rsidRDefault="00973701" w:rsidP="0064057C">
            <w:pPr>
              <w:tabs>
                <w:tab w:val="left" w:pos="201"/>
              </w:tabs>
              <w:spacing w:line="276" w:lineRule="auto"/>
              <w:jc w:val="both"/>
              <w:rPr>
                <w:b/>
                <w:bCs/>
              </w:rPr>
            </w:pPr>
            <w:r w:rsidRPr="00607AB7">
              <w:rPr>
                <w:b/>
                <w:bCs/>
              </w:rPr>
              <w:t>5.3.1. Măsuri normative necesare transpunerii directivelor UE</w:t>
            </w:r>
          </w:p>
          <w:p w14:paraId="4087DBF1" w14:textId="712974EB" w:rsidR="00973701" w:rsidRPr="00607AB7" w:rsidRDefault="00674D58" w:rsidP="0064057C">
            <w:pPr>
              <w:tabs>
                <w:tab w:val="left" w:pos="201"/>
              </w:tabs>
              <w:spacing w:line="276" w:lineRule="auto"/>
              <w:jc w:val="both"/>
              <w:rPr>
                <w:b/>
                <w:bCs/>
              </w:rPr>
            </w:pPr>
            <w:r w:rsidRPr="00607AB7">
              <w:rPr>
                <w:b/>
                <w:bCs/>
              </w:rPr>
              <w:t>5.3.2. Măsuri normative necesare aplicării actelor legislative UE</w:t>
            </w:r>
          </w:p>
          <w:p w14:paraId="1292063A" w14:textId="254BC23D" w:rsidR="002623AD" w:rsidRPr="00607AB7" w:rsidRDefault="00674D58" w:rsidP="0064057C">
            <w:pPr>
              <w:tabs>
                <w:tab w:val="left" w:pos="201"/>
              </w:tabs>
              <w:spacing w:line="276" w:lineRule="auto"/>
              <w:jc w:val="both"/>
              <w:rPr>
                <w:b/>
                <w:bCs/>
              </w:rPr>
            </w:pPr>
            <w:r w:rsidRPr="00607AB7">
              <w:rPr>
                <w:b/>
                <w:bCs/>
              </w:rPr>
              <w:t>5.4. Hotărâri ale Curţii de Justiţie a Uniunii Europene</w:t>
            </w:r>
            <w:r w:rsidR="002623AD" w:rsidRPr="00607AB7">
              <w:rPr>
                <w:b/>
                <w:bCs/>
              </w:rPr>
              <w:t xml:space="preserve"> </w:t>
            </w:r>
            <w:r w:rsidR="0008730B" w:rsidRPr="00607AB7">
              <w:rPr>
                <w:b/>
                <w:bCs/>
              </w:rPr>
              <w:t>–</w:t>
            </w:r>
            <w:r w:rsidR="002623AD" w:rsidRPr="00607AB7">
              <w:rPr>
                <w:b/>
                <w:bCs/>
              </w:rPr>
              <w:t xml:space="preserve"> </w:t>
            </w:r>
          </w:p>
          <w:p w14:paraId="6410C1B3" w14:textId="4D731C69" w:rsidR="0008730B" w:rsidRPr="00607AB7" w:rsidRDefault="00674D58" w:rsidP="0064057C">
            <w:pPr>
              <w:tabs>
                <w:tab w:val="left" w:pos="201"/>
              </w:tabs>
              <w:spacing w:line="276" w:lineRule="auto"/>
              <w:jc w:val="both"/>
              <w:rPr>
                <w:b/>
                <w:bCs/>
              </w:rPr>
            </w:pPr>
            <w:r w:rsidRPr="00607AB7">
              <w:rPr>
                <w:b/>
                <w:bCs/>
              </w:rPr>
              <w:t>5.5. Alte acte normative şi/sau documente internaţionale din care decurg angajamente asumate</w:t>
            </w:r>
            <w:r w:rsidR="002623AD" w:rsidRPr="00607AB7">
              <w:rPr>
                <w:b/>
                <w:bCs/>
              </w:rPr>
              <w:t xml:space="preserve"> </w:t>
            </w:r>
            <w:r w:rsidR="0008730B" w:rsidRPr="00607AB7">
              <w:rPr>
                <w:b/>
                <w:bCs/>
              </w:rPr>
              <w:t>–</w:t>
            </w:r>
            <w:r w:rsidR="002623AD" w:rsidRPr="00607AB7">
              <w:rPr>
                <w:b/>
                <w:bCs/>
              </w:rPr>
              <w:t xml:space="preserve"> </w:t>
            </w:r>
          </w:p>
          <w:p w14:paraId="7C430706" w14:textId="63915D44" w:rsidR="00973701" w:rsidRPr="00607AB7" w:rsidRDefault="00674D58" w:rsidP="0064057C">
            <w:pPr>
              <w:tabs>
                <w:tab w:val="left" w:pos="201"/>
              </w:tabs>
              <w:spacing w:line="276" w:lineRule="auto"/>
              <w:jc w:val="both"/>
            </w:pPr>
            <w:r w:rsidRPr="00607AB7">
              <w:rPr>
                <w:b/>
                <w:bCs/>
              </w:rPr>
              <w:t>5.6. Alte informații</w:t>
            </w:r>
          </w:p>
        </w:tc>
      </w:tr>
    </w:tbl>
    <w:p w14:paraId="3BE5108D" w14:textId="77777777" w:rsidR="00151751" w:rsidRPr="00607AB7" w:rsidRDefault="00DB715E" w:rsidP="00F25EE4">
      <w:pPr>
        <w:spacing w:line="276" w:lineRule="auto"/>
        <w:rPr>
          <w:b/>
        </w:rPr>
      </w:pPr>
      <w:r w:rsidRPr="00607AB7">
        <w:rPr>
          <w:b/>
        </w:rPr>
        <w:t xml:space="preserve">  </w:t>
      </w:r>
      <w:r w:rsidR="002D2045" w:rsidRPr="00607AB7">
        <w:rPr>
          <w:b/>
        </w:rPr>
        <w:tab/>
      </w:r>
    </w:p>
    <w:p w14:paraId="6F04DAD9" w14:textId="256F5A39" w:rsidR="00BB0782" w:rsidRPr="00607AB7" w:rsidRDefault="00BB0782" w:rsidP="00151751">
      <w:pPr>
        <w:spacing w:line="276" w:lineRule="auto"/>
        <w:ind w:firstLine="720"/>
        <w:rPr>
          <w:b/>
        </w:rPr>
      </w:pPr>
      <w:r w:rsidRPr="00607AB7">
        <w:rPr>
          <w:b/>
        </w:rPr>
        <w:t>Secțiunea a 6-a</w:t>
      </w:r>
    </w:p>
    <w:p w14:paraId="4113E59E" w14:textId="02F677AF" w:rsidR="00670C79" w:rsidRPr="00607AB7" w:rsidRDefault="00670C79" w:rsidP="0064057C">
      <w:pPr>
        <w:spacing w:line="276" w:lineRule="auto"/>
        <w:ind w:firstLine="720"/>
        <w:rPr>
          <w:b/>
        </w:rPr>
      </w:pPr>
      <w:r w:rsidRPr="00607AB7">
        <w:rPr>
          <w:b/>
        </w:rPr>
        <w:t>Consultările efectuate în vederea elaborării proiectului de act normativ</w:t>
      </w:r>
    </w:p>
    <w:p w14:paraId="530036BA" w14:textId="77777777" w:rsidR="00BA1894" w:rsidRPr="00607AB7" w:rsidRDefault="00BA1894" w:rsidP="0064057C">
      <w:pPr>
        <w:spacing w:line="276" w:lineRule="auto"/>
        <w:ind w:firstLine="720"/>
        <w:rPr>
          <w:b/>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607AB7" w:rsidRPr="00607AB7" w14:paraId="5EB7CDBC" w14:textId="77777777" w:rsidTr="009C70FA">
        <w:tc>
          <w:tcPr>
            <w:tcW w:w="10533" w:type="dxa"/>
          </w:tcPr>
          <w:p w14:paraId="598B642C" w14:textId="50A84CE9" w:rsidR="00770E01" w:rsidRPr="00607AB7" w:rsidRDefault="00770E01" w:rsidP="0064057C">
            <w:pPr>
              <w:spacing w:line="276" w:lineRule="auto"/>
              <w:jc w:val="both"/>
              <w:rPr>
                <w:b/>
                <w:bCs/>
              </w:rPr>
            </w:pPr>
            <w:r w:rsidRPr="00607AB7">
              <w:rPr>
                <w:b/>
                <w:bCs/>
              </w:rPr>
              <w:t>6.1. Informații privind neaplicarea procedurii de participare la elaborarea actelor normative</w:t>
            </w:r>
          </w:p>
          <w:p w14:paraId="0B61431A" w14:textId="692060C1" w:rsidR="00770E01" w:rsidRPr="00607AB7" w:rsidRDefault="00770E01" w:rsidP="0064057C">
            <w:pPr>
              <w:spacing w:line="276" w:lineRule="auto"/>
              <w:jc w:val="both"/>
              <w:rPr>
                <w:b/>
                <w:bCs/>
              </w:rPr>
            </w:pPr>
            <w:r w:rsidRPr="00607AB7">
              <w:rPr>
                <w:b/>
                <w:bCs/>
              </w:rPr>
              <w:t>6.2. Informaţii privind procesul de consultare cu organizaţii neguvernamentale, institute de cercetare şi alte organisme implicate</w:t>
            </w:r>
          </w:p>
          <w:p w14:paraId="2BABECC5" w14:textId="6F40CA01" w:rsidR="00926ABC" w:rsidRPr="00607AB7" w:rsidRDefault="00770E01" w:rsidP="0064057C">
            <w:pPr>
              <w:spacing w:line="276" w:lineRule="auto"/>
              <w:jc w:val="both"/>
              <w:rPr>
                <w:b/>
                <w:bCs/>
              </w:rPr>
            </w:pPr>
            <w:r w:rsidRPr="00607AB7">
              <w:rPr>
                <w:b/>
                <w:bCs/>
              </w:rPr>
              <w:t>6.3. Informații despre consultările organizate cu autoritățile administrației publice locale</w:t>
            </w:r>
          </w:p>
          <w:p w14:paraId="277694A9" w14:textId="73F7B839" w:rsidR="00333084" w:rsidRPr="00607AB7" w:rsidRDefault="00333084" w:rsidP="0064057C">
            <w:pPr>
              <w:spacing w:line="276" w:lineRule="auto"/>
              <w:jc w:val="both"/>
            </w:pPr>
            <w:r w:rsidRPr="00607AB7">
              <w:t>A fost realizată procedura de consultare în conformitate cu prevederile Ordonanței de urgență a Guvernului nr. 57/2019 privind Codul administrativ, cu</w:t>
            </w:r>
            <w:r w:rsidR="005F1FEB" w:rsidRPr="00607AB7">
              <w:t xml:space="preserve"> </w:t>
            </w:r>
            <w:r w:rsidR="00AA1906" w:rsidRPr="00607AB7">
              <w:t>modificările</w:t>
            </w:r>
            <w:r w:rsidR="005F1FEB" w:rsidRPr="00607AB7">
              <w:t xml:space="preserve"> și</w:t>
            </w:r>
            <w:r w:rsidR="00AA1906" w:rsidRPr="00607AB7">
              <w:t xml:space="preserve"> </w:t>
            </w:r>
            <w:r w:rsidRPr="00607AB7">
              <w:t>completările ulterioare, precum și ale Hotărârii Guvernului nr. 635/2022 privind procedura de consultare a structurilor asociative ale autorităţilor administraţiei publice locale la elaborarea proiectelor de acte normative.</w:t>
            </w:r>
          </w:p>
          <w:p w14:paraId="64A2734E" w14:textId="5C5D766B" w:rsidR="00333084" w:rsidRPr="00607AB7" w:rsidRDefault="00333084" w:rsidP="0064057C">
            <w:pPr>
              <w:spacing w:line="276" w:lineRule="auto"/>
              <w:jc w:val="both"/>
            </w:pPr>
            <w:r w:rsidRPr="00607AB7">
              <w:t>Proiectul de act normativ a fost transmis pentru consultare structurilor asociative ale autorităților administrației publice locale, solicitându-se  punct de vedere de la Asociația Comunelor din România, Asociația Municipiilor din România, Asociația Orașelor din România, respectiv de la Uniunea Națională a Consiliilor Județene din România.</w:t>
            </w:r>
          </w:p>
          <w:p w14:paraId="53F02791" w14:textId="01634DA2" w:rsidR="00770E01" w:rsidRPr="00607AB7" w:rsidRDefault="00770E01" w:rsidP="0064057C">
            <w:pPr>
              <w:spacing w:line="276" w:lineRule="auto"/>
              <w:jc w:val="both"/>
              <w:rPr>
                <w:b/>
                <w:bCs/>
              </w:rPr>
            </w:pPr>
            <w:r w:rsidRPr="00607AB7">
              <w:rPr>
                <w:b/>
                <w:bCs/>
              </w:rPr>
              <w:t xml:space="preserve">6.4. Informații privind puncte de vedere/opinii emise de organisme </w:t>
            </w:r>
            <w:r w:rsidR="000C03FF" w:rsidRPr="00607AB7">
              <w:rPr>
                <w:b/>
                <w:bCs/>
              </w:rPr>
              <w:t>consultative</w:t>
            </w:r>
            <w:r w:rsidRPr="00607AB7">
              <w:rPr>
                <w:b/>
                <w:bCs/>
              </w:rPr>
              <w:t xml:space="preserve"> constituite prin acte normative</w:t>
            </w:r>
          </w:p>
          <w:p w14:paraId="0FF572CC" w14:textId="733196DE" w:rsidR="00770E01" w:rsidRPr="00607AB7" w:rsidRDefault="00770E01" w:rsidP="0064057C">
            <w:pPr>
              <w:spacing w:line="276" w:lineRule="auto"/>
              <w:jc w:val="both"/>
              <w:rPr>
                <w:b/>
                <w:bCs/>
              </w:rPr>
            </w:pPr>
            <w:r w:rsidRPr="00607AB7">
              <w:rPr>
                <w:b/>
                <w:bCs/>
              </w:rPr>
              <w:t>6.5</w:t>
            </w:r>
            <w:r w:rsidR="004555DD" w:rsidRPr="00607AB7">
              <w:rPr>
                <w:b/>
                <w:bCs/>
              </w:rPr>
              <w:t>.</w:t>
            </w:r>
            <w:r w:rsidRPr="00607AB7">
              <w:rPr>
                <w:b/>
                <w:bCs/>
              </w:rPr>
              <w:t xml:space="preserve"> Informații privind avizarea de către:</w:t>
            </w:r>
          </w:p>
          <w:p w14:paraId="09E890F1" w14:textId="77777777" w:rsidR="00157CFC" w:rsidRPr="00607AB7" w:rsidRDefault="00157CFC" w:rsidP="0064057C">
            <w:pPr>
              <w:spacing w:line="276" w:lineRule="auto"/>
              <w:jc w:val="both"/>
            </w:pPr>
            <w:r w:rsidRPr="00607AB7">
              <w:t>a) Consiliul Legislativ</w:t>
            </w:r>
          </w:p>
          <w:p w14:paraId="3A0D23BA" w14:textId="77777777" w:rsidR="00157CFC" w:rsidRPr="00607AB7" w:rsidRDefault="00157CFC" w:rsidP="0064057C">
            <w:pPr>
              <w:spacing w:line="276" w:lineRule="auto"/>
              <w:jc w:val="both"/>
            </w:pPr>
            <w:r w:rsidRPr="00607AB7">
              <w:t>b) Consiliul Suprem de Apărare a Ţării</w:t>
            </w:r>
          </w:p>
          <w:p w14:paraId="25205690" w14:textId="77777777" w:rsidR="00157CFC" w:rsidRPr="00607AB7" w:rsidRDefault="00157CFC" w:rsidP="0064057C">
            <w:pPr>
              <w:spacing w:line="276" w:lineRule="auto"/>
              <w:jc w:val="both"/>
            </w:pPr>
            <w:r w:rsidRPr="00607AB7">
              <w:t>c) Consiliul Economic şi Social</w:t>
            </w:r>
          </w:p>
          <w:p w14:paraId="64A58A6F" w14:textId="77777777" w:rsidR="00157CFC" w:rsidRPr="00607AB7" w:rsidRDefault="00157CFC" w:rsidP="0064057C">
            <w:pPr>
              <w:spacing w:line="276" w:lineRule="auto"/>
              <w:jc w:val="both"/>
            </w:pPr>
            <w:r w:rsidRPr="00607AB7">
              <w:t xml:space="preserve">d) Consiliul Concurenţei </w:t>
            </w:r>
          </w:p>
          <w:p w14:paraId="2CB60868" w14:textId="28295A65" w:rsidR="00157CFC" w:rsidRDefault="00157CFC" w:rsidP="0064057C">
            <w:pPr>
              <w:spacing w:line="276" w:lineRule="auto"/>
              <w:jc w:val="both"/>
            </w:pPr>
            <w:r w:rsidRPr="00607AB7">
              <w:t>e) Curtea de Conturi</w:t>
            </w:r>
            <w:r w:rsidR="007F39A1">
              <w:t>.</w:t>
            </w:r>
          </w:p>
          <w:p w14:paraId="2E23D2D5" w14:textId="312E08D4" w:rsidR="007A18B0" w:rsidRPr="00607AB7" w:rsidRDefault="007A18B0" w:rsidP="0064057C">
            <w:pPr>
              <w:spacing w:line="276" w:lineRule="auto"/>
              <w:jc w:val="both"/>
              <w:rPr>
                <w:b/>
                <w:bCs/>
              </w:rPr>
            </w:pPr>
            <w:r>
              <w:rPr>
                <w:bCs/>
              </w:rPr>
              <w:t>Proiectul de act normativ este supus avizului Consiliului Legislativ</w:t>
            </w:r>
            <w:r w:rsidR="00FA79EC">
              <w:rPr>
                <w:bCs/>
              </w:rPr>
              <w:t xml:space="preserve"> și </w:t>
            </w:r>
            <w:r w:rsidR="00FA79EC" w:rsidRPr="00FA79EC">
              <w:rPr>
                <w:bCs/>
              </w:rPr>
              <w:t>Consiliul</w:t>
            </w:r>
            <w:r w:rsidR="00FA79EC">
              <w:rPr>
                <w:bCs/>
              </w:rPr>
              <w:t>ui</w:t>
            </w:r>
            <w:r w:rsidR="00FA79EC" w:rsidRPr="00FA79EC">
              <w:rPr>
                <w:bCs/>
              </w:rPr>
              <w:t xml:space="preserve"> Economic şi Social</w:t>
            </w:r>
            <w:r w:rsidR="00FA79EC">
              <w:rPr>
                <w:bCs/>
              </w:rPr>
              <w:t>.</w:t>
            </w:r>
          </w:p>
          <w:p w14:paraId="5198A8CE" w14:textId="77777777" w:rsidR="00770E01" w:rsidRPr="00607AB7" w:rsidRDefault="00770E01" w:rsidP="0064057C">
            <w:pPr>
              <w:spacing w:line="276" w:lineRule="auto"/>
              <w:jc w:val="both"/>
              <w:rPr>
                <w:b/>
                <w:bCs/>
              </w:rPr>
            </w:pPr>
            <w:r w:rsidRPr="00607AB7">
              <w:rPr>
                <w:b/>
                <w:bCs/>
              </w:rPr>
              <w:t>6.6. Alte informații</w:t>
            </w:r>
          </w:p>
          <w:p w14:paraId="32E03757" w14:textId="28B0C546" w:rsidR="00157CFC" w:rsidRPr="00607AB7" w:rsidRDefault="00157CFC" w:rsidP="0064057C">
            <w:pPr>
              <w:spacing w:line="276" w:lineRule="auto"/>
              <w:jc w:val="both"/>
            </w:pPr>
            <w:r w:rsidRPr="00607AB7">
              <w:t>S-a solicitat punctul de vedere al Curții de Conturi a României, al Autorității de Audit din cadrul Curții de Conturi a României</w:t>
            </w:r>
            <w:r w:rsidR="00FA79EC">
              <w:t>,</w:t>
            </w:r>
            <w:r w:rsidRPr="00607AB7">
              <w:t xml:space="preserve"> și al Consiliului Concurenței</w:t>
            </w:r>
            <w:r w:rsidR="00615C96">
              <w:t xml:space="preserve">, </w:t>
            </w:r>
            <w:r w:rsidR="00615C96" w:rsidRPr="00615C96">
              <w:t>Agenți</w:t>
            </w:r>
            <w:r w:rsidR="00615C96">
              <w:t>ei</w:t>
            </w:r>
            <w:r w:rsidR="00615C96" w:rsidRPr="00615C96">
              <w:t xml:space="preserve"> Național</w:t>
            </w:r>
            <w:r w:rsidR="00615C96">
              <w:t>e</w:t>
            </w:r>
            <w:r w:rsidR="00615C96" w:rsidRPr="00615C96">
              <w:t xml:space="preserve"> pentru Achiziții Publice</w:t>
            </w:r>
            <w:r w:rsidR="00FA79EC">
              <w:t xml:space="preserve"> și al </w:t>
            </w:r>
            <w:r w:rsidR="00FA79EC" w:rsidRPr="00FA79EC">
              <w:t>Asociați</w:t>
            </w:r>
            <w:r w:rsidR="00FA79EC">
              <w:t>ei</w:t>
            </w:r>
            <w:r w:rsidR="00FA79EC" w:rsidRPr="00FA79EC">
              <w:t xml:space="preserve"> Agențiilor pentru Dezvoltare Regională din România -</w:t>
            </w:r>
            <w:r w:rsidR="00FA79EC">
              <w:t xml:space="preserve"> ROREG</w:t>
            </w:r>
            <w:r w:rsidRPr="00607AB7">
              <w:t>.</w:t>
            </w:r>
          </w:p>
        </w:tc>
      </w:tr>
    </w:tbl>
    <w:p w14:paraId="4FEDAB8F" w14:textId="2B38CF5C" w:rsidR="00BA1894" w:rsidRPr="00607AB7" w:rsidRDefault="00BA1894" w:rsidP="0064057C">
      <w:pPr>
        <w:pStyle w:val="BodyTextIndent2"/>
        <w:spacing w:before="0" w:after="0" w:line="276" w:lineRule="auto"/>
        <w:ind w:left="180" w:right="98" w:firstLine="540"/>
        <w:jc w:val="both"/>
        <w:rPr>
          <w:bCs w:val="0"/>
          <w:sz w:val="16"/>
          <w:szCs w:val="16"/>
        </w:rPr>
      </w:pPr>
    </w:p>
    <w:p w14:paraId="7AB46AFA" w14:textId="77777777" w:rsidR="0053061F" w:rsidRDefault="0053061F" w:rsidP="0064057C">
      <w:pPr>
        <w:pStyle w:val="BodyTextIndent2"/>
        <w:spacing w:before="0" w:after="0" w:line="276" w:lineRule="auto"/>
        <w:ind w:left="180" w:right="98" w:firstLine="540"/>
        <w:jc w:val="both"/>
        <w:rPr>
          <w:bCs w:val="0"/>
          <w:sz w:val="24"/>
        </w:rPr>
      </w:pPr>
    </w:p>
    <w:p w14:paraId="166F958A" w14:textId="77777777" w:rsidR="0053061F" w:rsidRDefault="0053061F" w:rsidP="0064057C">
      <w:pPr>
        <w:pStyle w:val="BodyTextIndent2"/>
        <w:spacing w:before="0" w:after="0" w:line="276" w:lineRule="auto"/>
        <w:ind w:left="180" w:right="98" w:firstLine="540"/>
        <w:jc w:val="both"/>
        <w:rPr>
          <w:bCs w:val="0"/>
          <w:sz w:val="24"/>
        </w:rPr>
      </w:pPr>
    </w:p>
    <w:p w14:paraId="311858C9" w14:textId="7678E17E" w:rsidR="00770E01" w:rsidRPr="00607AB7" w:rsidRDefault="00670C79" w:rsidP="0064057C">
      <w:pPr>
        <w:pStyle w:val="BodyTextIndent2"/>
        <w:spacing w:before="0" w:after="0" w:line="276" w:lineRule="auto"/>
        <w:ind w:left="180" w:right="98" w:firstLine="540"/>
        <w:jc w:val="both"/>
        <w:rPr>
          <w:bCs w:val="0"/>
          <w:sz w:val="24"/>
        </w:rPr>
      </w:pPr>
      <w:r w:rsidRPr="00607AB7">
        <w:rPr>
          <w:bCs w:val="0"/>
          <w:sz w:val="24"/>
        </w:rPr>
        <w:t xml:space="preserve">Secţiunea a 7-a  </w:t>
      </w:r>
    </w:p>
    <w:p w14:paraId="45DA67B7" w14:textId="19CE0882" w:rsidR="00260E13" w:rsidRPr="00607AB7" w:rsidRDefault="00670C79" w:rsidP="0064057C">
      <w:pPr>
        <w:pStyle w:val="BodyTextIndent2"/>
        <w:spacing w:before="0" w:after="0" w:line="276" w:lineRule="auto"/>
        <w:ind w:left="180" w:right="98" w:firstLine="540"/>
        <w:jc w:val="both"/>
        <w:rPr>
          <w:bCs w:val="0"/>
          <w:sz w:val="24"/>
        </w:rPr>
      </w:pPr>
      <w:r w:rsidRPr="00607AB7">
        <w:rPr>
          <w:bCs w:val="0"/>
          <w:sz w:val="24"/>
        </w:rPr>
        <w:t xml:space="preserve">Activităţi de informare publică privind elaborarea şi implementarea </w:t>
      </w:r>
      <w:bookmarkStart w:id="2" w:name="_Hlk100229941"/>
      <w:r w:rsidRPr="00607AB7">
        <w:rPr>
          <w:bCs w:val="0"/>
          <w:sz w:val="24"/>
        </w:rPr>
        <w:t>proiectului de act normativ</w:t>
      </w:r>
      <w:bookmarkEnd w:id="2"/>
    </w:p>
    <w:p w14:paraId="10291701" w14:textId="77777777" w:rsidR="00BA1894" w:rsidRPr="00607AB7" w:rsidRDefault="00BA1894" w:rsidP="0064057C">
      <w:pPr>
        <w:pStyle w:val="BodyTextIndent2"/>
        <w:spacing w:before="0" w:after="0" w:line="276" w:lineRule="auto"/>
        <w:ind w:left="180" w:right="98" w:firstLine="540"/>
        <w:jc w:val="both"/>
        <w:rPr>
          <w:bCs w:val="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607AB7" w:rsidRPr="00607AB7" w14:paraId="416004E3" w14:textId="77777777" w:rsidTr="009C70FA">
        <w:tc>
          <w:tcPr>
            <w:tcW w:w="10533" w:type="dxa"/>
          </w:tcPr>
          <w:p w14:paraId="29554504" w14:textId="45324F95" w:rsidR="00770E01" w:rsidRPr="00607AB7" w:rsidRDefault="00770E01" w:rsidP="00157CFC">
            <w:pPr>
              <w:spacing w:line="276" w:lineRule="auto"/>
              <w:jc w:val="both"/>
              <w:rPr>
                <w:b/>
                <w:bCs/>
              </w:rPr>
            </w:pPr>
            <w:r w:rsidRPr="00607AB7">
              <w:rPr>
                <w:b/>
                <w:bCs/>
              </w:rPr>
              <w:t xml:space="preserve">7.1. </w:t>
            </w:r>
            <w:r w:rsidR="0053566B" w:rsidRPr="00607AB7">
              <w:rPr>
                <w:b/>
                <w:bCs/>
              </w:rPr>
              <w:t>Informarea societăţii civile cu privire la elaborarea proiectului de act normativ</w:t>
            </w:r>
          </w:p>
          <w:p w14:paraId="2A6DF099" w14:textId="2D4F2E1B" w:rsidR="00434D38" w:rsidRPr="00607AB7" w:rsidRDefault="00434D38" w:rsidP="00C10285">
            <w:pPr>
              <w:spacing w:line="276" w:lineRule="auto"/>
              <w:jc w:val="both"/>
            </w:pPr>
            <w:r w:rsidRPr="00607AB7">
              <w:t>Prezentul proiect de act normativ respectă prevederile art. 7 alin. (13) din Legea nr. 52/2003 privind transparența decizională în administrația publică, republicată, și a fost publicat în dezbatere publică pe pagina de internet a Ministerului Investițiilor și Proiectelor Europene la data de</w:t>
            </w:r>
            <w:r w:rsidR="003E4318" w:rsidRPr="00607AB7">
              <w:t xml:space="preserve"> </w:t>
            </w:r>
            <w:r w:rsidR="00607B7D">
              <w:t>13 august 2025.</w:t>
            </w:r>
          </w:p>
          <w:p w14:paraId="43770E93" w14:textId="77777777" w:rsidR="00434D38" w:rsidRPr="00607AB7" w:rsidRDefault="0053566B" w:rsidP="00157CFC">
            <w:pPr>
              <w:spacing w:line="276" w:lineRule="auto"/>
              <w:jc w:val="both"/>
              <w:rPr>
                <w:b/>
                <w:bCs/>
              </w:rPr>
            </w:pPr>
            <w:r w:rsidRPr="00607AB7">
              <w:rPr>
                <w:b/>
                <w:bCs/>
              </w:rPr>
              <w:t>7.2. Informarea societăţii civile cu privire la e</w:t>
            </w:r>
            <w:r w:rsidR="008F6907" w:rsidRPr="00607AB7">
              <w:rPr>
                <w:b/>
                <w:bCs/>
              </w:rPr>
              <w:t>v</w:t>
            </w:r>
            <w:r w:rsidRPr="00607AB7">
              <w:rPr>
                <w:b/>
                <w:bCs/>
              </w:rPr>
              <w:t>entualul impact asupra mediului în urma implementării proiectului de act normativ, precum și efectele asupra sănătății și securității cetățenilor sau diversității biologice</w:t>
            </w:r>
          </w:p>
          <w:p w14:paraId="6A2C5259" w14:textId="29231F5D" w:rsidR="008F6907" w:rsidRPr="00607AB7" w:rsidRDefault="008F6907" w:rsidP="0064057C">
            <w:pPr>
              <w:spacing w:line="276" w:lineRule="auto"/>
              <w:jc w:val="both"/>
              <w:rPr>
                <w:b/>
                <w:bCs/>
              </w:rPr>
            </w:pPr>
            <w:r w:rsidRPr="00607AB7">
              <w:rPr>
                <w:b/>
                <w:bCs/>
              </w:rPr>
              <w:t>7.3. Alte informații</w:t>
            </w:r>
          </w:p>
        </w:tc>
      </w:tr>
    </w:tbl>
    <w:p w14:paraId="79DEFCA1" w14:textId="77777777" w:rsidR="00C911BB" w:rsidRPr="00607AB7" w:rsidRDefault="00C911BB" w:rsidP="0064057C">
      <w:pPr>
        <w:spacing w:line="276" w:lineRule="auto"/>
        <w:ind w:left="180" w:firstLine="540"/>
        <w:rPr>
          <w:b/>
        </w:rPr>
      </w:pPr>
    </w:p>
    <w:p w14:paraId="341152AF" w14:textId="4C0EEC27" w:rsidR="0053566B" w:rsidRPr="00607AB7" w:rsidRDefault="00670C79" w:rsidP="0064057C">
      <w:pPr>
        <w:spacing w:line="276" w:lineRule="auto"/>
        <w:ind w:left="180" w:firstLine="540"/>
        <w:rPr>
          <w:b/>
        </w:rPr>
      </w:pPr>
      <w:r w:rsidRPr="00607AB7">
        <w:rPr>
          <w:b/>
        </w:rPr>
        <w:t>Secţiunea a 8- a</w:t>
      </w:r>
      <w:r w:rsidR="002E20A6" w:rsidRPr="00607AB7">
        <w:rPr>
          <w:b/>
        </w:rPr>
        <w:t xml:space="preserve"> </w:t>
      </w:r>
      <w:r w:rsidRPr="00607AB7">
        <w:rPr>
          <w:b/>
        </w:rPr>
        <w:t xml:space="preserve"> </w:t>
      </w:r>
    </w:p>
    <w:p w14:paraId="3FBCA191" w14:textId="2B74247B" w:rsidR="00670C79" w:rsidRPr="00607AB7" w:rsidRDefault="00670C79" w:rsidP="0064057C">
      <w:pPr>
        <w:spacing w:line="276" w:lineRule="auto"/>
        <w:ind w:left="180" w:firstLine="540"/>
        <w:rPr>
          <w:b/>
        </w:rPr>
      </w:pPr>
      <w:r w:rsidRPr="00607AB7">
        <w:rPr>
          <w:b/>
        </w:rPr>
        <w:t xml:space="preserve">Măsuri </w:t>
      </w:r>
      <w:r w:rsidR="0053566B" w:rsidRPr="00607AB7">
        <w:rPr>
          <w:b/>
        </w:rPr>
        <w:t>privind</w:t>
      </w:r>
      <w:r w:rsidRPr="00607AB7">
        <w:rPr>
          <w:b/>
        </w:rPr>
        <w:t xml:space="preserve"> implementare</w:t>
      </w:r>
      <w:r w:rsidR="0053566B" w:rsidRPr="00607AB7">
        <w:rPr>
          <w:b/>
        </w:rPr>
        <w:t>a, monitorizarea și evaluarea proiectului de act normativ</w:t>
      </w:r>
    </w:p>
    <w:p w14:paraId="2B935F25" w14:textId="77777777" w:rsidR="008F11D0" w:rsidRPr="00607AB7" w:rsidRDefault="008F11D0" w:rsidP="0064057C">
      <w:pPr>
        <w:spacing w:line="276" w:lineRule="auto"/>
        <w:ind w:left="180" w:firstLine="540"/>
        <w:rPr>
          <w:b/>
        </w:rPr>
      </w:pPr>
    </w:p>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3"/>
      </w:tblGrid>
      <w:tr w:rsidR="00607AB7" w:rsidRPr="00607AB7" w14:paraId="554BFAFC" w14:textId="77777777" w:rsidTr="009C70FA">
        <w:tc>
          <w:tcPr>
            <w:tcW w:w="10553" w:type="dxa"/>
          </w:tcPr>
          <w:p w14:paraId="560280B7" w14:textId="17EACDBF" w:rsidR="0053566B" w:rsidRPr="00607AB7" w:rsidRDefault="0053566B" w:rsidP="0064057C">
            <w:pPr>
              <w:pStyle w:val="Heading1"/>
              <w:spacing w:line="276" w:lineRule="auto"/>
              <w:jc w:val="both"/>
              <w:rPr>
                <w:b/>
                <w:bCs/>
                <w:sz w:val="24"/>
              </w:rPr>
            </w:pPr>
            <w:r w:rsidRPr="00607AB7">
              <w:rPr>
                <w:b/>
                <w:bCs/>
                <w:sz w:val="24"/>
              </w:rPr>
              <w:t>8.1. Măsuri de punere în aplicare a proiectului de act normativ</w:t>
            </w:r>
          </w:p>
          <w:p w14:paraId="3837F202" w14:textId="183BCADB" w:rsidR="0053566B" w:rsidRPr="00607AB7" w:rsidRDefault="0053566B" w:rsidP="0064057C">
            <w:pPr>
              <w:spacing w:line="276" w:lineRule="auto"/>
            </w:pPr>
            <w:r w:rsidRPr="00607AB7">
              <w:rPr>
                <w:b/>
                <w:bCs/>
              </w:rPr>
              <w:t>8.2. Alte informaţii</w:t>
            </w:r>
          </w:p>
        </w:tc>
      </w:tr>
    </w:tbl>
    <w:p w14:paraId="043991A4" w14:textId="4EFE648F" w:rsidR="00185823" w:rsidRPr="00607AB7" w:rsidRDefault="00185823" w:rsidP="0064057C">
      <w:pPr>
        <w:spacing w:line="276" w:lineRule="auto"/>
        <w:jc w:val="both"/>
      </w:pPr>
    </w:p>
    <w:p w14:paraId="71D7DEF4" w14:textId="77777777" w:rsidR="002A3BAF" w:rsidRDefault="002A3BAF" w:rsidP="0064057C">
      <w:pPr>
        <w:spacing w:line="276" w:lineRule="auto"/>
        <w:jc w:val="both"/>
      </w:pPr>
    </w:p>
    <w:p w14:paraId="66CDFE82" w14:textId="77777777" w:rsidR="0053061F" w:rsidRDefault="0053061F" w:rsidP="0064057C">
      <w:pPr>
        <w:spacing w:line="276" w:lineRule="auto"/>
        <w:jc w:val="both"/>
      </w:pPr>
    </w:p>
    <w:p w14:paraId="11F65E1C" w14:textId="77777777" w:rsidR="0053061F" w:rsidRDefault="0053061F" w:rsidP="0064057C">
      <w:pPr>
        <w:spacing w:line="276" w:lineRule="auto"/>
        <w:jc w:val="both"/>
      </w:pPr>
    </w:p>
    <w:p w14:paraId="10A1420D" w14:textId="77777777" w:rsidR="0053061F" w:rsidRDefault="0053061F" w:rsidP="0064057C">
      <w:pPr>
        <w:spacing w:line="276" w:lineRule="auto"/>
        <w:jc w:val="both"/>
      </w:pPr>
    </w:p>
    <w:p w14:paraId="7758CB13" w14:textId="77777777" w:rsidR="0053061F" w:rsidRDefault="0053061F" w:rsidP="0064057C">
      <w:pPr>
        <w:spacing w:line="276" w:lineRule="auto"/>
        <w:jc w:val="both"/>
      </w:pPr>
    </w:p>
    <w:p w14:paraId="002F261D" w14:textId="77777777" w:rsidR="0053061F" w:rsidRDefault="0053061F" w:rsidP="0064057C">
      <w:pPr>
        <w:spacing w:line="276" w:lineRule="auto"/>
        <w:jc w:val="both"/>
      </w:pPr>
    </w:p>
    <w:p w14:paraId="45A39C11" w14:textId="77777777" w:rsidR="0053061F" w:rsidRDefault="0053061F" w:rsidP="0064057C">
      <w:pPr>
        <w:spacing w:line="276" w:lineRule="auto"/>
        <w:jc w:val="both"/>
      </w:pPr>
    </w:p>
    <w:p w14:paraId="1314E485" w14:textId="77777777" w:rsidR="0053061F" w:rsidRDefault="0053061F" w:rsidP="0064057C">
      <w:pPr>
        <w:spacing w:line="276" w:lineRule="auto"/>
        <w:jc w:val="both"/>
      </w:pPr>
    </w:p>
    <w:p w14:paraId="50566D8C" w14:textId="77777777" w:rsidR="0053061F" w:rsidRDefault="0053061F" w:rsidP="0064057C">
      <w:pPr>
        <w:spacing w:line="276" w:lineRule="auto"/>
        <w:jc w:val="both"/>
      </w:pPr>
    </w:p>
    <w:p w14:paraId="347178D8" w14:textId="77777777" w:rsidR="0053061F" w:rsidRDefault="0053061F" w:rsidP="0064057C">
      <w:pPr>
        <w:spacing w:line="276" w:lineRule="auto"/>
        <w:jc w:val="both"/>
      </w:pPr>
    </w:p>
    <w:p w14:paraId="27EA81E3" w14:textId="77777777" w:rsidR="0053061F" w:rsidRDefault="0053061F" w:rsidP="0064057C">
      <w:pPr>
        <w:spacing w:line="276" w:lineRule="auto"/>
        <w:jc w:val="both"/>
      </w:pPr>
    </w:p>
    <w:p w14:paraId="24648271" w14:textId="77777777" w:rsidR="0053061F" w:rsidRDefault="0053061F" w:rsidP="0064057C">
      <w:pPr>
        <w:spacing w:line="276" w:lineRule="auto"/>
        <w:jc w:val="both"/>
      </w:pPr>
    </w:p>
    <w:p w14:paraId="256F582F" w14:textId="77777777" w:rsidR="0053061F" w:rsidRDefault="0053061F" w:rsidP="0064057C">
      <w:pPr>
        <w:spacing w:line="276" w:lineRule="auto"/>
        <w:jc w:val="both"/>
      </w:pPr>
    </w:p>
    <w:p w14:paraId="238B483C" w14:textId="77777777" w:rsidR="006032A0" w:rsidRDefault="006032A0" w:rsidP="0064057C">
      <w:pPr>
        <w:spacing w:line="276" w:lineRule="auto"/>
        <w:jc w:val="both"/>
      </w:pPr>
    </w:p>
    <w:p w14:paraId="22D2B54A" w14:textId="77777777" w:rsidR="006032A0" w:rsidRDefault="006032A0" w:rsidP="0064057C">
      <w:pPr>
        <w:spacing w:line="276" w:lineRule="auto"/>
        <w:jc w:val="both"/>
      </w:pPr>
    </w:p>
    <w:p w14:paraId="6D61935E" w14:textId="77777777" w:rsidR="006032A0" w:rsidRDefault="006032A0" w:rsidP="0064057C">
      <w:pPr>
        <w:spacing w:line="276" w:lineRule="auto"/>
        <w:jc w:val="both"/>
      </w:pPr>
    </w:p>
    <w:p w14:paraId="0DE91F05" w14:textId="77777777" w:rsidR="006032A0" w:rsidRDefault="006032A0" w:rsidP="0064057C">
      <w:pPr>
        <w:spacing w:line="276" w:lineRule="auto"/>
        <w:jc w:val="both"/>
      </w:pPr>
    </w:p>
    <w:p w14:paraId="221C576B" w14:textId="77777777" w:rsidR="0053061F" w:rsidRDefault="0053061F" w:rsidP="0064057C">
      <w:pPr>
        <w:spacing w:line="276" w:lineRule="auto"/>
        <w:jc w:val="both"/>
      </w:pPr>
    </w:p>
    <w:p w14:paraId="5AADAC4C" w14:textId="77777777" w:rsidR="0053061F" w:rsidRDefault="0053061F" w:rsidP="0064057C">
      <w:pPr>
        <w:spacing w:line="276" w:lineRule="auto"/>
        <w:jc w:val="both"/>
      </w:pPr>
    </w:p>
    <w:p w14:paraId="4D79FE1C" w14:textId="77777777" w:rsidR="0053061F" w:rsidRDefault="0053061F" w:rsidP="0064057C">
      <w:pPr>
        <w:spacing w:line="276" w:lineRule="auto"/>
        <w:jc w:val="both"/>
      </w:pPr>
    </w:p>
    <w:p w14:paraId="5E32BBD2" w14:textId="77777777" w:rsidR="0053061F" w:rsidRDefault="0053061F" w:rsidP="0064057C">
      <w:pPr>
        <w:spacing w:line="276" w:lineRule="auto"/>
        <w:jc w:val="both"/>
      </w:pPr>
    </w:p>
    <w:p w14:paraId="020C892F" w14:textId="77777777" w:rsidR="0053061F" w:rsidRDefault="0053061F" w:rsidP="0064057C">
      <w:pPr>
        <w:spacing w:line="276" w:lineRule="auto"/>
        <w:jc w:val="both"/>
      </w:pPr>
    </w:p>
    <w:p w14:paraId="72F1B03B" w14:textId="77777777" w:rsidR="0053061F" w:rsidRDefault="0053061F" w:rsidP="0064057C">
      <w:pPr>
        <w:spacing w:line="276" w:lineRule="auto"/>
        <w:jc w:val="both"/>
      </w:pPr>
    </w:p>
    <w:p w14:paraId="55FC1755" w14:textId="271AF2F7" w:rsidR="00371A06" w:rsidRPr="00607AB7" w:rsidRDefault="005A57E5" w:rsidP="00371A06">
      <w:pPr>
        <w:spacing w:line="276" w:lineRule="auto"/>
        <w:jc w:val="center"/>
        <w:rPr>
          <w:b/>
          <w:bCs/>
        </w:rPr>
      </w:pPr>
      <w:r w:rsidRPr="00607AB7">
        <w:lastRenderedPageBreak/>
        <w:t xml:space="preserve">Față de cele prezentate mai sus, a fost promovat prezentul proiect de </w:t>
      </w:r>
      <w:r w:rsidRPr="00607AB7">
        <w:rPr>
          <w:b/>
        </w:rPr>
        <w:t xml:space="preserve">Ordonanță </w:t>
      </w:r>
      <w:r w:rsidR="002E7B28" w:rsidRPr="00607AB7">
        <w:rPr>
          <w:b/>
        </w:rPr>
        <w:t xml:space="preserve">de urgență </w:t>
      </w:r>
      <w:r w:rsidR="00720DEB" w:rsidRPr="00607AB7">
        <w:rPr>
          <w:b/>
        </w:rPr>
        <w:t xml:space="preserve">a Guvernului </w:t>
      </w:r>
    </w:p>
    <w:p w14:paraId="4D31556C" w14:textId="4FFBCBC8" w:rsidR="005A57E5" w:rsidRDefault="00371A06" w:rsidP="00371A06">
      <w:pPr>
        <w:spacing w:line="276" w:lineRule="auto"/>
        <w:ind w:right="-13"/>
        <w:jc w:val="both"/>
      </w:pPr>
      <w:r w:rsidRPr="00C0312D">
        <w:rPr>
          <w:b/>
          <w:bCs/>
        </w:rPr>
        <w:t>pentru instituirea unor măsuri în domeniul gestionării investiții</w:t>
      </w:r>
      <w:r w:rsidR="00656716">
        <w:rPr>
          <w:b/>
          <w:bCs/>
        </w:rPr>
        <w:t>lor</w:t>
      </w:r>
      <w:r w:rsidRPr="00C0312D">
        <w:rPr>
          <w:b/>
          <w:bCs/>
        </w:rPr>
        <w:t xml:space="preserve"> </w:t>
      </w:r>
      <w:bookmarkStart w:id="3" w:name="_Hlk205446616"/>
      <w:r w:rsidR="00656716" w:rsidRPr="00656716">
        <w:rPr>
          <w:b/>
          <w:bCs/>
        </w:rPr>
        <w:t>finanțate din Planul</w:t>
      </w:r>
      <w:r w:rsidR="00656716">
        <w:rPr>
          <w:b/>
          <w:bCs/>
        </w:rPr>
        <w:t xml:space="preserve"> </w:t>
      </w:r>
      <w:r w:rsidR="00656716" w:rsidRPr="00656716">
        <w:rPr>
          <w:b/>
          <w:bCs/>
        </w:rPr>
        <w:t xml:space="preserve">naţional de redresare şi rezilienţă </w:t>
      </w:r>
      <w:r w:rsidRPr="00C0312D">
        <w:rPr>
          <w:b/>
          <w:bCs/>
        </w:rPr>
        <w:t xml:space="preserve">și </w:t>
      </w:r>
      <w:r w:rsidR="00656716" w:rsidRPr="00656716">
        <w:rPr>
          <w:b/>
          <w:bCs/>
        </w:rPr>
        <w:t xml:space="preserve">din fonduri </w:t>
      </w:r>
      <w:r w:rsidR="00707826">
        <w:rPr>
          <w:b/>
          <w:bCs/>
        </w:rPr>
        <w:t xml:space="preserve">publice </w:t>
      </w:r>
      <w:r w:rsidRPr="00C0312D">
        <w:rPr>
          <w:b/>
          <w:bCs/>
        </w:rPr>
        <w:t>naționale</w:t>
      </w:r>
      <w:bookmarkEnd w:id="3"/>
      <w:r w:rsidR="00720DEB" w:rsidRPr="00607AB7">
        <w:rPr>
          <w:b/>
        </w:rPr>
        <w:t xml:space="preserve">, </w:t>
      </w:r>
      <w:r w:rsidR="005A57E5" w:rsidRPr="00607AB7">
        <w:t>în forma prezentată, a fost avizată de ministerele interesate și pe care o supunem adoptării.</w:t>
      </w:r>
    </w:p>
    <w:p w14:paraId="3E226596" w14:textId="77777777" w:rsidR="006F6F1D" w:rsidRDefault="006F6F1D" w:rsidP="00371A06">
      <w:pPr>
        <w:spacing w:line="276" w:lineRule="auto"/>
        <w:ind w:right="-13"/>
        <w:jc w:val="both"/>
      </w:pPr>
    </w:p>
    <w:p w14:paraId="217B6B65" w14:textId="77777777" w:rsidR="006F6F1D" w:rsidRDefault="006F6F1D" w:rsidP="00371A06">
      <w:pPr>
        <w:spacing w:line="276" w:lineRule="auto"/>
        <w:ind w:right="-13"/>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146"/>
      </w:tblGrid>
      <w:tr w:rsidR="006F6F1D" w14:paraId="3D3A9CF3" w14:textId="77777777" w:rsidTr="00645222">
        <w:tc>
          <w:tcPr>
            <w:tcW w:w="5382" w:type="dxa"/>
          </w:tcPr>
          <w:p w14:paraId="4692D541" w14:textId="77777777" w:rsidR="006F6F1D" w:rsidRDefault="006F6F1D" w:rsidP="006F6F1D">
            <w:pPr>
              <w:spacing w:line="276" w:lineRule="auto"/>
              <w:ind w:right="-13"/>
              <w:jc w:val="center"/>
              <w:rPr>
                <w:b/>
                <w:bCs/>
              </w:rPr>
            </w:pPr>
            <w:r w:rsidRPr="006F6F1D">
              <w:rPr>
                <w:b/>
                <w:bCs/>
              </w:rPr>
              <w:t>MINISTRUL INVESTIȚIILOR ȘI PROIECTELOR EUROPENE</w:t>
            </w:r>
          </w:p>
          <w:p w14:paraId="6FA4A757" w14:textId="77777777" w:rsidR="006F6F1D" w:rsidRPr="006F6F1D" w:rsidRDefault="006F6F1D" w:rsidP="00AC4CE6">
            <w:pPr>
              <w:spacing w:line="276" w:lineRule="auto"/>
              <w:ind w:right="-13"/>
              <w:rPr>
                <w:b/>
                <w:bCs/>
              </w:rPr>
            </w:pPr>
          </w:p>
          <w:p w14:paraId="2BE0CCA9" w14:textId="4520E11C" w:rsidR="006F6F1D" w:rsidRDefault="006F6F1D" w:rsidP="006F6F1D">
            <w:pPr>
              <w:spacing w:line="276" w:lineRule="auto"/>
              <w:ind w:right="-13"/>
              <w:jc w:val="center"/>
              <w:rPr>
                <w:b/>
                <w:bCs/>
              </w:rPr>
            </w:pPr>
            <w:r w:rsidRPr="006F6F1D">
              <w:rPr>
                <w:b/>
                <w:bCs/>
              </w:rPr>
              <w:t>DRAGOȘ</w:t>
            </w:r>
            <w:r>
              <w:rPr>
                <w:b/>
                <w:bCs/>
              </w:rPr>
              <w:t xml:space="preserve"> </w:t>
            </w:r>
            <w:r w:rsidRPr="006F6F1D">
              <w:rPr>
                <w:b/>
                <w:bCs/>
              </w:rPr>
              <w:t>-</w:t>
            </w:r>
            <w:r>
              <w:rPr>
                <w:b/>
                <w:bCs/>
              </w:rPr>
              <w:t xml:space="preserve"> </w:t>
            </w:r>
            <w:r w:rsidRPr="006F6F1D">
              <w:rPr>
                <w:b/>
                <w:bCs/>
              </w:rPr>
              <w:t>NICOLAE PÎSLARU</w:t>
            </w:r>
          </w:p>
        </w:tc>
        <w:tc>
          <w:tcPr>
            <w:tcW w:w="5146" w:type="dxa"/>
          </w:tcPr>
          <w:p w14:paraId="11E4A25B" w14:textId="77777777" w:rsidR="00645222" w:rsidRPr="00707826" w:rsidRDefault="00645222" w:rsidP="00645222">
            <w:pPr>
              <w:spacing w:line="276" w:lineRule="auto"/>
              <w:ind w:right="-13"/>
              <w:jc w:val="center"/>
              <w:rPr>
                <w:b/>
                <w:bCs/>
              </w:rPr>
            </w:pPr>
            <w:r w:rsidRPr="00707826">
              <w:rPr>
                <w:b/>
                <w:bCs/>
              </w:rPr>
              <w:t>MINISTRUL FINANȚELOR</w:t>
            </w:r>
          </w:p>
          <w:p w14:paraId="0B352CCB" w14:textId="77777777" w:rsidR="00645222" w:rsidRDefault="00645222" w:rsidP="00645222">
            <w:pPr>
              <w:spacing w:line="276" w:lineRule="auto"/>
              <w:ind w:right="-13"/>
              <w:jc w:val="center"/>
              <w:rPr>
                <w:b/>
                <w:bCs/>
              </w:rPr>
            </w:pPr>
          </w:p>
          <w:p w14:paraId="39D3F48A" w14:textId="77777777" w:rsidR="001B545E" w:rsidRDefault="001B545E" w:rsidP="00645222">
            <w:pPr>
              <w:spacing w:line="276" w:lineRule="auto"/>
              <w:ind w:right="-13"/>
              <w:jc w:val="center"/>
              <w:rPr>
                <w:b/>
                <w:bCs/>
              </w:rPr>
            </w:pPr>
          </w:p>
          <w:p w14:paraId="6A1831C7" w14:textId="12040FE9" w:rsidR="006F6F1D" w:rsidRDefault="00645222" w:rsidP="00645222">
            <w:pPr>
              <w:spacing w:line="276" w:lineRule="auto"/>
              <w:ind w:right="-13"/>
              <w:jc w:val="center"/>
              <w:rPr>
                <w:b/>
                <w:bCs/>
              </w:rPr>
            </w:pPr>
            <w:r w:rsidRPr="00707826">
              <w:rPr>
                <w:b/>
                <w:bCs/>
              </w:rPr>
              <w:t>ALEXANDRU NAZARE</w:t>
            </w:r>
          </w:p>
        </w:tc>
      </w:tr>
      <w:tr w:rsidR="00707826" w14:paraId="4E77EA30" w14:textId="77777777" w:rsidTr="00645222">
        <w:tc>
          <w:tcPr>
            <w:tcW w:w="10528" w:type="dxa"/>
            <w:gridSpan w:val="2"/>
          </w:tcPr>
          <w:p w14:paraId="3C7BA49D" w14:textId="77777777" w:rsidR="00707826" w:rsidRDefault="00707826" w:rsidP="00707826">
            <w:pPr>
              <w:spacing w:line="276" w:lineRule="auto"/>
              <w:ind w:right="-13"/>
              <w:jc w:val="center"/>
              <w:rPr>
                <w:b/>
                <w:bCs/>
              </w:rPr>
            </w:pPr>
          </w:p>
          <w:p w14:paraId="0724379C" w14:textId="77777777" w:rsidR="00707826" w:rsidRDefault="00707826" w:rsidP="00707826">
            <w:pPr>
              <w:spacing w:line="276" w:lineRule="auto"/>
              <w:ind w:right="-13"/>
              <w:jc w:val="center"/>
              <w:rPr>
                <w:b/>
                <w:bCs/>
              </w:rPr>
            </w:pPr>
          </w:p>
          <w:p w14:paraId="06037A4F" w14:textId="53698373" w:rsidR="00707826" w:rsidRDefault="00707826" w:rsidP="009E3F78">
            <w:pPr>
              <w:spacing w:line="276" w:lineRule="auto"/>
              <w:ind w:right="-13"/>
              <w:jc w:val="center"/>
              <w:rPr>
                <w:b/>
                <w:bCs/>
              </w:rPr>
            </w:pPr>
          </w:p>
        </w:tc>
      </w:tr>
      <w:tr w:rsidR="006F6F1D" w14:paraId="0F79F9E2" w14:textId="77777777" w:rsidTr="00645222">
        <w:tc>
          <w:tcPr>
            <w:tcW w:w="5382" w:type="dxa"/>
          </w:tcPr>
          <w:p w14:paraId="6B01B7C3" w14:textId="77777777" w:rsidR="006F6F1D" w:rsidRDefault="006F6F1D" w:rsidP="00371A06">
            <w:pPr>
              <w:spacing w:line="276" w:lineRule="auto"/>
              <w:ind w:right="-13"/>
              <w:jc w:val="both"/>
              <w:rPr>
                <w:b/>
                <w:bCs/>
              </w:rPr>
            </w:pPr>
          </w:p>
        </w:tc>
        <w:tc>
          <w:tcPr>
            <w:tcW w:w="5146" w:type="dxa"/>
          </w:tcPr>
          <w:p w14:paraId="3BF3B52B" w14:textId="77777777" w:rsidR="006F6F1D" w:rsidRDefault="006F6F1D" w:rsidP="00371A06">
            <w:pPr>
              <w:spacing w:line="276" w:lineRule="auto"/>
              <w:ind w:right="-13"/>
              <w:jc w:val="both"/>
              <w:rPr>
                <w:b/>
                <w:bCs/>
              </w:rPr>
            </w:pPr>
          </w:p>
        </w:tc>
      </w:tr>
    </w:tbl>
    <w:p w14:paraId="7E5B3D96" w14:textId="77777777" w:rsidR="006F6F1D" w:rsidRDefault="006F6F1D" w:rsidP="00371A06">
      <w:pPr>
        <w:spacing w:line="276" w:lineRule="auto"/>
        <w:ind w:right="-13"/>
        <w:jc w:val="both"/>
        <w:rPr>
          <w:b/>
          <w:bCs/>
        </w:rPr>
      </w:pPr>
    </w:p>
    <w:p w14:paraId="383F35E6" w14:textId="77777777" w:rsidR="006F6F1D" w:rsidRDefault="006F6F1D" w:rsidP="00371A06">
      <w:pPr>
        <w:spacing w:line="276" w:lineRule="auto"/>
        <w:ind w:right="-13"/>
        <w:jc w:val="both"/>
        <w:rPr>
          <w:b/>
          <w:bCs/>
        </w:rPr>
      </w:pPr>
    </w:p>
    <w:p w14:paraId="4AA801F3" w14:textId="77777777" w:rsidR="006F6F1D" w:rsidRPr="00C0312D" w:rsidRDefault="006F6F1D" w:rsidP="00371A06">
      <w:pPr>
        <w:spacing w:line="276" w:lineRule="auto"/>
        <w:ind w:right="-13"/>
        <w:jc w:val="both"/>
        <w:rPr>
          <w:b/>
          <w:bCs/>
        </w:rPr>
      </w:pPr>
    </w:p>
    <w:tbl>
      <w:tblPr>
        <w:tblStyle w:val="TableGrid"/>
        <w:tblW w:w="106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245"/>
      </w:tblGrid>
      <w:tr w:rsidR="006F6F1D" w14:paraId="31CB86D0" w14:textId="77777777" w:rsidTr="00A11B81">
        <w:tc>
          <w:tcPr>
            <w:tcW w:w="10632" w:type="dxa"/>
            <w:gridSpan w:val="2"/>
          </w:tcPr>
          <w:p w14:paraId="682A1744" w14:textId="2BDAA7AD" w:rsidR="006F6F1D" w:rsidRPr="006F6F1D" w:rsidRDefault="006F6F1D" w:rsidP="006F6F1D">
            <w:pPr>
              <w:spacing w:line="276" w:lineRule="auto"/>
              <w:ind w:right="-450"/>
              <w:jc w:val="center"/>
              <w:rPr>
                <w:b/>
                <w:bCs/>
                <w:u w:val="single"/>
              </w:rPr>
            </w:pPr>
            <w:r w:rsidRPr="006F6F1D">
              <w:rPr>
                <w:b/>
                <w:bCs/>
                <w:u w:val="single"/>
              </w:rPr>
              <w:t>AVIZĂM</w:t>
            </w:r>
            <w:r>
              <w:rPr>
                <w:b/>
                <w:bCs/>
                <w:u w:val="single"/>
              </w:rPr>
              <w:t>:</w:t>
            </w:r>
          </w:p>
        </w:tc>
      </w:tr>
      <w:tr w:rsidR="00645222" w14:paraId="48652766" w14:textId="77777777" w:rsidTr="00A11B81">
        <w:trPr>
          <w:trHeight w:val="972"/>
        </w:trPr>
        <w:tc>
          <w:tcPr>
            <w:tcW w:w="10632" w:type="dxa"/>
            <w:gridSpan w:val="2"/>
          </w:tcPr>
          <w:p w14:paraId="35D8EE47" w14:textId="77777777" w:rsidR="00F00520" w:rsidRDefault="00F00520" w:rsidP="00645222">
            <w:pPr>
              <w:spacing w:line="276" w:lineRule="auto"/>
              <w:ind w:right="-13"/>
              <w:jc w:val="center"/>
              <w:rPr>
                <w:b/>
                <w:bCs/>
              </w:rPr>
            </w:pPr>
          </w:p>
          <w:p w14:paraId="6DF71A08" w14:textId="77777777" w:rsidR="00F00520" w:rsidRDefault="00F00520" w:rsidP="00645222">
            <w:pPr>
              <w:spacing w:line="276" w:lineRule="auto"/>
              <w:ind w:right="-13"/>
              <w:jc w:val="center"/>
              <w:rPr>
                <w:b/>
                <w:bCs/>
              </w:rPr>
            </w:pPr>
          </w:p>
          <w:p w14:paraId="360F5433" w14:textId="77777777" w:rsidR="00F00520" w:rsidRDefault="00F00520" w:rsidP="00645222">
            <w:pPr>
              <w:spacing w:line="276" w:lineRule="auto"/>
              <w:ind w:right="-13"/>
              <w:jc w:val="center"/>
              <w:rPr>
                <w:b/>
                <w:bCs/>
              </w:rPr>
            </w:pPr>
          </w:p>
          <w:p w14:paraId="59FE61F8" w14:textId="3BAEA57C" w:rsidR="00645222" w:rsidRPr="006F6F1D" w:rsidRDefault="00645222" w:rsidP="00645222">
            <w:pPr>
              <w:spacing w:line="276" w:lineRule="auto"/>
              <w:ind w:right="-13"/>
              <w:jc w:val="center"/>
              <w:rPr>
                <w:b/>
                <w:bCs/>
              </w:rPr>
            </w:pPr>
            <w:r w:rsidRPr="006F6F1D">
              <w:rPr>
                <w:b/>
                <w:bCs/>
              </w:rPr>
              <w:t>MINISTRUL DEZVOLTĂRII, LUCRĂRILOR PUBLICE ȘI ADMINISTRAȚIEI</w:t>
            </w:r>
          </w:p>
          <w:p w14:paraId="0F0152FE" w14:textId="77777777" w:rsidR="00645222" w:rsidRDefault="00645222" w:rsidP="00645222">
            <w:pPr>
              <w:spacing w:line="276" w:lineRule="auto"/>
              <w:ind w:right="-13"/>
              <w:jc w:val="center"/>
              <w:rPr>
                <w:b/>
                <w:bCs/>
              </w:rPr>
            </w:pPr>
          </w:p>
          <w:p w14:paraId="36111526" w14:textId="40D9A354" w:rsidR="00645222" w:rsidRDefault="00645222" w:rsidP="00645222">
            <w:pPr>
              <w:spacing w:line="276" w:lineRule="auto"/>
              <w:ind w:right="-450"/>
              <w:jc w:val="center"/>
            </w:pPr>
            <w:r w:rsidRPr="006F6F1D">
              <w:rPr>
                <w:b/>
                <w:bCs/>
              </w:rPr>
              <w:t>CSEKE ATTILA - ZOLTÁN</w:t>
            </w:r>
          </w:p>
        </w:tc>
      </w:tr>
      <w:tr w:rsidR="006F6F1D" w14:paraId="4174A21F" w14:textId="77777777" w:rsidTr="00A11B81">
        <w:tc>
          <w:tcPr>
            <w:tcW w:w="5387" w:type="dxa"/>
          </w:tcPr>
          <w:p w14:paraId="5697EFC5" w14:textId="684C23E6" w:rsidR="006F6F1D" w:rsidRDefault="006F6F1D" w:rsidP="006F6F1D">
            <w:pPr>
              <w:spacing w:line="276" w:lineRule="auto"/>
              <w:ind w:right="-450"/>
              <w:jc w:val="center"/>
            </w:pPr>
          </w:p>
        </w:tc>
        <w:tc>
          <w:tcPr>
            <w:tcW w:w="5245" w:type="dxa"/>
          </w:tcPr>
          <w:p w14:paraId="1DD64DD5" w14:textId="2B042B50" w:rsidR="006F6F1D" w:rsidRPr="006F6F1D" w:rsidRDefault="006F6F1D" w:rsidP="00645222">
            <w:pPr>
              <w:spacing w:line="276" w:lineRule="auto"/>
              <w:ind w:right="-450"/>
              <w:jc w:val="center"/>
              <w:rPr>
                <w:b/>
              </w:rPr>
            </w:pPr>
          </w:p>
        </w:tc>
      </w:tr>
      <w:tr w:rsidR="006F6F1D" w14:paraId="4E82ED8E" w14:textId="77777777" w:rsidTr="00A11B81">
        <w:tc>
          <w:tcPr>
            <w:tcW w:w="5387" w:type="dxa"/>
          </w:tcPr>
          <w:p w14:paraId="59547840" w14:textId="77777777" w:rsidR="006F6F1D" w:rsidRPr="006F6F1D" w:rsidRDefault="006F6F1D" w:rsidP="006F6F1D">
            <w:pPr>
              <w:spacing w:line="276" w:lineRule="auto"/>
              <w:ind w:right="-450"/>
              <w:jc w:val="center"/>
              <w:rPr>
                <w:b/>
                <w:bCs/>
                <w:lang w:val="en-US"/>
              </w:rPr>
            </w:pPr>
          </w:p>
        </w:tc>
        <w:tc>
          <w:tcPr>
            <w:tcW w:w="5245" w:type="dxa"/>
          </w:tcPr>
          <w:p w14:paraId="18960678" w14:textId="77777777" w:rsidR="006F6F1D" w:rsidRPr="006F6F1D" w:rsidRDefault="006F6F1D" w:rsidP="00645222">
            <w:pPr>
              <w:spacing w:line="276" w:lineRule="auto"/>
              <w:ind w:right="-450"/>
              <w:jc w:val="center"/>
              <w:rPr>
                <w:b/>
              </w:rPr>
            </w:pPr>
          </w:p>
        </w:tc>
      </w:tr>
      <w:tr w:rsidR="00A11B81" w14:paraId="21AD68D2" w14:textId="77777777" w:rsidTr="00A11B81">
        <w:tc>
          <w:tcPr>
            <w:tcW w:w="10632" w:type="dxa"/>
            <w:gridSpan w:val="2"/>
          </w:tcPr>
          <w:p w14:paraId="7E189FDB" w14:textId="56B8E8AA" w:rsidR="00A11B81" w:rsidRPr="00A11B81" w:rsidRDefault="00A11B81" w:rsidP="00A11B81">
            <w:pPr>
              <w:spacing w:line="276" w:lineRule="auto"/>
              <w:ind w:right="-450"/>
              <w:jc w:val="center"/>
              <w:rPr>
                <w:b/>
                <w:bCs/>
              </w:rPr>
            </w:pPr>
            <w:r w:rsidRPr="00A11B81">
              <w:rPr>
                <w:b/>
                <w:bCs/>
              </w:rPr>
              <w:t xml:space="preserve">MINISTRUL </w:t>
            </w:r>
            <w:bookmarkStart w:id="4" w:name="_Hlk90883394"/>
            <w:r w:rsidRPr="00A11B81">
              <w:rPr>
                <w:b/>
                <w:bCs/>
              </w:rPr>
              <w:t>MEDIULUI, APELOR ȘI PĂDURILOR</w:t>
            </w:r>
            <w:bookmarkEnd w:id="4"/>
          </w:p>
          <w:p w14:paraId="2FF6948B" w14:textId="36724F88" w:rsidR="00A11B81" w:rsidRPr="006F6F1D" w:rsidRDefault="00A11B81" w:rsidP="006F6F1D">
            <w:pPr>
              <w:spacing w:line="276" w:lineRule="auto"/>
              <w:ind w:right="-450"/>
              <w:jc w:val="center"/>
              <w:rPr>
                <w:b/>
              </w:rPr>
            </w:pPr>
            <w:r w:rsidRPr="00A11B81">
              <w:rPr>
                <w:b/>
                <w:bCs/>
              </w:rPr>
              <w:t>DIANA - ANDA BUZOIANU</w:t>
            </w:r>
          </w:p>
        </w:tc>
      </w:tr>
      <w:tr w:rsidR="00A11B81" w14:paraId="492237D1" w14:textId="77777777" w:rsidTr="00A11B81">
        <w:tc>
          <w:tcPr>
            <w:tcW w:w="10632" w:type="dxa"/>
            <w:gridSpan w:val="2"/>
          </w:tcPr>
          <w:p w14:paraId="7817EE69" w14:textId="77777777" w:rsidR="00A11B81" w:rsidRPr="00A11B81" w:rsidRDefault="00A11B81" w:rsidP="00A11B81">
            <w:pPr>
              <w:spacing w:line="276" w:lineRule="auto"/>
              <w:ind w:right="-450"/>
              <w:jc w:val="center"/>
              <w:rPr>
                <w:b/>
                <w:bCs/>
              </w:rPr>
            </w:pPr>
          </w:p>
        </w:tc>
      </w:tr>
      <w:tr w:rsidR="006F6F1D" w14:paraId="05B35719" w14:textId="77777777" w:rsidTr="00A11B81">
        <w:tc>
          <w:tcPr>
            <w:tcW w:w="5387" w:type="dxa"/>
          </w:tcPr>
          <w:p w14:paraId="29E80086" w14:textId="77777777" w:rsidR="006F6F1D" w:rsidRPr="00607B7D" w:rsidRDefault="006F6F1D" w:rsidP="006F6F1D">
            <w:pPr>
              <w:spacing w:line="276" w:lineRule="auto"/>
              <w:ind w:right="-450"/>
              <w:jc w:val="center"/>
              <w:rPr>
                <w:b/>
                <w:bCs/>
                <w:lang w:val="it-IT"/>
              </w:rPr>
            </w:pPr>
          </w:p>
        </w:tc>
        <w:tc>
          <w:tcPr>
            <w:tcW w:w="5245" w:type="dxa"/>
          </w:tcPr>
          <w:p w14:paraId="4468DB56" w14:textId="77777777" w:rsidR="006F6F1D" w:rsidRPr="006F6F1D" w:rsidRDefault="006F6F1D" w:rsidP="006F6F1D">
            <w:pPr>
              <w:spacing w:line="276" w:lineRule="auto"/>
              <w:ind w:right="-450"/>
              <w:jc w:val="center"/>
              <w:rPr>
                <w:b/>
              </w:rPr>
            </w:pPr>
          </w:p>
        </w:tc>
      </w:tr>
      <w:tr w:rsidR="006F6F1D" w14:paraId="257B7D14" w14:textId="77777777" w:rsidTr="00A11B81">
        <w:tc>
          <w:tcPr>
            <w:tcW w:w="10632" w:type="dxa"/>
            <w:gridSpan w:val="2"/>
          </w:tcPr>
          <w:p w14:paraId="122736F4" w14:textId="77777777" w:rsidR="006F6F1D" w:rsidRDefault="006F6F1D" w:rsidP="006F6F1D">
            <w:pPr>
              <w:spacing w:line="276" w:lineRule="auto"/>
              <w:ind w:right="-450"/>
              <w:jc w:val="center"/>
              <w:rPr>
                <w:b/>
              </w:rPr>
            </w:pPr>
            <w:r w:rsidRPr="006F6F1D">
              <w:rPr>
                <w:b/>
              </w:rPr>
              <w:t>MINISTRUL JUSTIŢIEI</w:t>
            </w:r>
          </w:p>
          <w:p w14:paraId="5D229768" w14:textId="77777777" w:rsidR="006F6F1D" w:rsidRPr="006F6F1D" w:rsidRDefault="006F6F1D" w:rsidP="006F6F1D">
            <w:pPr>
              <w:spacing w:line="276" w:lineRule="auto"/>
              <w:ind w:right="-450"/>
              <w:jc w:val="center"/>
              <w:rPr>
                <w:b/>
              </w:rPr>
            </w:pPr>
          </w:p>
          <w:p w14:paraId="03927ABE" w14:textId="0573EA23" w:rsidR="006F6F1D" w:rsidRPr="006F6F1D" w:rsidRDefault="006F6F1D" w:rsidP="006F6F1D">
            <w:pPr>
              <w:spacing w:line="276" w:lineRule="auto"/>
              <w:ind w:right="-450"/>
              <w:jc w:val="center"/>
              <w:rPr>
                <w:b/>
              </w:rPr>
            </w:pPr>
            <w:r w:rsidRPr="006F6F1D">
              <w:rPr>
                <w:b/>
              </w:rPr>
              <w:t>RADU MARINESCU</w:t>
            </w:r>
          </w:p>
        </w:tc>
      </w:tr>
    </w:tbl>
    <w:p w14:paraId="78A6DC82" w14:textId="77777777" w:rsidR="005A57E5" w:rsidRDefault="005A57E5" w:rsidP="0064057C">
      <w:pPr>
        <w:spacing w:line="276" w:lineRule="auto"/>
        <w:ind w:left="-709" w:right="-450"/>
        <w:jc w:val="both"/>
      </w:pPr>
    </w:p>
    <w:p w14:paraId="5FD0A41F" w14:textId="77777777" w:rsidR="006F6F1D" w:rsidRDefault="006F6F1D" w:rsidP="0064057C">
      <w:pPr>
        <w:spacing w:line="276" w:lineRule="auto"/>
        <w:ind w:left="-709" w:right="-450"/>
        <w:jc w:val="both"/>
      </w:pPr>
    </w:p>
    <w:p w14:paraId="6BBD3F51" w14:textId="77777777" w:rsidR="00E33363" w:rsidRPr="00085C82" w:rsidRDefault="00E33363" w:rsidP="00E33363">
      <w:pPr>
        <w:spacing w:line="276" w:lineRule="auto"/>
        <w:rPr>
          <w:rFonts w:eastAsia="MS Mincho"/>
          <w:sz w:val="28"/>
          <w:szCs w:val="28"/>
          <w:lang w:eastAsia="ro-RO"/>
        </w:rPr>
      </w:pPr>
    </w:p>
    <w:sectPr w:rsidR="00E33363" w:rsidRPr="00085C82" w:rsidSect="009B203A">
      <w:footerReference w:type="even" r:id="rId11"/>
      <w:footerReference w:type="default" r:id="rId12"/>
      <w:pgSz w:w="12240" w:h="15840"/>
      <w:pgMar w:top="810"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B3FB" w14:textId="77777777" w:rsidR="00FA0836" w:rsidRDefault="00FA0836">
      <w:r>
        <w:separator/>
      </w:r>
    </w:p>
  </w:endnote>
  <w:endnote w:type="continuationSeparator" w:id="0">
    <w:p w14:paraId="547D42C4" w14:textId="77777777" w:rsidR="00FA0836" w:rsidRDefault="00FA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8418" w14:textId="77777777" w:rsidR="00D47985" w:rsidRDefault="00D47985" w:rsidP="009C70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733C72" w14:textId="77777777" w:rsidR="00D47985" w:rsidRDefault="00D47985" w:rsidP="009C70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6679" w14:textId="4B30FEDB" w:rsidR="00D47985" w:rsidRDefault="00D47985">
    <w:pPr>
      <w:pStyle w:val="Footer"/>
      <w:jc w:val="center"/>
    </w:pPr>
  </w:p>
  <w:p w14:paraId="0C442F9A" w14:textId="77777777" w:rsidR="00D47985" w:rsidRDefault="00D47985" w:rsidP="009C70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1121" w14:textId="77777777" w:rsidR="00FA0836" w:rsidRDefault="00FA0836">
      <w:r>
        <w:separator/>
      </w:r>
    </w:p>
  </w:footnote>
  <w:footnote w:type="continuationSeparator" w:id="0">
    <w:p w14:paraId="093306CD" w14:textId="77777777" w:rsidR="00FA0836" w:rsidRDefault="00FA0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116"/>
    <w:multiLevelType w:val="hybridMultilevel"/>
    <w:tmpl w:val="3636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51EBB"/>
    <w:multiLevelType w:val="multilevel"/>
    <w:tmpl w:val="3FA4E5E2"/>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2" w15:restartNumberingAfterBreak="0">
    <w:nsid w:val="0BCB28DB"/>
    <w:multiLevelType w:val="hybridMultilevel"/>
    <w:tmpl w:val="21EE0FBE"/>
    <w:lvl w:ilvl="0" w:tplc="08090001">
      <w:start w:val="1"/>
      <w:numFmt w:val="bullet"/>
      <w:lvlText w:val=""/>
      <w:lvlJc w:val="left"/>
      <w:pPr>
        <w:ind w:left="1511" w:hanging="360"/>
      </w:pPr>
      <w:rPr>
        <w:rFonts w:ascii="Symbol" w:hAnsi="Symbol" w:hint="default"/>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2951" w:hanging="360"/>
      </w:pPr>
      <w:rPr>
        <w:rFonts w:ascii="Wingdings" w:hAnsi="Wingdings" w:hint="default"/>
      </w:rPr>
    </w:lvl>
    <w:lvl w:ilvl="3" w:tplc="08090001" w:tentative="1">
      <w:start w:val="1"/>
      <w:numFmt w:val="bullet"/>
      <w:lvlText w:val=""/>
      <w:lvlJc w:val="left"/>
      <w:pPr>
        <w:ind w:left="3671" w:hanging="360"/>
      </w:pPr>
      <w:rPr>
        <w:rFonts w:ascii="Symbol" w:hAnsi="Symbol" w:hint="default"/>
      </w:rPr>
    </w:lvl>
    <w:lvl w:ilvl="4" w:tplc="08090003" w:tentative="1">
      <w:start w:val="1"/>
      <w:numFmt w:val="bullet"/>
      <w:lvlText w:val="o"/>
      <w:lvlJc w:val="left"/>
      <w:pPr>
        <w:ind w:left="4391" w:hanging="360"/>
      </w:pPr>
      <w:rPr>
        <w:rFonts w:ascii="Courier New" w:hAnsi="Courier New" w:cs="Courier New" w:hint="default"/>
      </w:rPr>
    </w:lvl>
    <w:lvl w:ilvl="5" w:tplc="08090005" w:tentative="1">
      <w:start w:val="1"/>
      <w:numFmt w:val="bullet"/>
      <w:lvlText w:val=""/>
      <w:lvlJc w:val="left"/>
      <w:pPr>
        <w:ind w:left="5111" w:hanging="360"/>
      </w:pPr>
      <w:rPr>
        <w:rFonts w:ascii="Wingdings" w:hAnsi="Wingdings" w:hint="default"/>
      </w:rPr>
    </w:lvl>
    <w:lvl w:ilvl="6" w:tplc="08090001" w:tentative="1">
      <w:start w:val="1"/>
      <w:numFmt w:val="bullet"/>
      <w:lvlText w:val=""/>
      <w:lvlJc w:val="left"/>
      <w:pPr>
        <w:ind w:left="5831" w:hanging="360"/>
      </w:pPr>
      <w:rPr>
        <w:rFonts w:ascii="Symbol" w:hAnsi="Symbol" w:hint="default"/>
      </w:rPr>
    </w:lvl>
    <w:lvl w:ilvl="7" w:tplc="08090003" w:tentative="1">
      <w:start w:val="1"/>
      <w:numFmt w:val="bullet"/>
      <w:lvlText w:val="o"/>
      <w:lvlJc w:val="left"/>
      <w:pPr>
        <w:ind w:left="6551" w:hanging="360"/>
      </w:pPr>
      <w:rPr>
        <w:rFonts w:ascii="Courier New" w:hAnsi="Courier New" w:cs="Courier New" w:hint="default"/>
      </w:rPr>
    </w:lvl>
    <w:lvl w:ilvl="8" w:tplc="08090005" w:tentative="1">
      <w:start w:val="1"/>
      <w:numFmt w:val="bullet"/>
      <w:lvlText w:val=""/>
      <w:lvlJc w:val="left"/>
      <w:pPr>
        <w:ind w:left="7271" w:hanging="360"/>
      </w:pPr>
      <w:rPr>
        <w:rFonts w:ascii="Wingdings" w:hAnsi="Wingdings" w:hint="default"/>
      </w:rPr>
    </w:lvl>
  </w:abstractNum>
  <w:abstractNum w:abstractNumId="3" w15:restartNumberingAfterBreak="0">
    <w:nsid w:val="0BD465A5"/>
    <w:multiLevelType w:val="hybridMultilevel"/>
    <w:tmpl w:val="55CA82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35EF9"/>
    <w:multiLevelType w:val="hybridMultilevel"/>
    <w:tmpl w:val="9460C55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975716"/>
    <w:multiLevelType w:val="hybridMultilevel"/>
    <w:tmpl w:val="D8A24D44"/>
    <w:lvl w:ilvl="0" w:tplc="00B684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A3863"/>
    <w:multiLevelType w:val="hybridMultilevel"/>
    <w:tmpl w:val="8F3EDD4E"/>
    <w:lvl w:ilvl="0" w:tplc="FF4228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60DCF"/>
    <w:multiLevelType w:val="hybridMultilevel"/>
    <w:tmpl w:val="F9CA7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17EAF"/>
    <w:multiLevelType w:val="hybridMultilevel"/>
    <w:tmpl w:val="87FE9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397D56"/>
    <w:multiLevelType w:val="hybridMultilevel"/>
    <w:tmpl w:val="2A0EE6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5F388B"/>
    <w:multiLevelType w:val="hybridMultilevel"/>
    <w:tmpl w:val="BE92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81ED6"/>
    <w:multiLevelType w:val="hybridMultilevel"/>
    <w:tmpl w:val="88606B3A"/>
    <w:lvl w:ilvl="0" w:tplc="0409000D">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BC5249"/>
    <w:multiLevelType w:val="multilevel"/>
    <w:tmpl w:val="8A763F72"/>
    <w:lvl w:ilvl="0">
      <w:start w:val="1"/>
      <w:numFmt w:val="lowerLetter"/>
      <w:lvlText w:val="%1)"/>
      <w:lvlJc w:val="left"/>
      <w:pPr>
        <w:ind w:left="720" w:hanging="360"/>
      </w:pPr>
      <w:rPr>
        <w:rFonts w:ascii="Trebuchet MS" w:eastAsia="Trebuchet MS" w:hAnsi="Trebuchet MS" w:cs="Trebuchet M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C52885"/>
    <w:multiLevelType w:val="hybridMultilevel"/>
    <w:tmpl w:val="228A6CCC"/>
    <w:lvl w:ilvl="0" w:tplc="788AA9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356C44"/>
    <w:multiLevelType w:val="hybridMultilevel"/>
    <w:tmpl w:val="FA60FFD8"/>
    <w:lvl w:ilvl="0" w:tplc="532402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0587E82"/>
    <w:multiLevelType w:val="hybridMultilevel"/>
    <w:tmpl w:val="26E47336"/>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6" w15:restartNumberingAfterBreak="0">
    <w:nsid w:val="223D2C41"/>
    <w:multiLevelType w:val="hybridMultilevel"/>
    <w:tmpl w:val="E1B4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A3487A"/>
    <w:multiLevelType w:val="hybridMultilevel"/>
    <w:tmpl w:val="76A40B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C5E3BB0"/>
    <w:multiLevelType w:val="hybridMultilevel"/>
    <w:tmpl w:val="81C2583E"/>
    <w:lvl w:ilvl="0" w:tplc="0D6C67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217477C"/>
    <w:multiLevelType w:val="hybridMultilevel"/>
    <w:tmpl w:val="F224E50E"/>
    <w:lvl w:ilvl="0" w:tplc="5C28EC8A">
      <w:start w:val="1"/>
      <w:numFmt w:val="upp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352AF1"/>
    <w:multiLevelType w:val="multilevel"/>
    <w:tmpl w:val="48A6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721A3"/>
    <w:multiLevelType w:val="hybridMultilevel"/>
    <w:tmpl w:val="37F060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4E744A6"/>
    <w:multiLevelType w:val="hybridMultilevel"/>
    <w:tmpl w:val="BB1E16F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6D1365F"/>
    <w:multiLevelType w:val="hybridMultilevel"/>
    <w:tmpl w:val="576421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84852AF"/>
    <w:multiLevelType w:val="hybridMultilevel"/>
    <w:tmpl w:val="9A147442"/>
    <w:lvl w:ilvl="0" w:tplc="9EC6893C">
      <w:numFmt w:val="bullet"/>
      <w:lvlText w:val="-"/>
      <w:lvlJc w:val="left"/>
      <w:pPr>
        <w:ind w:left="720" w:hanging="360"/>
      </w:pPr>
      <w:rPr>
        <w:rFonts w:ascii="Trebuchet MS" w:eastAsia="Calibr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9CD25D2"/>
    <w:multiLevelType w:val="hybridMultilevel"/>
    <w:tmpl w:val="55A88A6C"/>
    <w:lvl w:ilvl="0" w:tplc="9170E356">
      <w:start w:val="1"/>
      <w:numFmt w:val="bullet"/>
      <w:lvlText w:val="-"/>
      <w:lvlJc w:val="left"/>
      <w:pPr>
        <w:ind w:left="720" w:hanging="360"/>
      </w:pPr>
      <w:rPr>
        <w:rFonts w:ascii="Trebuchet MS" w:eastAsia="Trebuchet MS"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0141A7"/>
    <w:multiLevelType w:val="hybridMultilevel"/>
    <w:tmpl w:val="D5A6E9E2"/>
    <w:lvl w:ilvl="0" w:tplc="06B0F732">
      <w:start w:val="1"/>
      <w:numFmt w:val="lowerLetter"/>
      <w:lvlText w:val="%1)"/>
      <w:lvlJc w:val="left"/>
      <w:pPr>
        <w:ind w:left="975" w:hanging="360"/>
      </w:pPr>
      <w:rPr>
        <w:rFonts w:eastAsia="Calibri"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27" w15:restartNumberingAfterBreak="0">
    <w:nsid w:val="484D0729"/>
    <w:multiLevelType w:val="hybridMultilevel"/>
    <w:tmpl w:val="C714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756590"/>
    <w:multiLevelType w:val="hybridMultilevel"/>
    <w:tmpl w:val="2B84D92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8D25E0F"/>
    <w:multiLevelType w:val="hybridMultilevel"/>
    <w:tmpl w:val="5E4E7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FD28B7"/>
    <w:multiLevelType w:val="multilevel"/>
    <w:tmpl w:val="B778E6D8"/>
    <w:lvl w:ilvl="0">
      <w:start w:val="1"/>
      <w:numFmt w:val="upperRoman"/>
      <w:lvlText w:val="%1."/>
      <w:lvlJc w:val="right"/>
      <w:pPr>
        <w:ind w:left="720" w:hanging="360"/>
      </w:pPr>
      <w:rPr>
        <w:rFonts w:cs="Times New Roman"/>
        <w:strike w:val="0"/>
        <w:dstrike w:val="0"/>
        <w:u w:val="none"/>
        <w:effect w:val="none"/>
      </w:rPr>
    </w:lvl>
    <w:lvl w:ilvl="1">
      <w:start w:val="1"/>
      <w:numFmt w:val="upperLetter"/>
      <w:pStyle w:val="ListaA"/>
      <w:lvlText w:val="%2."/>
      <w:lvlJc w:val="left"/>
      <w:pPr>
        <w:ind w:left="1440" w:hanging="360"/>
      </w:pPr>
      <w:rPr>
        <w:strike w:val="0"/>
        <w:dstrike w:val="0"/>
        <w:color w:val="auto"/>
        <w:u w:val="none"/>
        <w:effect w:val="none"/>
      </w:rPr>
    </w:lvl>
    <w:lvl w:ilvl="2">
      <w:start w:val="1"/>
      <w:numFmt w:val="decimal"/>
      <w:lvlText w:val="%3."/>
      <w:lvlJc w:val="left"/>
      <w:pPr>
        <w:ind w:left="2160" w:hanging="360"/>
      </w:pPr>
      <w:rPr>
        <w:rFonts w:cs="Times New Roman"/>
        <w:strike w:val="0"/>
        <w:dstrike w:val="0"/>
        <w:u w:val="none"/>
        <w:effect w:val="none"/>
      </w:rPr>
    </w:lvl>
    <w:lvl w:ilvl="3">
      <w:start w:val="1"/>
      <w:numFmt w:val="lowerLetter"/>
      <w:lvlText w:val="%4)"/>
      <w:lvlJc w:val="left"/>
      <w:pPr>
        <w:ind w:left="2880" w:hanging="360"/>
      </w:pPr>
      <w:rPr>
        <w:rFonts w:cs="Times New Roman"/>
        <w:strike w:val="0"/>
        <w:dstrike w:val="0"/>
        <w:u w:val="none"/>
        <w:effect w:val="none"/>
      </w:rPr>
    </w:lvl>
    <w:lvl w:ilvl="4">
      <w:start w:val="1"/>
      <w:numFmt w:val="decimal"/>
      <w:lvlText w:val="(%5)"/>
      <w:lvlJc w:val="left"/>
      <w:pPr>
        <w:ind w:left="3600" w:hanging="360"/>
      </w:pPr>
      <w:rPr>
        <w:rFonts w:cs="Times New Roman"/>
        <w:strike w:val="0"/>
        <w:dstrike w:val="0"/>
        <w:u w:val="none"/>
        <w:effect w:val="none"/>
      </w:rPr>
    </w:lvl>
    <w:lvl w:ilvl="5">
      <w:start w:val="1"/>
      <w:numFmt w:val="lowerLetter"/>
      <w:lvlText w:val="(%6)"/>
      <w:lvlJc w:val="left"/>
      <w:pPr>
        <w:ind w:left="4320" w:hanging="360"/>
      </w:pPr>
      <w:rPr>
        <w:rFonts w:cs="Times New Roman"/>
        <w:strike w:val="0"/>
        <w:dstrike w:val="0"/>
        <w:u w:val="none"/>
        <w:effect w:val="none"/>
      </w:rPr>
    </w:lvl>
    <w:lvl w:ilvl="6">
      <w:start w:val="1"/>
      <w:numFmt w:val="lowerRoman"/>
      <w:lvlText w:val="(%7)"/>
      <w:lvlJc w:val="righ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31" w15:restartNumberingAfterBreak="0">
    <w:nsid w:val="4E13686D"/>
    <w:multiLevelType w:val="hybridMultilevel"/>
    <w:tmpl w:val="3E664736"/>
    <w:lvl w:ilvl="0" w:tplc="BBF2ADF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9938ED"/>
    <w:multiLevelType w:val="hybridMultilevel"/>
    <w:tmpl w:val="1630958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61A7151"/>
    <w:multiLevelType w:val="hybridMultilevel"/>
    <w:tmpl w:val="9954CB32"/>
    <w:lvl w:ilvl="0" w:tplc="9170E356">
      <w:start w:val="1"/>
      <w:numFmt w:val="bullet"/>
      <w:lvlText w:val="-"/>
      <w:lvlJc w:val="left"/>
      <w:pPr>
        <w:ind w:left="1440" w:hanging="360"/>
      </w:pPr>
      <w:rPr>
        <w:rFonts w:ascii="Trebuchet MS" w:eastAsia="Trebuchet MS" w:hAnsi="Trebuchet MS" w:cs="Trebuchet M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56682C38"/>
    <w:multiLevelType w:val="hybridMultilevel"/>
    <w:tmpl w:val="2488F3CC"/>
    <w:lvl w:ilvl="0" w:tplc="08090001">
      <w:start w:val="1"/>
      <w:numFmt w:val="bullet"/>
      <w:lvlText w:val=""/>
      <w:lvlJc w:val="left"/>
      <w:pPr>
        <w:ind w:left="1511" w:hanging="360"/>
      </w:pPr>
      <w:rPr>
        <w:rFonts w:ascii="Symbol" w:hAnsi="Symbol" w:hint="default"/>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2951" w:hanging="360"/>
      </w:pPr>
      <w:rPr>
        <w:rFonts w:ascii="Wingdings" w:hAnsi="Wingdings" w:hint="default"/>
      </w:rPr>
    </w:lvl>
    <w:lvl w:ilvl="3" w:tplc="08090001" w:tentative="1">
      <w:start w:val="1"/>
      <w:numFmt w:val="bullet"/>
      <w:lvlText w:val=""/>
      <w:lvlJc w:val="left"/>
      <w:pPr>
        <w:ind w:left="3671" w:hanging="360"/>
      </w:pPr>
      <w:rPr>
        <w:rFonts w:ascii="Symbol" w:hAnsi="Symbol" w:hint="default"/>
      </w:rPr>
    </w:lvl>
    <w:lvl w:ilvl="4" w:tplc="08090003" w:tentative="1">
      <w:start w:val="1"/>
      <w:numFmt w:val="bullet"/>
      <w:lvlText w:val="o"/>
      <w:lvlJc w:val="left"/>
      <w:pPr>
        <w:ind w:left="4391" w:hanging="360"/>
      </w:pPr>
      <w:rPr>
        <w:rFonts w:ascii="Courier New" w:hAnsi="Courier New" w:cs="Courier New" w:hint="default"/>
      </w:rPr>
    </w:lvl>
    <w:lvl w:ilvl="5" w:tplc="08090005" w:tentative="1">
      <w:start w:val="1"/>
      <w:numFmt w:val="bullet"/>
      <w:lvlText w:val=""/>
      <w:lvlJc w:val="left"/>
      <w:pPr>
        <w:ind w:left="5111" w:hanging="360"/>
      </w:pPr>
      <w:rPr>
        <w:rFonts w:ascii="Wingdings" w:hAnsi="Wingdings" w:hint="default"/>
      </w:rPr>
    </w:lvl>
    <w:lvl w:ilvl="6" w:tplc="08090001" w:tentative="1">
      <w:start w:val="1"/>
      <w:numFmt w:val="bullet"/>
      <w:lvlText w:val=""/>
      <w:lvlJc w:val="left"/>
      <w:pPr>
        <w:ind w:left="5831" w:hanging="360"/>
      </w:pPr>
      <w:rPr>
        <w:rFonts w:ascii="Symbol" w:hAnsi="Symbol" w:hint="default"/>
      </w:rPr>
    </w:lvl>
    <w:lvl w:ilvl="7" w:tplc="08090003" w:tentative="1">
      <w:start w:val="1"/>
      <w:numFmt w:val="bullet"/>
      <w:lvlText w:val="o"/>
      <w:lvlJc w:val="left"/>
      <w:pPr>
        <w:ind w:left="6551" w:hanging="360"/>
      </w:pPr>
      <w:rPr>
        <w:rFonts w:ascii="Courier New" w:hAnsi="Courier New" w:cs="Courier New" w:hint="default"/>
      </w:rPr>
    </w:lvl>
    <w:lvl w:ilvl="8" w:tplc="08090005" w:tentative="1">
      <w:start w:val="1"/>
      <w:numFmt w:val="bullet"/>
      <w:lvlText w:val=""/>
      <w:lvlJc w:val="left"/>
      <w:pPr>
        <w:ind w:left="7271" w:hanging="360"/>
      </w:pPr>
      <w:rPr>
        <w:rFonts w:ascii="Wingdings" w:hAnsi="Wingdings" w:hint="default"/>
      </w:rPr>
    </w:lvl>
  </w:abstractNum>
  <w:abstractNum w:abstractNumId="35" w15:restartNumberingAfterBreak="0">
    <w:nsid w:val="5B65769D"/>
    <w:multiLevelType w:val="hybridMultilevel"/>
    <w:tmpl w:val="D73A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1D40AD"/>
    <w:multiLevelType w:val="hybridMultilevel"/>
    <w:tmpl w:val="EFF2C3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534E6C"/>
    <w:multiLevelType w:val="hybridMultilevel"/>
    <w:tmpl w:val="8A321906"/>
    <w:lvl w:ilvl="0" w:tplc="93DAA8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06850F8"/>
    <w:multiLevelType w:val="hybridMultilevel"/>
    <w:tmpl w:val="0AD83C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AD03E3"/>
    <w:multiLevelType w:val="hybridMultilevel"/>
    <w:tmpl w:val="FC7A7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F7278D"/>
    <w:multiLevelType w:val="hybridMultilevel"/>
    <w:tmpl w:val="E8E2DC16"/>
    <w:lvl w:ilvl="0" w:tplc="0409000D">
      <w:start w:val="1"/>
      <w:numFmt w:val="bullet"/>
      <w:lvlText w:val=""/>
      <w:lvlJc w:val="left"/>
      <w:pPr>
        <w:ind w:left="1171" w:hanging="360"/>
      </w:pPr>
      <w:rPr>
        <w:rFonts w:ascii="Wingdings" w:hAnsi="Wingdings"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41" w15:restartNumberingAfterBreak="0">
    <w:nsid w:val="6A9E085D"/>
    <w:multiLevelType w:val="hybridMultilevel"/>
    <w:tmpl w:val="B218D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E0E58CC"/>
    <w:multiLevelType w:val="hybridMultilevel"/>
    <w:tmpl w:val="66B0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A631FA"/>
    <w:multiLevelType w:val="hybridMultilevel"/>
    <w:tmpl w:val="D68EB3A2"/>
    <w:lvl w:ilvl="0" w:tplc="EE5621E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7332318"/>
    <w:multiLevelType w:val="multilevel"/>
    <w:tmpl w:val="8B20B748"/>
    <w:lvl w:ilvl="0">
      <w:start w:val="1"/>
      <w:numFmt w:val="upperRoman"/>
      <w:pStyle w:val="ListaCifreRomane"/>
      <w:lvlText w:val="%1."/>
      <w:lvlJc w:val="right"/>
      <w:pPr>
        <w:ind w:left="720" w:hanging="360"/>
      </w:pPr>
      <w:rPr>
        <w:strike w:val="0"/>
        <w:dstrike w:val="0"/>
        <w:color w:val="auto"/>
        <w:u w:val="none"/>
        <w:effect w:val="none"/>
      </w:rPr>
    </w:lvl>
    <w:lvl w:ilvl="1">
      <w:start w:val="1"/>
      <w:numFmt w:val="upperLetter"/>
      <w:lvlText w:val="%2."/>
      <w:lvlJc w:val="left"/>
      <w:pPr>
        <w:ind w:left="1440" w:hanging="360"/>
      </w:pPr>
      <w:rPr>
        <w:rFonts w:cs="Times New Roman"/>
        <w:strike w:val="0"/>
        <w:dstrike w:val="0"/>
        <w:u w:val="none"/>
        <w:effect w:val="none"/>
      </w:rPr>
    </w:lvl>
    <w:lvl w:ilvl="2">
      <w:start w:val="1"/>
      <w:numFmt w:val="decimal"/>
      <w:lvlText w:val="%3."/>
      <w:lvlJc w:val="left"/>
      <w:pPr>
        <w:ind w:left="2160" w:hanging="360"/>
      </w:pPr>
      <w:rPr>
        <w:rFonts w:cs="Times New Roman"/>
        <w:strike w:val="0"/>
        <w:dstrike w:val="0"/>
        <w:u w:val="none"/>
        <w:effect w:val="none"/>
      </w:rPr>
    </w:lvl>
    <w:lvl w:ilvl="3">
      <w:start w:val="1"/>
      <w:numFmt w:val="lowerLetter"/>
      <w:lvlText w:val="%4)"/>
      <w:lvlJc w:val="left"/>
      <w:pPr>
        <w:ind w:left="2880" w:hanging="360"/>
      </w:pPr>
      <w:rPr>
        <w:rFonts w:cs="Times New Roman"/>
        <w:strike w:val="0"/>
        <w:dstrike w:val="0"/>
        <w:u w:val="none"/>
        <w:effect w:val="none"/>
      </w:rPr>
    </w:lvl>
    <w:lvl w:ilvl="4">
      <w:start w:val="1"/>
      <w:numFmt w:val="decimal"/>
      <w:lvlText w:val="(%5)"/>
      <w:lvlJc w:val="left"/>
      <w:pPr>
        <w:ind w:left="3600" w:hanging="360"/>
      </w:pPr>
      <w:rPr>
        <w:rFonts w:cs="Times New Roman"/>
        <w:strike w:val="0"/>
        <w:dstrike w:val="0"/>
        <w:u w:val="none"/>
        <w:effect w:val="none"/>
      </w:rPr>
    </w:lvl>
    <w:lvl w:ilvl="5">
      <w:start w:val="1"/>
      <w:numFmt w:val="lowerLetter"/>
      <w:lvlText w:val="(%6)"/>
      <w:lvlJc w:val="left"/>
      <w:pPr>
        <w:ind w:left="4320" w:hanging="360"/>
      </w:pPr>
      <w:rPr>
        <w:rFonts w:cs="Times New Roman"/>
        <w:strike w:val="0"/>
        <w:dstrike w:val="0"/>
        <w:u w:val="none"/>
        <w:effect w:val="none"/>
      </w:rPr>
    </w:lvl>
    <w:lvl w:ilvl="6">
      <w:start w:val="1"/>
      <w:numFmt w:val="lowerRoman"/>
      <w:lvlText w:val="(%7)"/>
      <w:lvlJc w:val="righ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45" w15:restartNumberingAfterBreak="0">
    <w:nsid w:val="78AF1295"/>
    <w:multiLevelType w:val="hybridMultilevel"/>
    <w:tmpl w:val="0CF8FBF8"/>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6" w15:restartNumberingAfterBreak="0">
    <w:nsid w:val="79B149B5"/>
    <w:multiLevelType w:val="hybridMultilevel"/>
    <w:tmpl w:val="C32C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F16ACB"/>
    <w:multiLevelType w:val="hybridMultilevel"/>
    <w:tmpl w:val="8214BB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C63656"/>
    <w:multiLevelType w:val="hybridMultilevel"/>
    <w:tmpl w:val="86C0F3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2A27CD"/>
    <w:multiLevelType w:val="hybridMultilevel"/>
    <w:tmpl w:val="46ACBF6E"/>
    <w:lvl w:ilvl="0" w:tplc="9170E356">
      <w:start w:val="1"/>
      <w:numFmt w:val="bullet"/>
      <w:lvlText w:val="-"/>
      <w:lvlJc w:val="left"/>
      <w:pPr>
        <w:ind w:left="1440" w:hanging="360"/>
      </w:pPr>
      <w:rPr>
        <w:rFonts w:ascii="Trebuchet MS" w:eastAsia="Trebuchet MS" w:hAnsi="Trebuchet MS" w:cs="Trebuchet M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0" w15:restartNumberingAfterBreak="0">
    <w:nsid w:val="7D587E24"/>
    <w:multiLevelType w:val="hybridMultilevel"/>
    <w:tmpl w:val="84C4FC1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51" w15:restartNumberingAfterBreak="0">
    <w:nsid w:val="7DB316EE"/>
    <w:multiLevelType w:val="hybridMultilevel"/>
    <w:tmpl w:val="AA5AA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2499008">
    <w:abstractNumId w:val="3"/>
  </w:num>
  <w:num w:numId="2" w16cid:durableId="1199709148">
    <w:abstractNumId w:val="50"/>
  </w:num>
  <w:num w:numId="3" w16cid:durableId="1701780231">
    <w:abstractNumId w:val="43"/>
  </w:num>
  <w:num w:numId="4" w16cid:durableId="562956890">
    <w:abstractNumId w:val="6"/>
  </w:num>
  <w:num w:numId="5" w16cid:durableId="1829397206">
    <w:abstractNumId w:val="20"/>
  </w:num>
  <w:num w:numId="6" w16cid:durableId="569921074">
    <w:abstractNumId w:val="46"/>
  </w:num>
  <w:num w:numId="7" w16cid:durableId="2026517876">
    <w:abstractNumId w:val="18"/>
  </w:num>
  <w:num w:numId="8" w16cid:durableId="3516088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2484397">
    <w:abstractNumId w:val="45"/>
  </w:num>
  <w:num w:numId="10" w16cid:durableId="1768889324">
    <w:abstractNumId w:val="36"/>
  </w:num>
  <w:num w:numId="11" w16cid:durableId="419758819">
    <w:abstractNumId w:val="23"/>
  </w:num>
  <w:num w:numId="12" w16cid:durableId="630667369">
    <w:abstractNumId w:val="17"/>
  </w:num>
  <w:num w:numId="13" w16cid:durableId="358045328">
    <w:abstractNumId w:val="13"/>
  </w:num>
  <w:num w:numId="14" w16cid:durableId="739518048">
    <w:abstractNumId w:val="22"/>
  </w:num>
  <w:num w:numId="15" w16cid:durableId="832142263">
    <w:abstractNumId w:val="0"/>
  </w:num>
  <w:num w:numId="16" w16cid:durableId="1582133859">
    <w:abstractNumId w:val="29"/>
  </w:num>
  <w:num w:numId="17" w16cid:durableId="306782382">
    <w:abstractNumId w:val="44"/>
  </w:num>
  <w:num w:numId="18" w16cid:durableId="5219402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509102">
    <w:abstractNumId w:val="30"/>
  </w:num>
  <w:num w:numId="20" w16cid:durableId="15171898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5491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1395483">
    <w:abstractNumId w:val="28"/>
  </w:num>
  <w:num w:numId="23" w16cid:durableId="1741097353">
    <w:abstractNumId w:val="21"/>
  </w:num>
  <w:num w:numId="24" w16cid:durableId="1739089472">
    <w:abstractNumId w:val="32"/>
  </w:num>
  <w:num w:numId="25" w16cid:durableId="124739689">
    <w:abstractNumId w:val="9"/>
  </w:num>
  <w:num w:numId="26" w16cid:durableId="930698166">
    <w:abstractNumId w:val="12"/>
  </w:num>
  <w:num w:numId="27" w16cid:durableId="401368372">
    <w:abstractNumId w:val="1"/>
  </w:num>
  <w:num w:numId="28" w16cid:durableId="487789528">
    <w:abstractNumId w:val="11"/>
  </w:num>
  <w:num w:numId="29" w16cid:durableId="1293245581">
    <w:abstractNumId w:val="38"/>
  </w:num>
  <w:num w:numId="30" w16cid:durableId="1693338217">
    <w:abstractNumId w:val="40"/>
  </w:num>
  <w:num w:numId="31" w16cid:durableId="657222751">
    <w:abstractNumId w:val="4"/>
  </w:num>
  <w:num w:numId="32" w16cid:durableId="1746880629">
    <w:abstractNumId w:val="48"/>
  </w:num>
  <w:num w:numId="33" w16cid:durableId="1891190116">
    <w:abstractNumId w:val="10"/>
  </w:num>
  <w:num w:numId="34" w16cid:durableId="2010712367">
    <w:abstractNumId w:val="41"/>
  </w:num>
  <w:num w:numId="35" w16cid:durableId="95759195">
    <w:abstractNumId w:val="34"/>
  </w:num>
  <w:num w:numId="36" w16cid:durableId="984356010">
    <w:abstractNumId w:val="2"/>
  </w:num>
  <w:num w:numId="37" w16cid:durableId="1711147628">
    <w:abstractNumId w:val="42"/>
  </w:num>
  <w:num w:numId="38" w16cid:durableId="23605421">
    <w:abstractNumId w:val="27"/>
  </w:num>
  <w:num w:numId="39" w16cid:durableId="1867865468">
    <w:abstractNumId w:val="51"/>
  </w:num>
  <w:num w:numId="40" w16cid:durableId="1247421158">
    <w:abstractNumId w:val="16"/>
  </w:num>
  <w:num w:numId="41" w16cid:durableId="860624325">
    <w:abstractNumId w:val="49"/>
  </w:num>
  <w:num w:numId="42" w16cid:durableId="1148474804">
    <w:abstractNumId w:val="33"/>
  </w:num>
  <w:num w:numId="43" w16cid:durableId="392506440">
    <w:abstractNumId w:val="26"/>
  </w:num>
  <w:num w:numId="44" w16cid:durableId="1346126078">
    <w:abstractNumId w:val="47"/>
  </w:num>
  <w:num w:numId="45" w16cid:durableId="124928273">
    <w:abstractNumId w:val="19"/>
  </w:num>
  <w:num w:numId="46" w16cid:durableId="1409614351">
    <w:abstractNumId w:val="15"/>
  </w:num>
  <w:num w:numId="47" w16cid:durableId="679161637">
    <w:abstractNumId w:val="7"/>
  </w:num>
  <w:num w:numId="48" w16cid:durableId="1141850056">
    <w:abstractNumId w:val="35"/>
  </w:num>
  <w:num w:numId="49" w16cid:durableId="1879657471">
    <w:abstractNumId w:val="24"/>
  </w:num>
  <w:num w:numId="50" w16cid:durableId="669992666">
    <w:abstractNumId w:val="5"/>
  </w:num>
  <w:num w:numId="51" w16cid:durableId="466123720">
    <w:abstractNumId w:val="31"/>
  </w:num>
  <w:num w:numId="52" w16cid:durableId="1786462332">
    <w:abstractNumId w:val="25"/>
  </w:num>
  <w:num w:numId="53" w16cid:durableId="445127052">
    <w:abstractNumId w:val="14"/>
  </w:num>
  <w:num w:numId="54" w16cid:durableId="1077485099">
    <w:abstractNumId w:val="39"/>
  </w:num>
  <w:num w:numId="55" w16cid:durableId="121269279">
    <w:abstractNumId w:val="37"/>
  </w:num>
  <w:num w:numId="56" w16cid:durableId="1392382383">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A6"/>
    <w:rsid w:val="0000121D"/>
    <w:rsid w:val="000019B6"/>
    <w:rsid w:val="00002E4A"/>
    <w:rsid w:val="000040A1"/>
    <w:rsid w:val="000042B4"/>
    <w:rsid w:val="00004C7C"/>
    <w:rsid w:val="00006F20"/>
    <w:rsid w:val="0000707B"/>
    <w:rsid w:val="0001318A"/>
    <w:rsid w:val="00013621"/>
    <w:rsid w:val="0001442E"/>
    <w:rsid w:val="000155D5"/>
    <w:rsid w:val="000160F3"/>
    <w:rsid w:val="0001689B"/>
    <w:rsid w:val="00017D04"/>
    <w:rsid w:val="0002299E"/>
    <w:rsid w:val="00024F37"/>
    <w:rsid w:val="00025015"/>
    <w:rsid w:val="000260DD"/>
    <w:rsid w:val="000265F7"/>
    <w:rsid w:val="00026B13"/>
    <w:rsid w:val="00027469"/>
    <w:rsid w:val="00031D8D"/>
    <w:rsid w:val="0003205B"/>
    <w:rsid w:val="0003401D"/>
    <w:rsid w:val="00034CD8"/>
    <w:rsid w:val="00035D17"/>
    <w:rsid w:val="00036431"/>
    <w:rsid w:val="000369EF"/>
    <w:rsid w:val="0004037F"/>
    <w:rsid w:val="00040B7B"/>
    <w:rsid w:val="00043471"/>
    <w:rsid w:val="00043911"/>
    <w:rsid w:val="00044209"/>
    <w:rsid w:val="0004452D"/>
    <w:rsid w:val="00044D39"/>
    <w:rsid w:val="00046B44"/>
    <w:rsid w:val="0005027D"/>
    <w:rsid w:val="000503A8"/>
    <w:rsid w:val="0005099B"/>
    <w:rsid w:val="0005198C"/>
    <w:rsid w:val="00052AE4"/>
    <w:rsid w:val="00054869"/>
    <w:rsid w:val="00054DF8"/>
    <w:rsid w:val="000563C0"/>
    <w:rsid w:val="00056548"/>
    <w:rsid w:val="00057629"/>
    <w:rsid w:val="00057B37"/>
    <w:rsid w:val="00057EC8"/>
    <w:rsid w:val="00060E2F"/>
    <w:rsid w:val="00061E6F"/>
    <w:rsid w:val="0006216F"/>
    <w:rsid w:val="00062BA0"/>
    <w:rsid w:val="0006409E"/>
    <w:rsid w:val="00064A6B"/>
    <w:rsid w:val="00064E28"/>
    <w:rsid w:val="0006547C"/>
    <w:rsid w:val="00066350"/>
    <w:rsid w:val="00066B22"/>
    <w:rsid w:val="00070830"/>
    <w:rsid w:val="00073195"/>
    <w:rsid w:val="000733D3"/>
    <w:rsid w:val="0007609F"/>
    <w:rsid w:val="00076C55"/>
    <w:rsid w:val="000808EE"/>
    <w:rsid w:val="00081475"/>
    <w:rsid w:val="0008200F"/>
    <w:rsid w:val="00083DB6"/>
    <w:rsid w:val="00083EAF"/>
    <w:rsid w:val="0008463B"/>
    <w:rsid w:val="00084EE5"/>
    <w:rsid w:val="00084F56"/>
    <w:rsid w:val="00085904"/>
    <w:rsid w:val="00086114"/>
    <w:rsid w:val="00086663"/>
    <w:rsid w:val="0008730B"/>
    <w:rsid w:val="00087383"/>
    <w:rsid w:val="00087C48"/>
    <w:rsid w:val="00090470"/>
    <w:rsid w:val="00090676"/>
    <w:rsid w:val="0009222E"/>
    <w:rsid w:val="00092376"/>
    <w:rsid w:val="0009320D"/>
    <w:rsid w:val="00094481"/>
    <w:rsid w:val="000949D2"/>
    <w:rsid w:val="00094AE3"/>
    <w:rsid w:val="00095300"/>
    <w:rsid w:val="0009621B"/>
    <w:rsid w:val="000A06E8"/>
    <w:rsid w:val="000A1891"/>
    <w:rsid w:val="000A437E"/>
    <w:rsid w:val="000A6135"/>
    <w:rsid w:val="000A6298"/>
    <w:rsid w:val="000A71F1"/>
    <w:rsid w:val="000B036B"/>
    <w:rsid w:val="000B0E28"/>
    <w:rsid w:val="000B1818"/>
    <w:rsid w:val="000B257C"/>
    <w:rsid w:val="000B391A"/>
    <w:rsid w:val="000B3D76"/>
    <w:rsid w:val="000B4945"/>
    <w:rsid w:val="000B54A3"/>
    <w:rsid w:val="000B55D8"/>
    <w:rsid w:val="000B650E"/>
    <w:rsid w:val="000B665D"/>
    <w:rsid w:val="000B7506"/>
    <w:rsid w:val="000B753E"/>
    <w:rsid w:val="000C03FF"/>
    <w:rsid w:val="000C3277"/>
    <w:rsid w:val="000C3586"/>
    <w:rsid w:val="000C3625"/>
    <w:rsid w:val="000C4A4F"/>
    <w:rsid w:val="000C54A4"/>
    <w:rsid w:val="000C614B"/>
    <w:rsid w:val="000C687D"/>
    <w:rsid w:val="000C7D63"/>
    <w:rsid w:val="000C7EAF"/>
    <w:rsid w:val="000C7EEC"/>
    <w:rsid w:val="000D0889"/>
    <w:rsid w:val="000D0A1C"/>
    <w:rsid w:val="000D21F9"/>
    <w:rsid w:val="000D23B9"/>
    <w:rsid w:val="000D2B20"/>
    <w:rsid w:val="000D315E"/>
    <w:rsid w:val="000D3342"/>
    <w:rsid w:val="000D403B"/>
    <w:rsid w:val="000D4132"/>
    <w:rsid w:val="000D4C09"/>
    <w:rsid w:val="000D69AF"/>
    <w:rsid w:val="000E0EA4"/>
    <w:rsid w:val="000E2C2D"/>
    <w:rsid w:val="000E3604"/>
    <w:rsid w:val="000E3A58"/>
    <w:rsid w:val="000E4412"/>
    <w:rsid w:val="000E560B"/>
    <w:rsid w:val="000E6FCF"/>
    <w:rsid w:val="000E74F5"/>
    <w:rsid w:val="000F1B02"/>
    <w:rsid w:val="000F2468"/>
    <w:rsid w:val="000F26C2"/>
    <w:rsid w:val="000F40EF"/>
    <w:rsid w:val="000F5C7E"/>
    <w:rsid w:val="000F6105"/>
    <w:rsid w:val="000F6EFE"/>
    <w:rsid w:val="000F7896"/>
    <w:rsid w:val="00100251"/>
    <w:rsid w:val="00101903"/>
    <w:rsid w:val="00101A9B"/>
    <w:rsid w:val="001023B0"/>
    <w:rsid w:val="00102CE7"/>
    <w:rsid w:val="0010482B"/>
    <w:rsid w:val="00105808"/>
    <w:rsid w:val="001067AA"/>
    <w:rsid w:val="00106FB3"/>
    <w:rsid w:val="00106FE8"/>
    <w:rsid w:val="00107736"/>
    <w:rsid w:val="00107740"/>
    <w:rsid w:val="001077E3"/>
    <w:rsid w:val="00107E28"/>
    <w:rsid w:val="001110C2"/>
    <w:rsid w:val="00111EEB"/>
    <w:rsid w:val="00112E9E"/>
    <w:rsid w:val="001147BA"/>
    <w:rsid w:val="0011501B"/>
    <w:rsid w:val="00115083"/>
    <w:rsid w:val="00115131"/>
    <w:rsid w:val="00117B71"/>
    <w:rsid w:val="00121CCC"/>
    <w:rsid w:val="00123D7C"/>
    <w:rsid w:val="001250F7"/>
    <w:rsid w:val="00125245"/>
    <w:rsid w:val="00126BBF"/>
    <w:rsid w:val="00130ADF"/>
    <w:rsid w:val="00131281"/>
    <w:rsid w:val="001313D8"/>
    <w:rsid w:val="0013230E"/>
    <w:rsid w:val="00133A3B"/>
    <w:rsid w:val="0013450E"/>
    <w:rsid w:val="00134A79"/>
    <w:rsid w:val="0013619D"/>
    <w:rsid w:val="0013676D"/>
    <w:rsid w:val="00137181"/>
    <w:rsid w:val="00137A13"/>
    <w:rsid w:val="00140655"/>
    <w:rsid w:val="001459BC"/>
    <w:rsid w:val="0014608E"/>
    <w:rsid w:val="0014634D"/>
    <w:rsid w:val="00146BF1"/>
    <w:rsid w:val="0014728C"/>
    <w:rsid w:val="001500EA"/>
    <w:rsid w:val="00151751"/>
    <w:rsid w:val="00152085"/>
    <w:rsid w:val="001528E8"/>
    <w:rsid w:val="00153B2A"/>
    <w:rsid w:val="0015446A"/>
    <w:rsid w:val="001544DC"/>
    <w:rsid w:val="0015762E"/>
    <w:rsid w:val="00157B5B"/>
    <w:rsid w:val="00157CFC"/>
    <w:rsid w:val="00160148"/>
    <w:rsid w:val="00161A61"/>
    <w:rsid w:val="00161D25"/>
    <w:rsid w:val="001637B9"/>
    <w:rsid w:val="00164F79"/>
    <w:rsid w:val="00164FF3"/>
    <w:rsid w:val="00165A07"/>
    <w:rsid w:val="00165C92"/>
    <w:rsid w:val="00165D35"/>
    <w:rsid w:val="0016702F"/>
    <w:rsid w:val="0016785A"/>
    <w:rsid w:val="00167EF9"/>
    <w:rsid w:val="0017030A"/>
    <w:rsid w:val="00170B77"/>
    <w:rsid w:val="00170D4E"/>
    <w:rsid w:val="00172493"/>
    <w:rsid w:val="00173986"/>
    <w:rsid w:val="0017630C"/>
    <w:rsid w:val="0017646C"/>
    <w:rsid w:val="001776C1"/>
    <w:rsid w:val="00177CD3"/>
    <w:rsid w:val="00177EC3"/>
    <w:rsid w:val="00180B7B"/>
    <w:rsid w:val="00181323"/>
    <w:rsid w:val="0018173D"/>
    <w:rsid w:val="00181DB6"/>
    <w:rsid w:val="00185823"/>
    <w:rsid w:val="0019189C"/>
    <w:rsid w:val="001919CC"/>
    <w:rsid w:val="0019387C"/>
    <w:rsid w:val="001945C9"/>
    <w:rsid w:val="00194887"/>
    <w:rsid w:val="00197747"/>
    <w:rsid w:val="001A0854"/>
    <w:rsid w:val="001A0AEA"/>
    <w:rsid w:val="001A1AA3"/>
    <w:rsid w:val="001A1AE5"/>
    <w:rsid w:val="001A1D31"/>
    <w:rsid w:val="001A241C"/>
    <w:rsid w:val="001A2A6E"/>
    <w:rsid w:val="001A374F"/>
    <w:rsid w:val="001A4420"/>
    <w:rsid w:val="001A52F1"/>
    <w:rsid w:val="001A78A0"/>
    <w:rsid w:val="001A7C31"/>
    <w:rsid w:val="001B1912"/>
    <w:rsid w:val="001B1AD6"/>
    <w:rsid w:val="001B22B4"/>
    <w:rsid w:val="001B22D1"/>
    <w:rsid w:val="001B23D0"/>
    <w:rsid w:val="001B2B36"/>
    <w:rsid w:val="001B2EF7"/>
    <w:rsid w:val="001B3B27"/>
    <w:rsid w:val="001B42FA"/>
    <w:rsid w:val="001B471D"/>
    <w:rsid w:val="001B48EC"/>
    <w:rsid w:val="001B4FE1"/>
    <w:rsid w:val="001B545E"/>
    <w:rsid w:val="001B6DD8"/>
    <w:rsid w:val="001B7961"/>
    <w:rsid w:val="001C2EA5"/>
    <w:rsid w:val="001C33B5"/>
    <w:rsid w:val="001C3EF4"/>
    <w:rsid w:val="001C468C"/>
    <w:rsid w:val="001C4735"/>
    <w:rsid w:val="001C53EF"/>
    <w:rsid w:val="001C55B8"/>
    <w:rsid w:val="001C6BF4"/>
    <w:rsid w:val="001C7510"/>
    <w:rsid w:val="001C7F48"/>
    <w:rsid w:val="001D022A"/>
    <w:rsid w:val="001D0467"/>
    <w:rsid w:val="001D053B"/>
    <w:rsid w:val="001D35D0"/>
    <w:rsid w:val="001D4260"/>
    <w:rsid w:val="001D5F16"/>
    <w:rsid w:val="001D7448"/>
    <w:rsid w:val="001D746E"/>
    <w:rsid w:val="001E052B"/>
    <w:rsid w:val="001E058E"/>
    <w:rsid w:val="001E0BD4"/>
    <w:rsid w:val="001E0D0D"/>
    <w:rsid w:val="001E10D6"/>
    <w:rsid w:val="001E11B1"/>
    <w:rsid w:val="001E2092"/>
    <w:rsid w:val="001E236E"/>
    <w:rsid w:val="001E2464"/>
    <w:rsid w:val="001E5470"/>
    <w:rsid w:val="001E55B3"/>
    <w:rsid w:val="001E69E4"/>
    <w:rsid w:val="001E6A4B"/>
    <w:rsid w:val="001E708B"/>
    <w:rsid w:val="001E7255"/>
    <w:rsid w:val="001F0B8C"/>
    <w:rsid w:val="001F14A2"/>
    <w:rsid w:val="001F1E7E"/>
    <w:rsid w:val="001F32F5"/>
    <w:rsid w:val="001F3474"/>
    <w:rsid w:val="001F418F"/>
    <w:rsid w:val="001F6D5C"/>
    <w:rsid w:val="001F700D"/>
    <w:rsid w:val="001F7034"/>
    <w:rsid w:val="001F733F"/>
    <w:rsid w:val="00200720"/>
    <w:rsid w:val="00202AFA"/>
    <w:rsid w:val="00203210"/>
    <w:rsid w:val="00204D02"/>
    <w:rsid w:val="00210E9C"/>
    <w:rsid w:val="00211627"/>
    <w:rsid w:val="002116FE"/>
    <w:rsid w:val="00213877"/>
    <w:rsid w:val="00213BDB"/>
    <w:rsid w:val="00214006"/>
    <w:rsid w:val="002153E2"/>
    <w:rsid w:val="0021681C"/>
    <w:rsid w:val="00217238"/>
    <w:rsid w:val="00217BF3"/>
    <w:rsid w:val="00217C15"/>
    <w:rsid w:val="00220BDB"/>
    <w:rsid w:val="00221126"/>
    <w:rsid w:val="00221987"/>
    <w:rsid w:val="00221B2B"/>
    <w:rsid w:val="00223491"/>
    <w:rsid w:val="00223A9D"/>
    <w:rsid w:val="00223AFB"/>
    <w:rsid w:val="00225653"/>
    <w:rsid w:val="00227A62"/>
    <w:rsid w:val="00227AC4"/>
    <w:rsid w:val="00230EAE"/>
    <w:rsid w:val="00231324"/>
    <w:rsid w:val="00231F26"/>
    <w:rsid w:val="00232ED4"/>
    <w:rsid w:val="0023360D"/>
    <w:rsid w:val="002337CA"/>
    <w:rsid w:val="00233A87"/>
    <w:rsid w:val="00233D49"/>
    <w:rsid w:val="00233D82"/>
    <w:rsid w:val="0023404B"/>
    <w:rsid w:val="002348DD"/>
    <w:rsid w:val="00234AB0"/>
    <w:rsid w:val="00234B65"/>
    <w:rsid w:val="002354D3"/>
    <w:rsid w:val="002372C0"/>
    <w:rsid w:val="00237BA8"/>
    <w:rsid w:val="002404DC"/>
    <w:rsid w:val="002404F7"/>
    <w:rsid w:val="00240AD2"/>
    <w:rsid w:val="00244C16"/>
    <w:rsid w:val="00244CF8"/>
    <w:rsid w:val="00245C3D"/>
    <w:rsid w:val="00250C5C"/>
    <w:rsid w:val="00251605"/>
    <w:rsid w:val="0025392B"/>
    <w:rsid w:val="00256383"/>
    <w:rsid w:val="0025682E"/>
    <w:rsid w:val="00257058"/>
    <w:rsid w:val="00260D80"/>
    <w:rsid w:val="00260E13"/>
    <w:rsid w:val="00260EE4"/>
    <w:rsid w:val="002623AD"/>
    <w:rsid w:val="00262462"/>
    <w:rsid w:val="0026264B"/>
    <w:rsid w:val="00262AAC"/>
    <w:rsid w:val="00262CFA"/>
    <w:rsid w:val="00263743"/>
    <w:rsid w:val="00267571"/>
    <w:rsid w:val="00271D4C"/>
    <w:rsid w:val="00272D53"/>
    <w:rsid w:val="0027308F"/>
    <w:rsid w:val="00275947"/>
    <w:rsid w:val="00275D3D"/>
    <w:rsid w:val="00275F83"/>
    <w:rsid w:val="00276B03"/>
    <w:rsid w:val="0027750A"/>
    <w:rsid w:val="00280BAF"/>
    <w:rsid w:val="00282E65"/>
    <w:rsid w:val="00283DDB"/>
    <w:rsid w:val="00284086"/>
    <w:rsid w:val="002851E8"/>
    <w:rsid w:val="00285B59"/>
    <w:rsid w:val="00286173"/>
    <w:rsid w:val="00286541"/>
    <w:rsid w:val="002869DC"/>
    <w:rsid w:val="00286DEC"/>
    <w:rsid w:val="00287637"/>
    <w:rsid w:val="0029278E"/>
    <w:rsid w:val="00294152"/>
    <w:rsid w:val="0029430E"/>
    <w:rsid w:val="00294D46"/>
    <w:rsid w:val="002973DF"/>
    <w:rsid w:val="00297E1A"/>
    <w:rsid w:val="002A144A"/>
    <w:rsid w:val="002A3BAF"/>
    <w:rsid w:val="002A409A"/>
    <w:rsid w:val="002A41C3"/>
    <w:rsid w:val="002A4A4D"/>
    <w:rsid w:val="002A7775"/>
    <w:rsid w:val="002A7B24"/>
    <w:rsid w:val="002A7C6C"/>
    <w:rsid w:val="002B2155"/>
    <w:rsid w:val="002B28B0"/>
    <w:rsid w:val="002B2AD7"/>
    <w:rsid w:val="002B583C"/>
    <w:rsid w:val="002B689E"/>
    <w:rsid w:val="002B7888"/>
    <w:rsid w:val="002C03CD"/>
    <w:rsid w:val="002C122C"/>
    <w:rsid w:val="002C129E"/>
    <w:rsid w:val="002C14BF"/>
    <w:rsid w:val="002C1C7F"/>
    <w:rsid w:val="002C3361"/>
    <w:rsid w:val="002C37C4"/>
    <w:rsid w:val="002C4610"/>
    <w:rsid w:val="002C5396"/>
    <w:rsid w:val="002C5621"/>
    <w:rsid w:val="002C66B0"/>
    <w:rsid w:val="002C6EEE"/>
    <w:rsid w:val="002D2045"/>
    <w:rsid w:val="002D2048"/>
    <w:rsid w:val="002D214D"/>
    <w:rsid w:val="002D3A08"/>
    <w:rsid w:val="002D3CFD"/>
    <w:rsid w:val="002D44FB"/>
    <w:rsid w:val="002D519D"/>
    <w:rsid w:val="002D63DE"/>
    <w:rsid w:val="002E0419"/>
    <w:rsid w:val="002E1627"/>
    <w:rsid w:val="002E20A6"/>
    <w:rsid w:val="002E2135"/>
    <w:rsid w:val="002E22BC"/>
    <w:rsid w:val="002E3777"/>
    <w:rsid w:val="002E3AFC"/>
    <w:rsid w:val="002E3BEE"/>
    <w:rsid w:val="002E5329"/>
    <w:rsid w:val="002E5723"/>
    <w:rsid w:val="002E5889"/>
    <w:rsid w:val="002E6018"/>
    <w:rsid w:val="002E6BA8"/>
    <w:rsid w:val="002E7997"/>
    <w:rsid w:val="002E7B28"/>
    <w:rsid w:val="002E7E37"/>
    <w:rsid w:val="002F01BF"/>
    <w:rsid w:val="002F0CE9"/>
    <w:rsid w:val="002F0EF7"/>
    <w:rsid w:val="002F1A5E"/>
    <w:rsid w:val="002F2645"/>
    <w:rsid w:val="002F2A55"/>
    <w:rsid w:val="002F36E2"/>
    <w:rsid w:val="002F3959"/>
    <w:rsid w:val="002F4425"/>
    <w:rsid w:val="00300E1C"/>
    <w:rsid w:val="00301918"/>
    <w:rsid w:val="00302ADB"/>
    <w:rsid w:val="00302D6F"/>
    <w:rsid w:val="00302EF5"/>
    <w:rsid w:val="00303141"/>
    <w:rsid w:val="00303177"/>
    <w:rsid w:val="003034B1"/>
    <w:rsid w:val="003037B6"/>
    <w:rsid w:val="00304361"/>
    <w:rsid w:val="00305061"/>
    <w:rsid w:val="0030581C"/>
    <w:rsid w:val="00305E5F"/>
    <w:rsid w:val="00306119"/>
    <w:rsid w:val="003101B0"/>
    <w:rsid w:val="00310F95"/>
    <w:rsid w:val="00312439"/>
    <w:rsid w:val="003127E6"/>
    <w:rsid w:val="00312E6E"/>
    <w:rsid w:val="00312FF3"/>
    <w:rsid w:val="003138A1"/>
    <w:rsid w:val="00315CB8"/>
    <w:rsid w:val="003179ED"/>
    <w:rsid w:val="00320940"/>
    <w:rsid w:val="00322480"/>
    <w:rsid w:val="00324260"/>
    <w:rsid w:val="00324785"/>
    <w:rsid w:val="00324938"/>
    <w:rsid w:val="00325BC3"/>
    <w:rsid w:val="003278FD"/>
    <w:rsid w:val="00330048"/>
    <w:rsid w:val="00331B3B"/>
    <w:rsid w:val="00332715"/>
    <w:rsid w:val="00332FEB"/>
    <w:rsid w:val="00333084"/>
    <w:rsid w:val="00333AB9"/>
    <w:rsid w:val="003357CA"/>
    <w:rsid w:val="00335C69"/>
    <w:rsid w:val="003360D5"/>
    <w:rsid w:val="003456BD"/>
    <w:rsid w:val="00345C6D"/>
    <w:rsid w:val="0034765C"/>
    <w:rsid w:val="00347FEB"/>
    <w:rsid w:val="00351D39"/>
    <w:rsid w:val="003543EA"/>
    <w:rsid w:val="003545B2"/>
    <w:rsid w:val="003547E5"/>
    <w:rsid w:val="0035521E"/>
    <w:rsid w:val="00355320"/>
    <w:rsid w:val="00355C12"/>
    <w:rsid w:val="00356457"/>
    <w:rsid w:val="003569BD"/>
    <w:rsid w:val="00357FC9"/>
    <w:rsid w:val="00360054"/>
    <w:rsid w:val="0036044B"/>
    <w:rsid w:val="003605E7"/>
    <w:rsid w:val="0036135D"/>
    <w:rsid w:val="0036514B"/>
    <w:rsid w:val="00365A86"/>
    <w:rsid w:val="00365DE7"/>
    <w:rsid w:val="003668CF"/>
    <w:rsid w:val="00371A06"/>
    <w:rsid w:val="00372839"/>
    <w:rsid w:val="00374EEB"/>
    <w:rsid w:val="0037559F"/>
    <w:rsid w:val="00375B28"/>
    <w:rsid w:val="0037675E"/>
    <w:rsid w:val="00377E94"/>
    <w:rsid w:val="00381090"/>
    <w:rsid w:val="00381CD7"/>
    <w:rsid w:val="00385668"/>
    <w:rsid w:val="00385BC3"/>
    <w:rsid w:val="003864F6"/>
    <w:rsid w:val="00390E31"/>
    <w:rsid w:val="00391737"/>
    <w:rsid w:val="00392CF0"/>
    <w:rsid w:val="0039344D"/>
    <w:rsid w:val="00393638"/>
    <w:rsid w:val="00396A04"/>
    <w:rsid w:val="00397570"/>
    <w:rsid w:val="003A3349"/>
    <w:rsid w:val="003A367D"/>
    <w:rsid w:val="003A4D1A"/>
    <w:rsid w:val="003A6698"/>
    <w:rsid w:val="003A6DD8"/>
    <w:rsid w:val="003A7570"/>
    <w:rsid w:val="003A7CA2"/>
    <w:rsid w:val="003A7CC0"/>
    <w:rsid w:val="003B02B3"/>
    <w:rsid w:val="003B0338"/>
    <w:rsid w:val="003B0C77"/>
    <w:rsid w:val="003B2329"/>
    <w:rsid w:val="003B3A2C"/>
    <w:rsid w:val="003B3F0B"/>
    <w:rsid w:val="003B424D"/>
    <w:rsid w:val="003B4987"/>
    <w:rsid w:val="003B50ED"/>
    <w:rsid w:val="003B68CD"/>
    <w:rsid w:val="003B6E10"/>
    <w:rsid w:val="003C0B34"/>
    <w:rsid w:val="003C1670"/>
    <w:rsid w:val="003C19BF"/>
    <w:rsid w:val="003C4D24"/>
    <w:rsid w:val="003C56CF"/>
    <w:rsid w:val="003C5B35"/>
    <w:rsid w:val="003C63A2"/>
    <w:rsid w:val="003C6B82"/>
    <w:rsid w:val="003C6C3A"/>
    <w:rsid w:val="003C6D3A"/>
    <w:rsid w:val="003D092D"/>
    <w:rsid w:val="003D4A34"/>
    <w:rsid w:val="003D5447"/>
    <w:rsid w:val="003D6235"/>
    <w:rsid w:val="003D7A5A"/>
    <w:rsid w:val="003E0802"/>
    <w:rsid w:val="003E080A"/>
    <w:rsid w:val="003E0917"/>
    <w:rsid w:val="003E1697"/>
    <w:rsid w:val="003E16B6"/>
    <w:rsid w:val="003E2EA8"/>
    <w:rsid w:val="003E2F65"/>
    <w:rsid w:val="003E358F"/>
    <w:rsid w:val="003E4318"/>
    <w:rsid w:val="003E5FF2"/>
    <w:rsid w:val="003E76BB"/>
    <w:rsid w:val="003F046A"/>
    <w:rsid w:val="003F10F8"/>
    <w:rsid w:val="003F4EA4"/>
    <w:rsid w:val="003F5CF6"/>
    <w:rsid w:val="003F6ACA"/>
    <w:rsid w:val="003F7AF4"/>
    <w:rsid w:val="0040003B"/>
    <w:rsid w:val="004005AC"/>
    <w:rsid w:val="004007BE"/>
    <w:rsid w:val="00400E2D"/>
    <w:rsid w:val="00402A15"/>
    <w:rsid w:val="0040434F"/>
    <w:rsid w:val="00404EFF"/>
    <w:rsid w:val="00405F21"/>
    <w:rsid w:val="00406B07"/>
    <w:rsid w:val="00406FBE"/>
    <w:rsid w:val="0041039C"/>
    <w:rsid w:val="00411270"/>
    <w:rsid w:val="00413D40"/>
    <w:rsid w:val="004162F1"/>
    <w:rsid w:val="00420EEF"/>
    <w:rsid w:val="0042197D"/>
    <w:rsid w:val="004248D9"/>
    <w:rsid w:val="00425D30"/>
    <w:rsid w:val="00426482"/>
    <w:rsid w:val="004268A6"/>
    <w:rsid w:val="00426F7C"/>
    <w:rsid w:val="00427CE2"/>
    <w:rsid w:val="00434D38"/>
    <w:rsid w:val="00434D7D"/>
    <w:rsid w:val="004353EE"/>
    <w:rsid w:val="00435F83"/>
    <w:rsid w:val="004360F6"/>
    <w:rsid w:val="004362A6"/>
    <w:rsid w:val="00436C2F"/>
    <w:rsid w:val="00437EC4"/>
    <w:rsid w:val="00440136"/>
    <w:rsid w:val="0044348E"/>
    <w:rsid w:val="004449A8"/>
    <w:rsid w:val="00445A50"/>
    <w:rsid w:val="00446A81"/>
    <w:rsid w:val="00446B21"/>
    <w:rsid w:val="00446C51"/>
    <w:rsid w:val="004472F0"/>
    <w:rsid w:val="004516D9"/>
    <w:rsid w:val="00453662"/>
    <w:rsid w:val="0045449C"/>
    <w:rsid w:val="00454D72"/>
    <w:rsid w:val="004555DD"/>
    <w:rsid w:val="00455719"/>
    <w:rsid w:val="004561E9"/>
    <w:rsid w:val="004562CD"/>
    <w:rsid w:val="0045656F"/>
    <w:rsid w:val="00456611"/>
    <w:rsid w:val="00460CE3"/>
    <w:rsid w:val="00461DC3"/>
    <w:rsid w:val="0046279C"/>
    <w:rsid w:val="00462C37"/>
    <w:rsid w:val="00463434"/>
    <w:rsid w:val="004634A3"/>
    <w:rsid w:val="004639DC"/>
    <w:rsid w:val="00463E98"/>
    <w:rsid w:val="00464AED"/>
    <w:rsid w:val="0046568A"/>
    <w:rsid w:val="004665F4"/>
    <w:rsid w:val="004672FC"/>
    <w:rsid w:val="00473382"/>
    <w:rsid w:val="0047371E"/>
    <w:rsid w:val="00473DA2"/>
    <w:rsid w:val="00475C30"/>
    <w:rsid w:val="0047738F"/>
    <w:rsid w:val="00477DA1"/>
    <w:rsid w:val="004803F0"/>
    <w:rsid w:val="004806BE"/>
    <w:rsid w:val="00481A82"/>
    <w:rsid w:val="00481D93"/>
    <w:rsid w:val="00485942"/>
    <w:rsid w:val="00485EF8"/>
    <w:rsid w:val="00486DF5"/>
    <w:rsid w:val="00490610"/>
    <w:rsid w:val="004919C5"/>
    <w:rsid w:val="00492D8F"/>
    <w:rsid w:val="00493464"/>
    <w:rsid w:val="004939DF"/>
    <w:rsid w:val="0049586B"/>
    <w:rsid w:val="00495918"/>
    <w:rsid w:val="00495B40"/>
    <w:rsid w:val="00497231"/>
    <w:rsid w:val="004A2289"/>
    <w:rsid w:val="004A26E1"/>
    <w:rsid w:val="004A39EE"/>
    <w:rsid w:val="004A51ED"/>
    <w:rsid w:val="004A5912"/>
    <w:rsid w:val="004A66B5"/>
    <w:rsid w:val="004A6FCC"/>
    <w:rsid w:val="004B13DF"/>
    <w:rsid w:val="004B1759"/>
    <w:rsid w:val="004B1ABD"/>
    <w:rsid w:val="004B23FC"/>
    <w:rsid w:val="004B254E"/>
    <w:rsid w:val="004B3C0A"/>
    <w:rsid w:val="004B3F38"/>
    <w:rsid w:val="004B53F9"/>
    <w:rsid w:val="004B64A6"/>
    <w:rsid w:val="004B7202"/>
    <w:rsid w:val="004B7CAD"/>
    <w:rsid w:val="004C0503"/>
    <w:rsid w:val="004C07F9"/>
    <w:rsid w:val="004C103A"/>
    <w:rsid w:val="004C1092"/>
    <w:rsid w:val="004C1338"/>
    <w:rsid w:val="004C33B7"/>
    <w:rsid w:val="004C7417"/>
    <w:rsid w:val="004D1B68"/>
    <w:rsid w:val="004D1FC0"/>
    <w:rsid w:val="004D210B"/>
    <w:rsid w:val="004D24D3"/>
    <w:rsid w:val="004D251E"/>
    <w:rsid w:val="004D279E"/>
    <w:rsid w:val="004D27EE"/>
    <w:rsid w:val="004D3AD9"/>
    <w:rsid w:val="004D434D"/>
    <w:rsid w:val="004D5BA3"/>
    <w:rsid w:val="004D6ABC"/>
    <w:rsid w:val="004E0E23"/>
    <w:rsid w:val="004E1034"/>
    <w:rsid w:val="004E124F"/>
    <w:rsid w:val="004E13AF"/>
    <w:rsid w:val="004E2CA0"/>
    <w:rsid w:val="004E40FD"/>
    <w:rsid w:val="004E5BA4"/>
    <w:rsid w:val="004E6ABD"/>
    <w:rsid w:val="004E789F"/>
    <w:rsid w:val="004F0338"/>
    <w:rsid w:val="004F0E4B"/>
    <w:rsid w:val="004F1FFD"/>
    <w:rsid w:val="004F49AA"/>
    <w:rsid w:val="004F521A"/>
    <w:rsid w:val="004F551E"/>
    <w:rsid w:val="005005B8"/>
    <w:rsid w:val="0050109F"/>
    <w:rsid w:val="00504840"/>
    <w:rsid w:val="005048BF"/>
    <w:rsid w:val="00504B82"/>
    <w:rsid w:val="00505370"/>
    <w:rsid w:val="00505AF3"/>
    <w:rsid w:val="005066F6"/>
    <w:rsid w:val="00510AE5"/>
    <w:rsid w:val="00515920"/>
    <w:rsid w:val="00515AD8"/>
    <w:rsid w:val="00515DE0"/>
    <w:rsid w:val="005167DF"/>
    <w:rsid w:val="00520345"/>
    <w:rsid w:val="00520BE3"/>
    <w:rsid w:val="00520E32"/>
    <w:rsid w:val="00522A8B"/>
    <w:rsid w:val="0052442F"/>
    <w:rsid w:val="00524BB2"/>
    <w:rsid w:val="00527866"/>
    <w:rsid w:val="0053023A"/>
    <w:rsid w:val="0053061F"/>
    <w:rsid w:val="00530AC8"/>
    <w:rsid w:val="0053145E"/>
    <w:rsid w:val="0053190B"/>
    <w:rsid w:val="005338D3"/>
    <w:rsid w:val="00533DD2"/>
    <w:rsid w:val="00533E19"/>
    <w:rsid w:val="0053559E"/>
    <w:rsid w:val="0053566B"/>
    <w:rsid w:val="00540381"/>
    <w:rsid w:val="00542411"/>
    <w:rsid w:val="00543A0A"/>
    <w:rsid w:val="005444AB"/>
    <w:rsid w:val="00546B5F"/>
    <w:rsid w:val="005514F5"/>
    <w:rsid w:val="005515E3"/>
    <w:rsid w:val="00552EB0"/>
    <w:rsid w:val="00553D0C"/>
    <w:rsid w:val="00554716"/>
    <w:rsid w:val="00555D3D"/>
    <w:rsid w:val="00561803"/>
    <w:rsid w:val="00562652"/>
    <w:rsid w:val="0056358F"/>
    <w:rsid w:val="005649C0"/>
    <w:rsid w:val="00565752"/>
    <w:rsid w:val="00566969"/>
    <w:rsid w:val="00566EBF"/>
    <w:rsid w:val="00567EA1"/>
    <w:rsid w:val="00571569"/>
    <w:rsid w:val="00572888"/>
    <w:rsid w:val="00573D21"/>
    <w:rsid w:val="00575BCE"/>
    <w:rsid w:val="00575BE0"/>
    <w:rsid w:val="00575E85"/>
    <w:rsid w:val="0057730A"/>
    <w:rsid w:val="00577623"/>
    <w:rsid w:val="00580444"/>
    <w:rsid w:val="0058155C"/>
    <w:rsid w:val="00582047"/>
    <w:rsid w:val="00583D6C"/>
    <w:rsid w:val="00584568"/>
    <w:rsid w:val="00584BC8"/>
    <w:rsid w:val="00586890"/>
    <w:rsid w:val="005878BE"/>
    <w:rsid w:val="005879AE"/>
    <w:rsid w:val="00590EF0"/>
    <w:rsid w:val="00591469"/>
    <w:rsid w:val="005941B9"/>
    <w:rsid w:val="00595C2D"/>
    <w:rsid w:val="005966F6"/>
    <w:rsid w:val="0059789A"/>
    <w:rsid w:val="00597910"/>
    <w:rsid w:val="005A133E"/>
    <w:rsid w:val="005A13C5"/>
    <w:rsid w:val="005A1D6C"/>
    <w:rsid w:val="005A2F37"/>
    <w:rsid w:val="005A2FF2"/>
    <w:rsid w:val="005A47ED"/>
    <w:rsid w:val="005A4B74"/>
    <w:rsid w:val="005A506E"/>
    <w:rsid w:val="005A55A5"/>
    <w:rsid w:val="005A57E5"/>
    <w:rsid w:val="005A5A3E"/>
    <w:rsid w:val="005A5D29"/>
    <w:rsid w:val="005A7989"/>
    <w:rsid w:val="005B02AB"/>
    <w:rsid w:val="005B17BE"/>
    <w:rsid w:val="005B18ED"/>
    <w:rsid w:val="005B31F7"/>
    <w:rsid w:val="005B3992"/>
    <w:rsid w:val="005B3CAB"/>
    <w:rsid w:val="005B58FF"/>
    <w:rsid w:val="005B68C3"/>
    <w:rsid w:val="005B716F"/>
    <w:rsid w:val="005C1094"/>
    <w:rsid w:val="005C204E"/>
    <w:rsid w:val="005C22D6"/>
    <w:rsid w:val="005C2757"/>
    <w:rsid w:val="005C2F53"/>
    <w:rsid w:val="005C5DD4"/>
    <w:rsid w:val="005C69FA"/>
    <w:rsid w:val="005D0029"/>
    <w:rsid w:val="005D05C7"/>
    <w:rsid w:val="005D1889"/>
    <w:rsid w:val="005D2579"/>
    <w:rsid w:val="005D33F6"/>
    <w:rsid w:val="005D3847"/>
    <w:rsid w:val="005D4320"/>
    <w:rsid w:val="005D4B0F"/>
    <w:rsid w:val="005D4F6E"/>
    <w:rsid w:val="005D66B3"/>
    <w:rsid w:val="005D6B6E"/>
    <w:rsid w:val="005D766A"/>
    <w:rsid w:val="005E06AA"/>
    <w:rsid w:val="005E0701"/>
    <w:rsid w:val="005E24DC"/>
    <w:rsid w:val="005E28B9"/>
    <w:rsid w:val="005E318B"/>
    <w:rsid w:val="005E34BD"/>
    <w:rsid w:val="005E494D"/>
    <w:rsid w:val="005E662E"/>
    <w:rsid w:val="005E6BD7"/>
    <w:rsid w:val="005E71B7"/>
    <w:rsid w:val="005F0EF5"/>
    <w:rsid w:val="005F13F3"/>
    <w:rsid w:val="005F1FEB"/>
    <w:rsid w:val="005F27A0"/>
    <w:rsid w:val="005F2815"/>
    <w:rsid w:val="005F3164"/>
    <w:rsid w:val="005F3CF4"/>
    <w:rsid w:val="005F4415"/>
    <w:rsid w:val="005F6E40"/>
    <w:rsid w:val="00601913"/>
    <w:rsid w:val="00601C41"/>
    <w:rsid w:val="00602028"/>
    <w:rsid w:val="00602C15"/>
    <w:rsid w:val="006032A0"/>
    <w:rsid w:val="0060421A"/>
    <w:rsid w:val="00607AB7"/>
    <w:rsid w:val="00607B7D"/>
    <w:rsid w:val="00611340"/>
    <w:rsid w:val="00611644"/>
    <w:rsid w:val="0061330D"/>
    <w:rsid w:val="006154D1"/>
    <w:rsid w:val="00615AA1"/>
    <w:rsid w:val="00615C96"/>
    <w:rsid w:val="00615FE9"/>
    <w:rsid w:val="006174FC"/>
    <w:rsid w:val="0062007D"/>
    <w:rsid w:val="006234A3"/>
    <w:rsid w:val="006234D1"/>
    <w:rsid w:val="00623B34"/>
    <w:rsid w:val="00624A70"/>
    <w:rsid w:val="00624E3D"/>
    <w:rsid w:val="006259CC"/>
    <w:rsid w:val="00625D20"/>
    <w:rsid w:val="006260D1"/>
    <w:rsid w:val="00626481"/>
    <w:rsid w:val="006308CD"/>
    <w:rsid w:val="006314DE"/>
    <w:rsid w:val="006339C2"/>
    <w:rsid w:val="00634816"/>
    <w:rsid w:val="00634CC1"/>
    <w:rsid w:val="00635197"/>
    <w:rsid w:val="0063636E"/>
    <w:rsid w:val="006363AA"/>
    <w:rsid w:val="0063758C"/>
    <w:rsid w:val="00637985"/>
    <w:rsid w:val="0064057C"/>
    <w:rsid w:val="00642C57"/>
    <w:rsid w:val="00642FB2"/>
    <w:rsid w:val="00643DFD"/>
    <w:rsid w:val="0064474A"/>
    <w:rsid w:val="006449AD"/>
    <w:rsid w:val="00644A56"/>
    <w:rsid w:val="00644DAA"/>
    <w:rsid w:val="00645209"/>
    <w:rsid w:val="00645222"/>
    <w:rsid w:val="00646267"/>
    <w:rsid w:val="006467F1"/>
    <w:rsid w:val="00646A8A"/>
    <w:rsid w:val="00646ED5"/>
    <w:rsid w:val="00647401"/>
    <w:rsid w:val="0064777F"/>
    <w:rsid w:val="00647931"/>
    <w:rsid w:val="00647EFB"/>
    <w:rsid w:val="00650169"/>
    <w:rsid w:val="00652918"/>
    <w:rsid w:val="00652E1B"/>
    <w:rsid w:val="00652E45"/>
    <w:rsid w:val="00653348"/>
    <w:rsid w:val="00653F32"/>
    <w:rsid w:val="006556FA"/>
    <w:rsid w:val="00656716"/>
    <w:rsid w:val="00656BD4"/>
    <w:rsid w:val="00657250"/>
    <w:rsid w:val="006600DC"/>
    <w:rsid w:val="00660605"/>
    <w:rsid w:val="006622B7"/>
    <w:rsid w:val="00662E0D"/>
    <w:rsid w:val="0066383C"/>
    <w:rsid w:val="0066428B"/>
    <w:rsid w:val="00664C4E"/>
    <w:rsid w:val="00665BFE"/>
    <w:rsid w:val="00666D70"/>
    <w:rsid w:val="00666F3D"/>
    <w:rsid w:val="006700D8"/>
    <w:rsid w:val="00670C79"/>
    <w:rsid w:val="00670DA7"/>
    <w:rsid w:val="00671536"/>
    <w:rsid w:val="0067280E"/>
    <w:rsid w:val="0067373F"/>
    <w:rsid w:val="006737CE"/>
    <w:rsid w:val="00674168"/>
    <w:rsid w:val="00674D58"/>
    <w:rsid w:val="00674E7A"/>
    <w:rsid w:val="0067569B"/>
    <w:rsid w:val="00677B92"/>
    <w:rsid w:val="00680184"/>
    <w:rsid w:val="00680196"/>
    <w:rsid w:val="006801F0"/>
    <w:rsid w:val="006803EA"/>
    <w:rsid w:val="006813E4"/>
    <w:rsid w:val="00683D39"/>
    <w:rsid w:val="00686310"/>
    <w:rsid w:val="00687A8C"/>
    <w:rsid w:val="00687FE8"/>
    <w:rsid w:val="0069177D"/>
    <w:rsid w:val="00691A55"/>
    <w:rsid w:val="00693450"/>
    <w:rsid w:val="00695912"/>
    <w:rsid w:val="00696435"/>
    <w:rsid w:val="006964C3"/>
    <w:rsid w:val="00697897"/>
    <w:rsid w:val="00697C9C"/>
    <w:rsid w:val="006A0DE6"/>
    <w:rsid w:val="006A20C6"/>
    <w:rsid w:val="006A430A"/>
    <w:rsid w:val="006A53C9"/>
    <w:rsid w:val="006A66BB"/>
    <w:rsid w:val="006B0230"/>
    <w:rsid w:val="006B075E"/>
    <w:rsid w:val="006B0F3D"/>
    <w:rsid w:val="006B135C"/>
    <w:rsid w:val="006B7F4B"/>
    <w:rsid w:val="006C15A1"/>
    <w:rsid w:val="006C1EBB"/>
    <w:rsid w:val="006C3986"/>
    <w:rsid w:val="006C492F"/>
    <w:rsid w:val="006C4F78"/>
    <w:rsid w:val="006C63AE"/>
    <w:rsid w:val="006C63C2"/>
    <w:rsid w:val="006C6A3E"/>
    <w:rsid w:val="006C711B"/>
    <w:rsid w:val="006C71A4"/>
    <w:rsid w:val="006D07D6"/>
    <w:rsid w:val="006D09F8"/>
    <w:rsid w:val="006D2138"/>
    <w:rsid w:val="006D37D0"/>
    <w:rsid w:val="006D46B5"/>
    <w:rsid w:val="006D52AD"/>
    <w:rsid w:val="006E0378"/>
    <w:rsid w:val="006E1DDD"/>
    <w:rsid w:val="006E48E4"/>
    <w:rsid w:val="006E4FBF"/>
    <w:rsid w:val="006E6287"/>
    <w:rsid w:val="006E688B"/>
    <w:rsid w:val="006E718D"/>
    <w:rsid w:val="006E7C08"/>
    <w:rsid w:val="006F128A"/>
    <w:rsid w:val="006F1F12"/>
    <w:rsid w:val="006F28C3"/>
    <w:rsid w:val="006F2A8A"/>
    <w:rsid w:val="006F2F9D"/>
    <w:rsid w:val="006F350D"/>
    <w:rsid w:val="006F4543"/>
    <w:rsid w:val="006F57C0"/>
    <w:rsid w:val="006F66B1"/>
    <w:rsid w:val="006F6F1D"/>
    <w:rsid w:val="006F72EC"/>
    <w:rsid w:val="006F7D98"/>
    <w:rsid w:val="00700559"/>
    <w:rsid w:val="007009B3"/>
    <w:rsid w:val="007022F9"/>
    <w:rsid w:val="0070275F"/>
    <w:rsid w:val="00703E3C"/>
    <w:rsid w:val="00704A0E"/>
    <w:rsid w:val="007050B8"/>
    <w:rsid w:val="00705F15"/>
    <w:rsid w:val="0070604C"/>
    <w:rsid w:val="00707826"/>
    <w:rsid w:val="00707949"/>
    <w:rsid w:val="007118D7"/>
    <w:rsid w:val="00711E14"/>
    <w:rsid w:val="00712405"/>
    <w:rsid w:val="0071261E"/>
    <w:rsid w:val="00713515"/>
    <w:rsid w:val="00714DB1"/>
    <w:rsid w:val="0071565D"/>
    <w:rsid w:val="00720217"/>
    <w:rsid w:val="00720DEB"/>
    <w:rsid w:val="00721E13"/>
    <w:rsid w:val="0072345C"/>
    <w:rsid w:val="00723783"/>
    <w:rsid w:val="00723AC4"/>
    <w:rsid w:val="00723BA7"/>
    <w:rsid w:val="00723E83"/>
    <w:rsid w:val="0072479B"/>
    <w:rsid w:val="00724EF9"/>
    <w:rsid w:val="0072598F"/>
    <w:rsid w:val="00725A79"/>
    <w:rsid w:val="007263F0"/>
    <w:rsid w:val="00726D70"/>
    <w:rsid w:val="00727AF1"/>
    <w:rsid w:val="00727BB5"/>
    <w:rsid w:val="00727F76"/>
    <w:rsid w:val="0073043A"/>
    <w:rsid w:val="00730AD6"/>
    <w:rsid w:val="00730DF6"/>
    <w:rsid w:val="007314E7"/>
    <w:rsid w:val="0073203A"/>
    <w:rsid w:val="00735154"/>
    <w:rsid w:val="007359E9"/>
    <w:rsid w:val="00736318"/>
    <w:rsid w:val="00736CB9"/>
    <w:rsid w:val="00741AA7"/>
    <w:rsid w:val="007422ED"/>
    <w:rsid w:val="00742BEF"/>
    <w:rsid w:val="00742CE2"/>
    <w:rsid w:val="0074315A"/>
    <w:rsid w:val="007478F2"/>
    <w:rsid w:val="00752B06"/>
    <w:rsid w:val="00757DD1"/>
    <w:rsid w:val="00757F29"/>
    <w:rsid w:val="007600AE"/>
    <w:rsid w:val="0076088A"/>
    <w:rsid w:val="00760C9F"/>
    <w:rsid w:val="0076289B"/>
    <w:rsid w:val="00763CC1"/>
    <w:rsid w:val="007640CC"/>
    <w:rsid w:val="007642C7"/>
    <w:rsid w:val="00764804"/>
    <w:rsid w:val="00766C31"/>
    <w:rsid w:val="00766E15"/>
    <w:rsid w:val="007678A9"/>
    <w:rsid w:val="00770E01"/>
    <w:rsid w:val="00770FE4"/>
    <w:rsid w:val="00771798"/>
    <w:rsid w:val="00771F93"/>
    <w:rsid w:val="00774611"/>
    <w:rsid w:val="007746EF"/>
    <w:rsid w:val="00775531"/>
    <w:rsid w:val="0077582F"/>
    <w:rsid w:val="00775875"/>
    <w:rsid w:val="0078387C"/>
    <w:rsid w:val="0078437B"/>
    <w:rsid w:val="00784848"/>
    <w:rsid w:val="00784A78"/>
    <w:rsid w:val="00784C56"/>
    <w:rsid w:val="00785492"/>
    <w:rsid w:val="00786699"/>
    <w:rsid w:val="007872E4"/>
    <w:rsid w:val="00787457"/>
    <w:rsid w:val="007877BC"/>
    <w:rsid w:val="00787A65"/>
    <w:rsid w:val="007912A9"/>
    <w:rsid w:val="007928CE"/>
    <w:rsid w:val="00793B14"/>
    <w:rsid w:val="00794470"/>
    <w:rsid w:val="007949E0"/>
    <w:rsid w:val="00794A83"/>
    <w:rsid w:val="00794CB0"/>
    <w:rsid w:val="00795327"/>
    <w:rsid w:val="00795ECB"/>
    <w:rsid w:val="00797A35"/>
    <w:rsid w:val="007A092D"/>
    <w:rsid w:val="007A18B0"/>
    <w:rsid w:val="007A20E4"/>
    <w:rsid w:val="007A28A7"/>
    <w:rsid w:val="007A294C"/>
    <w:rsid w:val="007A355E"/>
    <w:rsid w:val="007A4087"/>
    <w:rsid w:val="007A506B"/>
    <w:rsid w:val="007A5914"/>
    <w:rsid w:val="007A5DF7"/>
    <w:rsid w:val="007B0CE1"/>
    <w:rsid w:val="007B278F"/>
    <w:rsid w:val="007B37F8"/>
    <w:rsid w:val="007B3AF6"/>
    <w:rsid w:val="007B5C1D"/>
    <w:rsid w:val="007B66A7"/>
    <w:rsid w:val="007C16BF"/>
    <w:rsid w:val="007C1A8B"/>
    <w:rsid w:val="007C1C9B"/>
    <w:rsid w:val="007C358C"/>
    <w:rsid w:val="007C3CB1"/>
    <w:rsid w:val="007C44A6"/>
    <w:rsid w:val="007D1532"/>
    <w:rsid w:val="007D1FB4"/>
    <w:rsid w:val="007D26F6"/>
    <w:rsid w:val="007D383B"/>
    <w:rsid w:val="007D59C7"/>
    <w:rsid w:val="007D5B0F"/>
    <w:rsid w:val="007D6A9B"/>
    <w:rsid w:val="007D6BE6"/>
    <w:rsid w:val="007D7062"/>
    <w:rsid w:val="007E2B3E"/>
    <w:rsid w:val="007E2F46"/>
    <w:rsid w:val="007E315C"/>
    <w:rsid w:val="007E474D"/>
    <w:rsid w:val="007E56C4"/>
    <w:rsid w:val="007E5BF4"/>
    <w:rsid w:val="007E6D8E"/>
    <w:rsid w:val="007E7000"/>
    <w:rsid w:val="007F13A9"/>
    <w:rsid w:val="007F14F5"/>
    <w:rsid w:val="007F39A1"/>
    <w:rsid w:val="007F66BC"/>
    <w:rsid w:val="007F7226"/>
    <w:rsid w:val="0080159B"/>
    <w:rsid w:val="008022C0"/>
    <w:rsid w:val="008041B9"/>
    <w:rsid w:val="008042E9"/>
    <w:rsid w:val="0080435E"/>
    <w:rsid w:val="00805594"/>
    <w:rsid w:val="0080633D"/>
    <w:rsid w:val="00806A0E"/>
    <w:rsid w:val="00810336"/>
    <w:rsid w:val="00812F1A"/>
    <w:rsid w:val="008147DC"/>
    <w:rsid w:val="00816500"/>
    <w:rsid w:val="00820027"/>
    <w:rsid w:val="008204EA"/>
    <w:rsid w:val="00820EC8"/>
    <w:rsid w:val="00821135"/>
    <w:rsid w:val="00821A2E"/>
    <w:rsid w:val="00821E21"/>
    <w:rsid w:val="00822951"/>
    <w:rsid w:val="00823B75"/>
    <w:rsid w:val="00823B92"/>
    <w:rsid w:val="00824077"/>
    <w:rsid w:val="00824F0E"/>
    <w:rsid w:val="008259E4"/>
    <w:rsid w:val="00826EED"/>
    <w:rsid w:val="00826F00"/>
    <w:rsid w:val="008274E4"/>
    <w:rsid w:val="00830CBA"/>
    <w:rsid w:val="00831008"/>
    <w:rsid w:val="008311B3"/>
    <w:rsid w:val="00833990"/>
    <w:rsid w:val="008339F9"/>
    <w:rsid w:val="00833F5C"/>
    <w:rsid w:val="00834D8E"/>
    <w:rsid w:val="0083530C"/>
    <w:rsid w:val="00837BAB"/>
    <w:rsid w:val="00842D9D"/>
    <w:rsid w:val="00842DDA"/>
    <w:rsid w:val="00843606"/>
    <w:rsid w:val="008438F3"/>
    <w:rsid w:val="00843E24"/>
    <w:rsid w:val="008441CD"/>
    <w:rsid w:val="0084634B"/>
    <w:rsid w:val="0084657A"/>
    <w:rsid w:val="00847EA6"/>
    <w:rsid w:val="00850946"/>
    <w:rsid w:val="008522EF"/>
    <w:rsid w:val="008532C2"/>
    <w:rsid w:val="00854FEE"/>
    <w:rsid w:val="00857F6E"/>
    <w:rsid w:val="00860370"/>
    <w:rsid w:val="00861374"/>
    <w:rsid w:val="008619CE"/>
    <w:rsid w:val="00862B66"/>
    <w:rsid w:val="00864B16"/>
    <w:rsid w:val="008705E3"/>
    <w:rsid w:val="00870635"/>
    <w:rsid w:val="0087111B"/>
    <w:rsid w:val="008712A0"/>
    <w:rsid w:val="0087248D"/>
    <w:rsid w:val="00873224"/>
    <w:rsid w:val="008735A0"/>
    <w:rsid w:val="00873608"/>
    <w:rsid w:val="00873E3D"/>
    <w:rsid w:val="008752C0"/>
    <w:rsid w:val="00875BCB"/>
    <w:rsid w:val="00876521"/>
    <w:rsid w:val="00880D07"/>
    <w:rsid w:val="00881537"/>
    <w:rsid w:val="008825C0"/>
    <w:rsid w:val="00883375"/>
    <w:rsid w:val="008838DB"/>
    <w:rsid w:val="00884CA5"/>
    <w:rsid w:val="00885C31"/>
    <w:rsid w:val="0088623E"/>
    <w:rsid w:val="008873F6"/>
    <w:rsid w:val="00887FA7"/>
    <w:rsid w:val="0089074E"/>
    <w:rsid w:val="008909A5"/>
    <w:rsid w:val="008909E5"/>
    <w:rsid w:val="00890D08"/>
    <w:rsid w:val="00891451"/>
    <w:rsid w:val="00891CE2"/>
    <w:rsid w:val="00894A0A"/>
    <w:rsid w:val="00894B05"/>
    <w:rsid w:val="008955BC"/>
    <w:rsid w:val="008965DD"/>
    <w:rsid w:val="008975E9"/>
    <w:rsid w:val="008A1CD6"/>
    <w:rsid w:val="008A2683"/>
    <w:rsid w:val="008A2707"/>
    <w:rsid w:val="008A2CEF"/>
    <w:rsid w:val="008A33A8"/>
    <w:rsid w:val="008A3EC9"/>
    <w:rsid w:val="008A44AD"/>
    <w:rsid w:val="008A45B5"/>
    <w:rsid w:val="008A47AC"/>
    <w:rsid w:val="008A4B30"/>
    <w:rsid w:val="008A5644"/>
    <w:rsid w:val="008A6377"/>
    <w:rsid w:val="008B11BB"/>
    <w:rsid w:val="008B186A"/>
    <w:rsid w:val="008B2AA3"/>
    <w:rsid w:val="008B33C1"/>
    <w:rsid w:val="008B466B"/>
    <w:rsid w:val="008B4F8B"/>
    <w:rsid w:val="008B707D"/>
    <w:rsid w:val="008B7A75"/>
    <w:rsid w:val="008C0335"/>
    <w:rsid w:val="008C1811"/>
    <w:rsid w:val="008C2535"/>
    <w:rsid w:val="008C2751"/>
    <w:rsid w:val="008C471E"/>
    <w:rsid w:val="008C6322"/>
    <w:rsid w:val="008C7047"/>
    <w:rsid w:val="008D050C"/>
    <w:rsid w:val="008D0751"/>
    <w:rsid w:val="008D3085"/>
    <w:rsid w:val="008D46C2"/>
    <w:rsid w:val="008D498E"/>
    <w:rsid w:val="008D4B12"/>
    <w:rsid w:val="008D5E48"/>
    <w:rsid w:val="008D7CDA"/>
    <w:rsid w:val="008E14AF"/>
    <w:rsid w:val="008E1534"/>
    <w:rsid w:val="008E28F4"/>
    <w:rsid w:val="008E3D03"/>
    <w:rsid w:val="008E43D1"/>
    <w:rsid w:val="008E48D1"/>
    <w:rsid w:val="008E4E71"/>
    <w:rsid w:val="008E534F"/>
    <w:rsid w:val="008E56F8"/>
    <w:rsid w:val="008E5DAF"/>
    <w:rsid w:val="008E61EE"/>
    <w:rsid w:val="008E64CB"/>
    <w:rsid w:val="008F0588"/>
    <w:rsid w:val="008F06E5"/>
    <w:rsid w:val="008F11D0"/>
    <w:rsid w:val="008F29CC"/>
    <w:rsid w:val="008F2D62"/>
    <w:rsid w:val="008F32CD"/>
    <w:rsid w:val="008F3303"/>
    <w:rsid w:val="008F35A0"/>
    <w:rsid w:val="008F41E3"/>
    <w:rsid w:val="008F4914"/>
    <w:rsid w:val="008F6907"/>
    <w:rsid w:val="008F7D4B"/>
    <w:rsid w:val="00900614"/>
    <w:rsid w:val="009009A6"/>
    <w:rsid w:val="00901A7B"/>
    <w:rsid w:val="00902701"/>
    <w:rsid w:val="0090277D"/>
    <w:rsid w:val="0090418B"/>
    <w:rsid w:val="00905E05"/>
    <w:rsid w:val="009064F7"/>
    <w:rsid w:val="009079AE"/>
    <w:rsid w:val="00907A27"/>
    <w:rsid w:val="00907A95"/>
    <w:rsid w:val="00907AEA"/>
    <w:rsid w:val="00907B96"/>
    <w:rsid w:val="00910094"/>
    <w:rsid w:val="00910134"/>
    <w:rsid w:val="00910F06"/>
    <w:rsid w:val="00911BC0"/>
    <w:rsid w:val="00913BD5"/>
    <w:rsid w:val="00913C98"/>
    <w:rsid w:val="0091403A"/>
    <w:rsid w:val="00914A03"/>
    <w:rsid w:val="009158F1"/>
    <w:rsid w:val="00915DA8"/>
    <w:rsid w:val="00916869"/>
    <w:rsid w:val="00916B41"/>
    <w:rsid w:val="009176B0"/>
    <w:rsid w:val="0092117E"/>
    <w:rsid w:val="00922398"/>
    <w:rsid w:val="00922760"/>
    <w:rsid w:val="00922C11"/>
    <w:rsid w:val="00923B3E"/>
    <w:rsid w:val="009240BF"/>
    <w:rsid w:val="0092515F"/>
    <w:rsid w:val="0092665F"/>
    <w:rsid w:val="00926ABC"/>
    <w:rsid w:val="009273B3"/>
    <w:rsid w:val="009276B0"/>
    <w:rsid w:val="00931AF0"/>
    <w:rsid w:val="009359F1"/>
    <w:rsid w:val="00935C77"/>
    <w:rsid w:val="00935D53"/>
    <w:rsid w:val="00936CC4"/>
    <w:rsid w:val="00937743"/>
    <w:rsid w:val="009377E2"/>
    <w:rsid w:val="009377F0"/>
    <w:rsid w:val="009404CF"/>
    <w:rsid w:val="00944ABA"/>
    <w:rsid w:val="00947EA6"/>
    <w:rsid w:val="00953180"/>
    <w:rsid w:val="00954311"/>
    <w:rsid w:val="009545F6"/>
    <w:rsid w:val="00954B14"/>
    <w:rsid w:val="0095587D"/>
    <w:rsid w:val="00956192"/>
    <w:rsid w:val="009561EC"/>
    <w:rsid w:val="00961D3B"/>
    <w:rsid w:val="00963968"/>
    <w:rsid w:val="00964C63"/>
    <w:rsid w:val="00965DE3"/>
    <w:rsid w:val="0096680B"/>
    <w:rsid w:val="0096697E"/>
    <w:rsid w:val="00966D02"/>
    <w:rsid w:val="009678EA"/>
    <w:rsid w:val="0097133F"/>
    <w:rsid w:val="009719A4"/>
    <w:rsid w:val="00972192"/>
    <w:rsid w:val="00973701"/>
    <w:rsid w:val="00973B5C"/>
    <w:rsid w:val="00973DEE"/>
    <w:rsid w:val="00975D69"/>
    <w:rsid w:val="00975D7D"/>
    <w:rsid w:val="00976515"/>
    <w:rsid w:val="00980148"/>
    <w:rsid w:val="00980800"/>
    <w:rsid w:val="00980CEB"/>
    <w:rsid w:val="009817E8"/>
    <w:rsid w:val="00981C86"/>
    <w:rsid w:val="00982B95"/>
    <w:rsid w:val="009833F1"/>
    <w:rsid w:val="00983417"/>
    <w:rsid w:val="00983CAC"/>
    <w:rsid w:val="00985AB5"/>
    <w:rsid w:val="00987A22"/>
    <w:rsid w:val="00990092"/>
    <w:rsid w:val="00990429"/>
    <w:rsid w:val="00993100"/>
    <w:rsid w:val="0099350E"/>
    <w:rsid w:val="00993C1B"/>
    <w:rsid w:val="00995A36"/>
    <w:rsid w:val="00996E8E"/>
    <w:rsid w:val="009A06A1"/>
    <w:rsid w:val="009A665B"/>
    <w:rsid w:val="009A6CC6"/>
    <w:rsid w:val="009A75FA"/>
    <w:rsid w:val="009A76F9"/>
    <w:rsid w:val="009A78E1"/>
    <w:rsid w:val="009B203A"/>
    <w:rsid w:val="009B23EA"/>
    <w:rsid w:val="009B3290"/>
    <w:rsid w:val="009B381E"/>
    <w:rsid w:val="009B3BF6"/>
    <w:rsid w:val="009B56E5"/>
    <w:rsid w:val="009B71DC"/>
    <w:rsid w:val="009C238D"/>
    <w:rsid w:val="009C25D9"/>
    <w:rsid w:val="009C2752"/>
    <w:rsid w:val="009C2B24"/>
    <w:rsid w:val="009C2D1E"/>
    <w:rsid w:val="009C44A4"/>
    <w:rsid w:val="009C4A15"/>
    <w:rsid w:val="009C5EAE"/>
    <w:rsid w:val="009C64DD"/>
    <w:rsid w:val="009C6624"/>
    <w:rsid w:val="009C70FA"/>
    <w:rsid w:val="009C7327"/>
    <w:rsid w:val="009D1BA6"/>
    <w:rsid w:val="009D4DAF"/>
    <w:rsid w:val="009D4F3B"/>
    <w:rsid w:val="009D53EC"/>
    <w:rsid w:val="009D5452"/>
    <w:rsid w:val="009D5A94"/>
    <w:rsid w:val="009D6969"/>
    <w:rsid w:val="009E07F3"/>
    <w:rsid w:val="009E1366"/>
    <w:rsid w:val="009E195D"/>
    <w:rsid w:val="009E29C9"/>
    <w:rsid w:val="009E3F78"/>
    <w:rsid w:val="009E4949"/>
    <w:rsid w:val="009E5884"/>
    <w:rsid w:val="009E58ED"/>
    <w:rsid w:val="009E6374"/>
    <w:rsid w:val="009E63F1"/>
    <w:rsid w:val="009E6591"/>
    <w:rsid w:val="009F06B0"/>
    <w:rsid w:val="009F22AF"/>
    <w:rsid w:val="009F2364"/>
    <w:rsid w:val="009F327C"/>
    <w:rsid w:val="009F366F"/>
    <w:rsid w:val="009F4CAE"/>
    <w:rsid w:val="009F54C3"/>
    <w:rsid w:val="009F6A6B"/>
    <w:rsid w:val="009F799C"/>
    <w:rsid w:val="00A00177"/>
    <w:rsid w:val="00A00346"/>
    <w:rsid w:val="00A05580"/>
    <w:rsid w:val="00A0637C"/>
    <w:rsid w:val="00A07A20"/>
    <w:rsid w:val="00A112E7"/>
    <w:rsid w:val="00A11A6C"/>
    <w:rsid w:val="00A11B81"/>
    <w:rsid w:val="00A15022"/>
    <w:rsid w:val="00A17529"/>
    <w:rsid w:val="00A17682"/>
    <w:rsid w:val="00A20252"/>
    <w:rsid w:val="00A20532"/>
    <w:rsid w:val="00A20814"/>
    <w:rsid w:val="00A20D72"/>
    <w:rsid w:val="00A2114C"/>
    <w:rsid w:val="00A225D0"/>
    <w:rsid w:val="00A235CA"/>
    <w:rsid w:val="00A24686"/>
    <w:rsid w:val="00A25593"/>
    <w:rsid w:val="00A27068"/>
    <w:rsid w:val="00A2708A"/>
    <w:rsid w:val="00A30498"/>
    <w:rsid w:val="00A33926"/>
    <w:rsid w:val="00A34796"/>
    <w:rsid w:val="00A35590"/>
    <w:rsid w:val="00A40053"/>
    <w:rsid w:val="00A401BA"/>
    <w:rsid w:val="00A4149C"/>
    <w:rsid w:val="00A4290C"/>
    <w:rsid w:val="00A42D45"/>
    <w:rsid w:val="00A44D23"/>
    <w:rsid w:val="00A45905"/>
    <w:rsid w:val="00A503B1"/>
    <w:rsid w:val="00A52229"/>
    <w:rsid w:val="00A54F6C"/>
    <w:rsid w:val="00A55703"/>
    <w:rsid w:val="00A56581"/>
    <w:rsid w:val="00A56AF1"/>
    <w:rsid w:val="00A574DC"/>
    <w:rsid w:val="00A60FAE"/>
    <w:rsid w:val="00A61B9E"/>
    <w:rsid w:val="00A63839"/>
    <w:rsid w:val="00A6445C"/>
    <w:rsid w:val="00A64E0E"/>
    <w:rsid w:val="00A66CEB"/>
    <w:rsid w:val="00A6751F"/>
    <w:rsid w:val="00A70147"/>
    <w:rsid w:val="00A722BF"/>
    <w:rsid w:val="00A73ACA"/>
    <w:rsid w:val="00A73FB8"/>
    <w:rsid w:val="00A7487E"/>
    <w:rsid w:val="00A749BF"/>
    <w:rsid w:val="00A74CC6"/>
    <w:rsid w:val="00A75729"/>
    <w:rsid w:val="00A76B01"/>
    <w:rsid w:val="00A76DC3"/>
    <w:rsid w:val="00A775CA"/>
    <w:rsid w:val="00A77929"/>
    <w:rsid w:val="00A80E81"/>
    <w:rsid w:val="00A822B2"/>
    <w:rsid w:val="00A82648"/>
    <w:rsid w:val="00A82B71"/>
    <w:rsid w:val="00A83729"/>
    <w:rsid w:val="00A85D7B"/>
    <w:rsid w:val="00A87739"/>
    <w:rsid w:val="00A90503"/>
    <w:rsid w:val="00A93216"/>
    <w:rsid w:val="00A93F34"/>
    <w:rsid w:val="00A940A2"/>
    <w:rsid w:val="00A94B13"/>
    <w:rsid w:val="00A96C0B"/>
    <w:rsid w:val="00A96D1B"/>
    <w:rsid w:val="00A97519"/>
    <w:rsid w:val="00A979ED"/>
    <w:rsid w:val="00AA0091"/>
    <w:rsid w:val="00AA0BC7"/>
    <w:rsid w:val="00AA1906"/>
    <w:rsid w:val="00AA203D"/>
    <w:rsid w:val="00AA279E"/>
    <w:rsid w:val="00AA2D93"/>
    <w:rsid w:val="00AA37DC"/>
    <w:rsid w:val="00AA37F8"/>
    <w:rsid w:val="00AA45D6"/>
    <w:rsid w:val="00AA537E"/>
    <w:rsid w:val="00AA59A0"/>
    <w:rsid w:val="00AA6307"/>
    <w:rsid w:val="00AA6FD4"/>
    <w:rsid w:val="00AA719F"/>
    <w:rsid w:val="00AA7D7A"/>
    <w:rsid w:val="00AB0812"/>
    <w:rsid w:val="00AB2920"/>
    <w:rsid w:val="00AB385C"/>
    <w:rsid w:val="00AB5389"/>
    <w:rsid w:val="00AB5EBB"/>
    <w:rsid w:val="00AC0A94"/>
    <w:rsid w:val="00AC1A4B"/>
    <w:rsid w:val="00AC1ADA"/>
    <w:rsid w:val="00AC1E3C"/>
    <w:rsid w:val="00AC3642"/>
    <w:rsid w:val="00AC4CCD"/>
    <w:rsid w:val="00AC4CE6"/>
    <w:rsid w:val="00AC5A8E"/>
    <w:rsid w:val="00AD0126"/>
    <w:rsid w:val="00AD01C2"/>
    <w:rsid w:val="00AD0FCB"/>
    <w:rsid w:val="00AD159C"/>
    <w:rsid w:val="00AD1955"/>
    <w:rsid w:val="00AD320D"/>
    <w:rsid w:val="00AD373D"/>
    <w:rsid w:val="00AD4DD2"/>
    <w:rsid w:val="00AE0D66"/>
    <w:rsid w:val="00AE1333"/>
    <w:rsid w:val="00AE4ADF"/>
    <w:rsid w:val="00AE5AB3"/>
    <w:rsid w:val="00AE6563"/>
    <w:rsid w:val="00AE67D6"/>
    <w:rsid w:val="00AE6CC7"/>
    <w:rsid w:val="00AE6FA7"/>
    <w:rsid w:val="00AE7035"/>
    <w:rsid w:val="00AE7757"/>
    <w:rsid w:val="00AE7B14"/>
    <w:rsid w:val="00AF060E"/>
    <w:rsid w:val="00AF1CF3"/>
    <w:rsid w:val="00AF2D42"/>
    <w:rsid w:val="00AF46FE"/>
    <w:rsid w:val="00AF4F24"/>
    <w:rsid w:val="00AF569A"/>
    <w:rsid w:val="00AF572D"/>
    <w:rsid w:val="00AF5EEF"/>
    <w:rsid w:val="00AF79CB"/>
    <w:rsid w:val="00AF7F1E"/>
    <w:rsid w:val="00B00D95"/>
    <w:rsid w:val="00B012CD"/>
    <w:rsid w:val="00B01639"/>
    <w:rsid w:val="00B03B71"/>
    <w:rsid w:val="00B049DC"/>
    <w:rsid w:val="00B07D81"/>
    <w:rsid w:val="00B114F6"/>
    <w:rsid w:val="00B15C71"/>
    <w:rsid w:val="00B15EDA"/>
    <w:rsid w:val="00B166B5"/>
    <w:rsid w:val="00B174D2"/>
    <w:rsid w:val="00B202E1"/>
    <w:rsid w:val="00B216CF"/>
    <w:rsid w:val="00B21946"/>
    <w:rsid w:val="00B22911"/>
    <w:rsid w:val="00B23DB5"/>
    <w:rsid w:val="00B24680"/>
    <w:rsid w:val="00B246B4"/>
    <w:rsid w:val="00B262C8"/>
    <w:rsid w:val="00B26DB6"/>
    <w:rsid w:val="00B3015E"/>
    <w:rsid w:val="00B30D09"/>
    <w:rsid w:val="00B34382"/>
    <w:rsid w:val="00B34C51"/>
    <w:rsid w:val="00B3525C"/>
    <w:rsid w:val="00B36020"/>
    <w:rsid w:val="00B37313"/>
    <w:rsid w:val="00B3735E"/>
    <w:rsid w:val="00B41404"/>
    <w:rsid w:val="00B41EA1"/>
    <w:rsid w:val="00B42A83"/>
    <w:rsid w:val="00B452A3"/>
    <w:rsid w:val="00B4537B"/>
    <w:rsid w:val="00B464E7"/>
    <w:rsid w:val="00B46951"/>
    <w:rsid w:val="00B505F9"/>
    <w:rsid w:val="00B50E2D"/>
    <w:rsid w:val="00B510BF"/>
    <w:rsid w:val="00B523ED"/>
    <w:rsid w:val="00B5244A"/>
    <w:rsid w:val="00B531AB"/>
    <w:rsid w:val="00B53C34"/>
    <w:rsid w:val="00B56764"/>
    <w:rsid w:val="00B6208F"/>
    <w:rsid w:val="00B651E4"/>
    <w:rsid w:val="00B65791"/>
    <w:rsid w:val="00B66A36"/>
    <w:rsid w:val="00B70DD5"/>
    <w:rsid w:val="00B72438"/>
    <w:rsid w:val="00B72BAB"/>
    <w:rsid w:val="00B732F8"/>
    <w:rsid w:val="00B735C4"/>
    <w:rsid w:val="00B74559"/>
    <w:rsid w:val="00B76557"/>
    <w:rsid w:val="00B802F6"/>
    <w:rsid w:val="00B85489"/>
    <w:rsid w:val="00B85AAB"/>
    <w:rsid w:val="00B86B83"/>
    <w:rsid w:val="00B87179"/>
    <w:rsid w:val="00B9048A"/>
    <w:rsid w:val="00B906E1"/>
    <w:rsid w:val="00B90F09"/>
    <w:rsid w:val="00B93B50"/>
    <w:rsid w:val="00B9417B"/>
    <w:rsid w:val="00B951FF"/>
    <w:rsid w:val="00B978E4"/>
    <w:rsid w:val="00BA000A"/>
    <w:rsid w:val="00BA0F40"/>
    <w:rsid w:val="00BA118B"/>
    <w:rsid w:val="00BA12B3"/>
    <w:rsid w:val="00BA1894"/>
    <w:rsid w:val="00BA328B"/>
    <w:rsid w:val="00BA3AE2"/>
    <w:rsid w:val="00BA3D5F"/>
    <w:rsid w:val="00BA47F0"/>
    <w:rsid w:val="00BA4B87"/>
    <w:rsid w:val="00BA4E0F"/>
    <w:rsid w:val="00BA4F6A"/>
    <w:rsid w:val="00BB0782"/>
    <w:rsid w:val="00BB0CAB"/>
    <w:rsid w:val="00BB0DE5"/>
    <w:rsid w:val="00BB1C7E"/>
    <w:rsid w:val="00BB2CCF"/>
    <w:rsid w:val="00BB2E04"/>
    <w:rsid w:val="00BB3000"/>
    <w:rsid w:val="00BB34E3"/>
    <w:rsid w:val="00BB4704"/>
    <w:rsid w:val="00BB5721"/>
    <w:rsid w:val="00BB69DB"/>
    <w:rsid w:val="00BB6D31"/>
    <w:rsid w:val="00BB6F82"/>
    <w:rsid w:val="00BC2BA2"/>
    <w:rsid w:val="00BC2ED4"/>
    <w:rsid w:val="00BC36B3"/>
    <w:rsid w:val="00BC6BCA"/>
    <w:rsid w:val="00BD0693"/>
    <w:rsid w:val="00BD08E5"/>
    <w:rsid w:val="00BD0CA8"/>
    <w:rsid w:val="00BD0CCE"/>
    <w:rsid w:val="00BD0F2D"/>
    <w:rsid w:val="00BD1014"/>
    <w:rsid w:val="00BD396E"/>
    <w:rsid w:val="00BD4914"/>
    <w:rsid w:val="00BD55B7"/>
    <w:rsid w:val="00BD5D7F"/>
    <w:rsid w:val="00BD659A"/>
    <w:rsid w:val="00BD7AF5"/>
    <w:rsid w:val="00BD7F12"/>
    <w:rsid w:val="00BE0572"/>
    <w:rsid w:val="00BE0F0E"/>
    <w:rsid w:val="00BE20C3"/>
    <w:rsid w:val="00BE2331"/>
    <w:rsid w:val="00BE470D"/>
    <w:rsid w:val="00BE4A53"/>
    <w:rsid w:val="00BE7875"/>
    <w:rsid w:val="00BF0642"/>
    <w:rsid w:val="00BF1223"/>
    <w:rsid w:val="00BF1569"/>
    <w:rsid w:val="00BF21B1"/>
    <w:rsid w:val="00BF2635"/>
    <w:rsid w:val="00BF29AC"/>
    <w:rsid w:val="00BF3463"/>
    <w:rsid w:val="00BF4912"/>
    <w:rsid w:val="00BF4B8F"/>
    <w:rsid w:val="00C000FD"/>
    <w:rsid w:val="00C005BC"/>
    <w:rsid w:val="00C01DF1"/>
    <w:rsid w:val="00C0312D"/>
    <w:rsid w:val="00C033E3"/>
    <w:rsid w:val="00C04D83"/>
    <w:rsid w:val="00C0763F"/>
    <w:rsid w:val="00C07D50"/>
    <w:rsid w:val="00C07EC3"/>
    <w:rsid w:val="00C10285"/>
    <w:rsid w:val="00C1070D"/>
    <w:rsid w:val="00C10B3B"/>
    <w:rsid w:val="00C11ECE"/>
    <w:rsid w:val="00C129DE"/>
    <w:rsid w:val="00C13AE9"/>
    <w:rsid w:val="00C150BB"/>
    <w:rsid w:val="00C16B79"/>
    <w:rsid w:val="00C17E5F"/>
    <w:rsid w:val="00C2099E"/>
    <w:rsid w:val="00C218F6"/>
    <w:rsid w:val="00C224C0"/>
    <w:rsid w:val="00C22816"/>
    <w:rsid w:val="00C23B63"/>
    <w:rsid w:val="00C23CF0"/>
    <w:rsid w:val="00C2497B"/>
    <w:rsid w:val="00C249F4"/>
    <w:rsid w:val="00C25F53"/>
    <w:rsid w:val="00C26C10"/>
    <w:rsid w:val="00C31272"/>
    <w:rsid w:val="00C31BB5"/>
    <w:rsid w:val="00C32F96"/>
    <w:rsid w:val="00C34562"/>
    <w:rsid w:val="00C34AAA"/>
    <w:rsid w:val="00C369F9"/>
    <w:rsid w:val="00C37613"/>
    <w:rsid w:val="00C46976"/>
    <w:rsid w:val="00C47AA5"/>
    <w:rsid w:val="00C50DB5"/>
    <w:rsid w:val="00C51826"/>
    <w:rsid w:val="00C525CD"/>
    <w:rsid w:val="00C52A04"/>
    <w:rsid w:val="00C52F58"/>
    <w:rsid w:val="00C539C5"/>
    <w:rsid w:val="00C5468F"/>
    <w:rsid w:val="00C551BE"/>
    <w:rsid w:val="00C55F9D"/>
    <w:rsid w:val="00C57805"/>
    <w:rsid w:val="00C579A7"/>
    <w:rsid w:val="00C579D5"/>
    <w:rsid w:val="00C57FF1"/>
    <w:rsid w:val="00C60145"/>
    <w:rsid w:val="00C607A9"/>
    <w:rsid w:val="00C60818"/>
    <w:rsid w:val="00C60836"/>
    <w:rsid w:val="00C60B49"/>
    <w:rsid w:val="00C61564"/>
    <w:rsid w:val="00C6168E"/>
    <w:rsid w:val="00C617F0"/>
    <w:rsid w:val="00C62223"/>
    <w:rsid w:val="00C63544"/>
    <w:rsid w:val="00C715BD"/>
    <w:rsid w:val="00C7228F"/>
    <w:rsid w:val="00C73384"/>
    <w:rsid w:val="00C76128"/>
    <w:rsid w:val="00C82776"/>
    <w:rsid w:val="00C8303E"/>
    <w:rsid w:val="00C832CA"/>
    <w:rsid w:val="00C83C7F"/>
    <w:rsid w:val="00C84EC9"/>
    <w:rsid w:val="00C85731"/>
    <w:rsid w:val="00C8685C"/>
    <w:rsid w:val="00C87826"/>
    <w:rsid w:val="00C900B9"/>
    <w:rsid w:val="00C905DC"/>
    <w:rsid w:val="00C9066A"/>
    <w:rsid w:val="00C90AE0"/>
    <w:rsid w:val="00C911BB"/>
    <w:rsid w:val="00C926AE"/>
    <w:rsid w:val="00C92CA5"/>
    <w:rsid w:val="00C9400D"/>
    <w:rsid w:val="00C9595A"/>
    <w:rsid w:val="00CA0628"/>
    <w:rsid w:val="00CA0FE5"/>
    <w:rsid w:val="00CA1B3B"/>
    <w:rsid w:val="00CA30BF"/>
    <w:rsid w:val="00CA3DE3"/>
    <w:rsid w:val="00CA560E"/>
    <w:rsid w:val="00CA5CC9"/>
    <w:rsid w:val="00CA723F"/>
    <w:rsid w:val="00CB09CE"/>
    <w:rsid w:val="00CB1B1A"/>
    <w:rsid w:val="00CB2A6E"/>
    <w:rsid w:val="00CB6C17"/>
    <w:rsid w:val="00CB7304"/>
    <w:rsid w:val="00CB78C4"/>
    <w:rsid w:val="00CC0897"/>
    <w:rsid w:val="00CC1CB4"/>
    <w:rsid w:val="00CC3478"/>
    <w:rsid w:val="00CC7D0A"/>
    <w:rsid w:val="00CD02AB"/>
    <w:rsid w:val="00CD13F8"/>
    <w:rsid w:val="00CD24AA"/>
    <w:rsid w:val="00CD28D5"/>
    <w:rsid w:val="00CD2EA0"/>
    <w:rsid w:val="00CD330F"/>
    <w:rsid w:val="00CD4123"/>
    <w:rsid w:val="00CD6788"/>
    <w:rsid w:val="00CD681E"/>
    <w:rsid w:val="00CD6AB9"/>
    <w:rsid w:val="00CE0CCC"/>
    <w:rsid w:val="00CE11F6"/>
    <w:rsid w:val="00CE2716"/>
    <w:rsid w:val="00CE2DFA"/>
    <w:rsid w:val="00CE2F2A"/>
    <w:rsid w:val="00CE461E"/>
    <w:rsid w:val="00CE699E"/>
    <w:rsid w:val="00CE7AD2"/>
    <w:rsid w:val="00CE7B3A"/>
    <w:rsid w:val="00CF00D7"/>
    <w:rsid w:val="00CF01F6"/>
    <w:rsid w:val="00CF2C6A"/>
    <w:rsid w:val="00CF488B"/>
    <w:rsid w:val="00CF5CDF"/>
    <w:rsid w:val="00CF6C5C"/>
    <w:rsid w:val="00CF6DC4"/>
    <w:rsid w:val="00CF7656"/>
    <w:rsid w:val="00CF76B3"/>
    <w:rsid w:val="00CF77BF"/>
    <w:rsid w:val="00CF7D07"/>
    <w:rsid w:val="00D00BE7"/>
    <w:rsid w:val="00D00E94"/>
    <w:rsid w:val="00D03109"/>
    <w:rsid w:val="00D03A53"/>
    <w:rsid w:val="00D04219"/>
    <w:rsid w:val="00D042B9"/>
    <w:rsid w:val="00D06595"/>
    <w:rsid w:val="00D075C8"/>
    <w:rsid w:val="00D100AF"/>
    <w:rsid w:val="00D100F6"/>
    <w:rsid w:val="00D11056"/>
    <w:rsid w:val="00D11A4B"/>
    <w:rsid w:val="00D122A7"/>
    <w:rsid w:val="00D14823"/>
    <w:rsid w:val="00D14F79"/>
    <w:rsid w:val="00D17BFC"/>
    <w:rsid w:val="00D2139F"/>
    <w:rsid w:val="00D21F05"/>
    <w:rsid w:val="00D24521"/>
    <w:rsid w:val="00D250E4"/>
    <w:rsid w:val="00D270E9"/>
    <w:rsid w:val="00D27C6F"/>
    <w:rsid w:val="00D30B06"/>
    <w:rsid w:val="00D30B66"/>
    <w:rsid w:val="00D31842"/>
    <w:rsid w:val="00D31C14"/>
    <w:rsid w:val="00D3210F"/>
    <w:rsid w:val="00D35098"/>
    <w:rsid w:val="00D36F00"/>
    <w:rsid w:val="00D40A25"/>
    <w:rsid w:val="00D42F42"/>
    <w:rsid w:val="00D43767"/>
    <w:rsid w:val="00D4461C"/>
    <w:rsid w:val="00D46A7F"/>
    <w:rsid w:val="00D478F6"/>
    <w:rsid w:val="00D47985"/>
    <w:rsid w:val="00D501A1"/>
    <w:rsid w:val="00D52251"/>
    <w:rsid w:val="00D54907"/>
    <w:rsid w:val="00D55859"/>
    <w:rsid w:val="00D60512"/>
    <w:rsid w:val="00D60B36"/>
    <w:rsid w:val="00D61D54"/>
    <w:rsid w:val="00D62082"/>
    <w:rsid w:val="00D631B5"/>
    <w:rsid w:val="00D634C9"/>
    <w:rsid w:val="00D63CCB"/>
    <w:rsid w:val="00D65446"/>
    <w:rsid w:val="00D65E59"/>
    <w:rsid w:val="00D67480"/>
    <w:rsid w:val="00D7055A"/>
    <w:rsid w:val="00D70A75"/>
    <w:rsid w:val="00D72A31"/>
    <w:rsid w:val="00D73D1F"/>
    <w:rsid w:val="00D74494"/>
    <w:rsid w:val="00D7465B"/>
    <w:rsid w:val="00D8203D"/>
    <w:rsid w:val="00D85741"/>
    <w:rsid w:val="00D903E2"/>
    <w:rsid w:val="00D9055C"/>
    <w:rsid w:val="00D90A45"/>
    <w:rsid w:val="00D90C50"/>
    <w:rsid w:val="00D91372"/>
    <w:rsid w:val="00D925F7"/>
    <w:rsid w:val="00D92F9F"/>
    <w:rsid w:val="00D93260"/>
    <w:rsid w:val="00D934F0"/>
    <w:rsid w:val="00D93873"/>
    <w:rsid w:val="00D94754"/>
    <w:rsid w:val="00D94C5D"/>
    <w:rsid w:val="00D95E2C"/>
    <w:rsid w:val="00D977EB"/>
    <w:rsid w:val="00DA2858"/>
    <w:rsid w:val="00DA3DF4"/>
    <w:rsid w:val="00DA48DA"/>
    <w:rsid w:val="00DA4ABB"/>
    <w:rsid w:val="00DA6976"/>
    <w:rsid w:val="00DA7ECA"/>
    <w:rsid w:val="00DB0169"/>
    <w:rsid w:val="00DB02E7"/>
    <w:rsid w:val="00DB0AC3"/>
    <w:rsid w:val="00DB1085"/>
    <w:rsid w:val="00DB19FF"/>
    <w:rsid w:val="00DB1F3F"/>
    <w:rsid w:val="00DB2168"/>
    <w:rsid w:val="00DB2200"/>
    <w:rsid w:val="00DB31BA"/>
    <w:rsid w:val="00DB400F"/>
    <w:rsid w:val="00DB41EA"/>
    <w:rsid w:val="00DB456B"/>
    <w:rsid w:val="00DB67FA"/>
    <w:rsid w:val="00DB6D2A"/>
    <w:rsid w:val="00DB6E4E"/>
    <w:rsid w:val="00DB715E"/>
    <w:rsid w:val="00DB71DB"/>
    <w:rsid w:val="00DC2152"/>
    <w:rsid w:val="00DC3FE2"/>
    <w:rsid w:val="00DC6060"/>
    <w:rsid w:val="00DC611C"/>
    <w:rsid w:val="00DC663A"/>
    <w:rsid w:val="00DC7E22"/>
    <w:rsid w:val="00DD0632"/>
    <w:rsid w:val="00DD0A0F"/>
    <w:rsid w:val="00DD2A09"/>
    <w:rsid w:val="00DD31EE"/>
    <w:rsid w:val="00DD3713"/>
    <w:rsid w:val="00DD39A0"/>
    <w:rsid w:val="00DD3B2B"/>
    <w:rsid w:val="00DD3CB9"/>
    <w:rsid w:val="00DD55D5"/>
    <w:rsid w:val="00DD590B"/>
    <w:rsid w:val="00DD5C2B"/>
    <w:rsid w:val="00DD6D36"/>
    <w:rsid w:val="00DE07CB"/>
    <w:rsid w:val="00DE12BA"/>
    <w:rsid w:val="00DE16B5"/>
    <w:rsid w:val="00DE2EA3"/>
    <w:rsid w:val="00DE54D5"/>
    <w:rsid w:val="00DE7345"/>
    <w:rsid w:val="00DF043F"/>
    <w:rsid w:val="00DF253B"/>
    <w:rsid w:val="00DF278B"/>
    <w:rsid w:val="00DF3D29"/>
    <w:rsid w:val="00DF6EFD"/>
    <w:rsid w:val="00DF742C"/>
    <w:rsid w:val="00DF7938"/>
    <w:rsid w:val="00DF7E3D"/>
    <w:rsid w:val="00DF7FD7"/>
    <w:rsid w:val="00E000E2"/>
    <w:rsid w:val="00E004DB"/>
    <w:rsid w:val="00E005C1"/>
    <w:rsid w:val="00E0086B"/>
    <w:rsid w:val="00E01B3E"/>
    <w:rsid w:val="00E01C97"/>
    <w:rsid w:val="00E020B4"/>
    <w:rsid w:val="00E028C6"/>
    <w:rsid w:val="00E04929"/>
    <w:rsid w:val="00E07299"/>
    <w:rsid w:val="00E07314"/>
    <w:rsid w:val="00E10987"/>
    <w:rsid w:val="00E10E9F"/>
    <w:rsid w:val="00E12162"/>
    <w:rsid w:val="00E1237D"/>
    <w:rsid w:val="00E1246C"/>
    <w:rsid w:val="00E15335"/>
    <w:rsid w:val="00E15E2F"/>
    <w:rsid w:val="00E15FE2"/>
    <w:rsid w:val="00E17A0A"/>
    <w:rsid w:val="00E20973"/>
    <w:rsid w:val="00E20EAD"/>
    <w:rsid w:val="00E2114F"/>
    <w:rsid w:val="00E231B5"/>
    <w:rsid w:val="00E24638"/>
    <w:rsid w:val="00E26138"/>
    <w:rsid w:val="00E27D5F"/>
    <w:rsid w:val="00E32F77"/>
    <w:rsid w:val="00E33363"/>
    <w:rsid w:val="00E33F31"/>
    <w:rsid w:val="00E36653"/>
    <w:rsid w:val="00E370ED"/>
    <w:rsid w:val="00E373EB"/>
    <w:rsid w:val="00E37B03"/>
    <w:rsid w:val="00E41838"/>
    <w:rsid w:val="00E429CC"/>
    <w:rsid w:val="00E43703"/>
    <w:rsid w:val="00E44A2E"/>
    <w:rsid w:val="00E456B9"/>
    <w:rsid w:val="00E50064"/>
    <w:rsid w:val="00E51892"/>
    <w:rsid w:val="00E51C99"/>
    <w:rsid w:val="00E5267F"/>
    <w:rsid w:val="00E52E82"/>
    <w:rsid w:val="00E53862"/>
    <w:rsid w:val="00E541DB"/>
    <w:rsid w:val="00E54F18"/>
    <w:rsid w:val="00E60E89"/>
    <w:rsid w:val="00E61936"/>
    <w:rsid w:val="00E62BA0"/>
    <w:rsid w:val="00E63C94"/>
    <w:rsid w:val="00E64002"/>
    <w:rsid w:val="00E65069"/>
    <w:rsid w:val="00E6615D"/>
    <w:rsid w:val="00E661DA"/>
    <w:rsid w:val="00E666A2"/>
    <w:rsid w:val="00E676F8"/>
    <w:rsid w:val="00E6795C"/>
    <w:rsid w:val="00E70CBD"/>
    <w:rsid w:val="00E70FF3"/>
    <w:rsid w:val="00E71833"/>
    <w:rsid w:val="00E723B5"/>
    <w:rsid w:val="00E72D9D"/>
    <w:rsid w:val="00E73A92"/>
    <w:rsid w:val="00E75E51"/>
    <w:rsid w:val="00E760AA"/>
    <w:rsid w:val="00E775D3"/>
    <w:rsid w:val="00E77E94"/>
    <w:rsid w:val="00E806D4"/>
    <w:rsid w:val="00E827E8"/>
    <w:rsid w:val="00E832F5"/>
    <w:rsid w:val="00E84143"/>
    <w:rsid w:val="00E84FD3"/>
    <w:rsid w:val="00E85FC6"/>
    <w:rsid w:val="00E86D1B"/>
    <w:rsid w:val="00E87382"/>
    <w:rsid w:val="00E87B0F"/>
    <w:rsid w:val="00E87DB5"/>
    <w:rsid w:val="00E928BA"/>
    <w:rsid w:val="00E9615B"/>
    <w:rsid w:val="00E963FB"/>
    <w:rsid w:val="00E975A8"/>
    <w:rsid w:val="00EA0275"/>
    <w:rsid w:val="00EA28BC"/>
    <w:rsid w:val="00EA29A3"/>
    <w:rsid w:val="00EA543D"/>
    <w:rsid w:val="00EA71B1"/>
    <w:rsid w:val="00EB025B"/>
    <w:rsid w:val="00EB198B"/>
    <w:rsid w:val="00EB2240"/>
    <w:rsid w:val="00EB38EF"/>
    <w:rsid w:val="00EB44C1"/>
    <w:rsid w:val="00EC15BB"/>
    <w:rsid w:val="00EC161A"/>
    <w:rsid w:val="00EC4E93"/>
    <w:rsid w:val="00EC6E0D"/>
    <w:rsid w:val="00ED006E"/>
    <w:rsid w:val="00ED067E"/>
    <w:rsid w:val="00ED0802"/>
    <w:rsid w:val="00ED1EAF"/>
    <w:rsid w:val="00ED3AA9"/>
    <w:rsid w:val="00ED4506"/>
    <w:rsid w:val="00ED5D29"/>
    <w:rsid w:val="00ED6EE3"/>
    <w:rsid w:val="00ED6F01"/>
    <w:rsid w:val="00EE1F28"/>
    <w:rsid w:val="00EE46DE"/>
    <w:rsid w:val="00EE5892"/>
    <w:rsid w:val="00EE7541"/>
    <w:rsid w:val="00EE79AE"/>
    <w:rsid w:val="00EF067B"/>
    <w:rsid w:val="00EF0CD0"/>
    <w:rsid w:val="00EF284D"/>
    <w:rsid w:val="00EF2A2C"/>
    <w:rsid w:val="00EF30E5"/>
    <w:rsid w:val="00EF4272"/>
    <w:rsid w:val="00EF5746"/>
    <w:rsid w:val="00EF587D"/>
    <w:rsid w:val="00EF7506"/>
    <w:rsid w:val="00EF7A51"/>
    <w:rsid w:val="00EF7E66"/>
    <w:rsid w:val="00F00520"/>
    <w:rsid w:val="00F0098C"/>
    <w:rsid w:val="00F0158B"/>
    <w:rsid w:val="00F02266"/>
    <w:rsid w:val="00F03628"/>
    <w:rsid w:val="00F03B6D"/>
    <w:rsid w:val="00F067D8"/>
    <w:rsid w:val="00F06896"/>
    <w:rsid w:val="00F06D25"/>
    <w:rsid w:val="00F074A5"/>
    <w:rsid w:val="00F10E8A"/>
    <w:rsid w:val="00F11E9E"/>
    <w:rsid w:val="00F1504E"/>
    <w:rsid w:val="00F1512E"/>
    <w:rsid w:val="00F163EA"/>
    <w:rsid w:val="00F16F6F"/>
    <w:rsid w:val="00F17DB0"/>
    <w:rsid w:val="00F206EA"/>
    <w:rsid w:val="00F232DE"/>
    <w:rsid w:val="00F24977"/>
    <w:rsid w:val="00F24B2C"/>
    <w:rsid w:val="00F25EE4"/>
    <w:rsid w:val="00F26279"/>
    <w:rsid w:val="00F2705F"/>
    <w:rsid w:val="00F27C6C"/>
    <w:rsid w:val="00F33924"/>
    <w:rsid w:val="00F33BDF"/>
    <w:rsid w:val="00F3755A"/>
    <w:rsid w:val="00F37A62"/>
    <w:rsid w:val="00F4129B"/>
    <w:rsid w:val="00F42782"/>
    <w:rsid w:val="00F43AF9"/>
    <w:rsid w:val="00F43F47"/>
    <w:rsid w:val="00F45473"/>
    <w:rsid w:val="00F45A78"/>
    <w:rsid w:val="00F468B8"/>
    <w:rsid w:val="00F470C3"/>
    <w:rsid w:val="00F4799C"/>
    <w:rsid w:val="00F50DF9"/>
    <w:rsid w:val="00F51A9F"/>
    <w:rsid w:val="00F52D4D"/>
    <w:rsid w:val="00F52E60"/>
    <w:rsid w:val="00F537FA"/>
    <w:rsid w:val="00F54A25"/>
    <w:rsid w:val="00F618F1"/>
    <w:rsid w:val="00F62A1B"/>
    <w:rsid w:val="00F63ACE"/>
    <w:rsid w:val="00F650D3"/>
    <w:rsid w:val="00F6643C"/>
    <w:rsid w:val="00F67B93"/>
    <w:rsid w:val="00F7024F"/>
    <w:rsid w:val="00F72189"/>
    <w:rsid w:val="00F73219"/>
    <w:rsid w:val="00F73667"/>
    <w:rsid w:val="00F73D39"/>
    <w:rsid w:val="00F7454F"/>
    <w:rsid w:val="00F7637B"/>
    <w:rsid w:val="00F76BCF"/>
    <w:rsid w:val="00F77CF6"/>
    <w:rsid w:val="00F8137F"/>
    <w:rsid w:val="00F8178C"/>
    <w:rsid w:val="00F8335E"/>
    <w:rsid w:val="00F83D93"/>
    <w:rsid w:val="00F86559"/>
    <w:rsid w:val="00F87C10"/>
    <w:rsid w:val="00F91E8F"/>
    <w:rsid w:val="00F92280"/>
    <w:rsid w:val="00F92799"/>
    <w:rsid w:val="00F941F9"/>
    <w:rsid w:val="00F94397"/>
    <w:rsid w:val="00F943CE"/>
    <w:rsid w:val="00F9478D"/>
    <w:rsid w:val="00F95756"/>
    <w:rsid w:val="00FA062B"/>
    <w:rsid w:val="00FA0836"/>
    <w:rsid w:val="00FA0D5C"/>
    <w:rsid w:val="00FA1077"/>
    <w:rsid w:val="00FA21AA"/>
    <w:rsid w:val="00FA230B"/>
    <w:rsid w:val="00FA45FE"/>
    <w:rsid w:val="00FA47DC"/>
    <w:rsid w:val="00FA4AB8"/>
    <w:rsid w:val="00FA6179"/>
    <w:rsid w:val="00FA66DE"/>
    <w:rsid w:val="00FA6C94"/>
    <w:rsid w:val="00FA79EC"/>
    <w:rsid w:val="00FA7CB6"/>
    <w:rsid w:val="00FB071A"/>
    <w:rsid w:val="00FB1A16"/>
    <w:rsid w:val="00FB1A1C"/>
    <w:rsid w:val="00FB2692"/>
    <w:rsid w:val="00FB45DC"/>
    <w:rsid w:val="00FB5FAE"/>
    <w:rsid w:val="00FB676B"/>
    <w:rsid w:val="00FB743A"/>
    <w:rsid w:val="00FB75B2"/>
    <w:rsid w:val="00FB7FC4"/>
    <w:rsid w:val="00FC0303"/>
    <w:rsid w:val="00FC072A"/>
    <w:rsid w:val="00FC1267"/>
    <w:rsid w:val="00FC28C3"/>
    <w:rsid w:val="00FC430A"/>
    <w:rsid w:val="00FC5120"/>
    <w:rsid w:val="00FC5961"/>
    <w:rsid w:val="00FC5F3D"/>
    <w:rsid w:val="00FC61BC"/>
    <w:rsid w:val="00FC7510"/>
    <w:rsid w:val="00FD0D95"/>
    <w:rsid w:val="00FD1C56"/>
    <w:rsid w:val="00FD3526"/>
    <w:rsid w:val="00FD395E"/>
    <w:rsid w:val="00FD5713"/>
    <w:rsid w:val="00FD6CF0"/>
    <w:rsid w:val="00FD7CF9"/>
    <w:rsid w:val="00FE0185"/>
    <w:rsid w:val="00FE0672"/>
    <w:rsid w:val="00FE0911"/>
    <w:rsid w:val="00FE0DFF"/>
    <w:rsid w:val="00FE39A9"/>
    <w:rsid w:val="00FE4B86"/>
    <w:rsid w:val="00FE6A77"/>
    <w:rsid w:val="00FF1D41"/>
    <w:rsid w:val="00FF2CC0"/>
    <w:rsid w:val="00FF2F4B"/>
    <w:rsid w:val="00FF4EC4"/>
    <w:rsid w:val="00FF7B52"/>
    <w:rsid w:val="00FF7CAB"/>
    <w:rsid w:val="00FF7D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6567"/>
  <w15:docId w15:val="{1DE015DC-AA2F-4BB8-8C5B-D0ED2D4A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C79"/>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670C79"/>
    <w:pPr>
      <w:keepNext/>
      <w:spacing w:line="360" w:lineRule="auto"/>
      <w:outlineLvl w:val="0"/>
    </w:pPr>
    <w:rPr>
      <w:sz w:val="28"/>
    </w:rPr>
  </w:style>
  <w:style w:type="paragraph" w:styleId="Heading2">
    <w:name w:val="heading 2"/>
    <w:basedOn w:val="Normal"/>
    <w:next w:val="Normal"/>
    <w:link w:val="Heading2Char"/>
    <w:qFormat/>
    <w:rsid w:val="00670C79"/>
    <w:pPr>
      <w:keepNext/>
      <w:jc w:val="both"/>
      <w:outlineLvl w:val="1"/>
    </w:pPr>
    <w:rPr>
      <w:sz w:val="28"/>
    </w:rPr>
  </w:style>
  <w:style w:type="paragraph" w:styleId="Heading3">
    <w:name w:val="heading 3"/>
    <w:basedOn w:val="Normal"/>
    <w:next w:val="Normal"/>
    <w:link w:val="Heading3Char"/>
    <w:uiPriority w:val="9"/>
    <w:unhideWhenUsed/>
    <w:qFormat/>
    <w:rsid w:val="00C01DF1"/>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qFormat/>
    <w:rsid w:val="00670C79"/>
    <w:pPr>
      <w:keepNext/>
      <w:spacing w:before="120" w:after="120" w:line="360" w:lineRule="auto"/>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C79"/>
    <w:rPr>
      <w:rFonts w:ascii="Times New Roman" w:eastAsia="Times New Roman" w:hAnsi="Times New Roman" w:cs="Times New Roman"/>
      <w:sz w:val="28"/>
      <w:szCs w:val="24"/>
      <w:lang w:val="ro-RO"/>
    </w:rPr>
  </w:style>
  <w:style w:type="character" w:customStyle="1" w:styleId="Heading2Char">
    <w:name w:val="Heading 2 Char"/>
    <w:basedOn w:val="DefaultParagraphFont"/>
    <w:link w:val="Heading2"/>
    <w:rsid w:val="00670C79"/>
    <w:rPr>
      <w:rFonts w:ascii="Times New Roman" w:eastAsia="Times New Roman" w:hAnsi="Times New Roman" w:cs="Times New Roman"/>
      <w:sz w:val="28"/>
      <w:szCs w:val="24"/>
      <w:lang w:val="ro-RO"/>
    </w:rPr>
  </w:style>
  <w:style w:type="character" w:customStyle="1" w:styleId="Heading6Char">
    <w:name w:val="Heading 6 Char"/>
    <w:basedOn w:val="DefaultParagraphFont"/>
    <w:link w:val="Heading6"/>
    <w:rsid w:val="00670C79"/>
    <w:rPr>
      <w:rFonts w:ascii="Times New Roman" w:eastAsia="Times New Roman" w:hAnsi="Times New Roman" w:cs="Times New Roman"/>
      <w:b/>
      <w:sz w:val="28"/>
      <w:szCs w:val="24"/>
      <w:lang w:val="ro-RO"/>
    </w:rPr>
  </w:style>
  <w:style w:type="paragraph" w:styleId="BodyTextIndent2">
    <w:name w:val="Body Text Indent 2"/>
    <w:basedOn w:val="Normal"/>
    <w:link w:val="BodyTextIndent2Char"/>
    <w:semiHidden/>
    <w:rsid w:val="00670C79"/>
    <w:pPr>
      <w:spacing w:before="120" w:after="120" w:line="360" w:lineRule="auto"/>
      <w:ind w:firstLine="357"/>
    </w:pPr>
    <w:rPr>
      <w:b/>
      <w:bCs/>
      <w:sz w:val="28"/>
    </w:rPr>
  </w:style>
  <w:style w:type="character" w:customStyle="1" w:styleId="BodyTextIndent2Char">
    <w:name w:val="Body Text Indent 2 Char"/>
    <w:basedOn w:val="DefaultParagraphFont"/>
    <w:link w:val="BodyTextIndent2"/>
    <w:semiHidden/>
    <w:rsid w:val="00670C79"/>
    <w:rPr>
      <w:rFonts w:ascii="Times New Roman" w:eastAsia="Times New Roman" w:hAnsi="Times New Roman" w:cs="Times New Roman"/>
      <w:b/>
      <w:bCs/>
      <w:sz w:val="28"/>
      <w:szCs w:val="24"/>
      <w:lang w:val="ro-RO"/>
    </w:rPr>
  </w:style>
  <w:style w:type="paragraph" w:styleId="BodyText2">
    <w:name w:val="Body Text 2"/>
    <w:basedOn w:val="Normal"/>
    <w:link w:val="BodyText2Char"/>
    <w:semiHidden/>
    <w:rsid w:val="00670C79"/>
    <w:pPr>
      <w:jc w:val="both"/>
    </w:pPr>
    <w:rPr>
      <w:sz w:val="28"/>
    </w:rPr>
  </w:style>
  <w:style w:type="character" w:customStyle="1" w:styleId="BodyText2Char">
    <w:name w:val="Body Text 2 Char"/>
    <w:basedOn w:val="DefaultParagraphFont"/>
    <w:link w:val="BodyText2"/>
    <w:semiHidden/>
    <w:rsid w:val="00670C79"/>
    <w:rPr>
      <w:rFonts w:ascii="Times New Roman" w:eastAsia="Times New Roman" w:hAnsi="Times New Roman" w:cs="Times New Roman"/>
      <w:sz w:val="28"/>
      <w:szCs w:val="24"/>
      <w:lang w:val="ro-RO"/>
    </w:rPr>
  </w:style>
  <w:style w:type="paragraph" w:styleId="Title">
    <w:name w:val="Title"/>
    <w:basedOn w:val="Normal"/>
    <w:link w:val="TitleChar"/>
    <w:uiPriority w:val="10"/>
    <w:qFormat/>
    <w:rsid w:val="00670C79"/>
    <w:pPr>
      <w:spacing w:line="360" w:lineRule="auto"/>
      <w:jc w:val="center"/>
    </w:pPr>
    <w:rPr>
      <w:b/>
      <w:sz w:val="32"/>
      <w:szCs w:val="32"/>
    </w:rPr>
  </w:style>
  <w:style w:type="character" w:customStyle="1" w:styleId="TitleChar">
    <w:name w:val="Title Char"/>
    <w:basedOn w:val="DefaultParagraphFont"/>
    <w:link w:val="Title"/>
    <w:uiPriority w:val="10"/>
    <w:rsid w:val="00670C79"/>
    <w:rPr>
      <w:rFonts w:ascii="Times New Roman" w:eastAsia="Times New Roman" w:hAnsi="Times New Roman" w:cs="Times New Roman"/>
      <w:b/>
      <w:sz w:val="32"/>
      <w:szCs w:val="32"/>
      <w:lang w:val="ro-RO"/>
    </w:rPr>
  </w:style>
  <w:style w:type="paragraph" w:styleId="Footer">
    <w:name w:val="footer"/>
    <w:basedOn w:val="Normal"/>
    <w:link w:val="FooterChar"/>
    <w:uiPriority w:val="99"/>
    <w:rsid w:val="00670C79"/>
    <w:pPr>
      <w:tabs>
        <w:tab w:val="center" w:pos="4536"/>
        <w:tab w:val="right" w:pos="9072"/>
      </w:tabs>
    </w:pPr>
  </w:style>
  <w:style w:type="character" w:customStyle="1" w:styleId="FooterChar">
    <w:name w:val="Footer Char"/>
    <w:basedOn w:val="DefaultParagraphFont"/>
    <w:link w:val="Footer"/>
    <w:uiPriority w:val="99"/>
    <w:rsid w:val="00670C79"/>
    <w:rPr>
      <w:rFonts w:ascii="Times New Roman" w:eastAsia="Times New Roman" w:hAnsi="Times New Roman" w:cs="Times New Roman"/>
      <w:sz w:val="24"/>
      <w:szCs w:val="24"/>
      <w:lang w:val="ro-RO"/>
    </w:rPr>
  </w:style>
  <w:style w:type="character" w:styleId="PageNumber">
    <w:name w:val="page number"/>
    <w:basedOn w:val="DefaultParagraphFont"/>
    <w:rsid w:val="00670C79"/>
  </w:style>
  <w:style w:type="table" w:styleId="TableGrid">
    <w:name w:val="Table Grid"/>
    <w:basedOn w:val="TableNormal"/>
    <w:uiPriority w:val="59"/>
    <w:rsid w:val="00670C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7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670C79"/>
    <w:rPr>
      <w:rFonts w:ascii="Courier New" w:eastAsia="Times New Roman" w:hAnsi="Courier New" w:cs="Courier New"/>
      <w:sz w:val="20"/>
      <w:szCs w:val="20"/>
      <w:lang w:val="ro-RO" w:eastAsia="ro-RO"/>
    </w:rPr>
  </w:style>
  <w:style w:type="paragraph" w:styleId="NoSpacing">
    <w:name w:val="No Spacing"/>
    <w:link w:val="NoSpacingChar"/>
    <w:qFormat/>
    <w:rsid w:val="00966D02"/>
    <w:pPr>
      <w:spacing w:after="0" w:line="240" w:lineRule="auto"/>
    </w:pPr>
    <w:rPr>
      <w:rFonts w:ascii="Calibri" w:eastAsia="Calibri" w:hAnsi="Calibri" w:cs="Times New Roman"/>
    </w:rPr>
  </w:style>
  <w:style w:type="character" w:customStyle="1" w:styleId="NoSpacingChar">
    <w:name w:val="No Spacing Char"/>
    <w:link w:val="NoSpacing"/>
    <w:locked/>
    <w:rsid w:val="00966D02"/>
    <w:rPr>
      <w:rFonts w:ascii="Calibri" w:eastAsia="Calibri" w:hAnsi="Calibri" w:cs="Times New Roman"/>
    </w:rPr>
  </w:style>
  <w:style w:type="paragraph" w:styleId="BalloonText">
    <w:name w:val="Balloon Text"/>
    <w:basedOn w:val="Normal"/>
    <w:link w:val="BalloonTextChar"/>
    <w:uiPriority w:val="99"/>
    <w:semiHidden/>
    <w:unhideWhenUsed/>
    <w:rsid w:val="00BA4E0F"/>
    <w:rPr>
      <w:rFonts w:ascii="Tahoma" w:hAnsi="Tahoma" w:cs="Tahoma"/>
      <w:sz w:val="16"/>
      <w:szCs w:val="16"/>
    </w:rPr>
  </w:style>
  <w:style w:type="character" w:customStyle="1" w:styleId="BalloonTextChar">
    <w:name w:val="Balloon Text Char"/>
    <w:basedOn w:val="DefaultParagraphFont"/>
    <w:link w:val="BalloonText"/>
    <w:uiPriority w:val="99"/>
    <w:semiHidden/>
    <w:rsid w:val="00BA4E0F"/>
    <w:rPr>
      <w:rFonts w:ascii="Tahoma" w:eastAsia="Times New Roman" w:hAnsi="Tahoma" w:cs="Tahoma"/>
      <w:sz w:val="16"/>
      <w:szCs w:val="16"/>
      <w:lang w:val="ro-RO"/>
    </w:rPr>
  </w:style>
  <w:style w:type="character" w:styleId="CommentReference">
    <w:name w:val="annotation reference"/>
    <w:basedOn w:val="DefaultParagraphFont"/>
    <w:unhideWhenUsed/>
    <w:rsid w:val="00CE7B3A"/>
    <w:rPr>
      <w:sz w:val="16"/>
      <w:szCs w:val="16"/>
    </w:rPr>
  </w:style>
  <w:style w:type="paragraph" w:styleId="CommentText">
    <w:name w:val="annotation text"/>
    <w:basedOn w:val="Normal"/>
    <w:link w:val="CommentTextChar"/>
    <w:unhideWhenUsed/>
    <w:rsid w:val="00CE7B3A"/>
    <w:rPr>
      <w:sz w:val="20"/>
      <w:szCs w:val="20"/>
    </w:rPr>
  </w:style>
  <w:style w:type="character" w:customStyle="1" w:styleId="CommentTextChar">
    <w:name w:val="Comment Text Char"/>
    <w:basedOn w:val="DefaultParagraphFont"/>
    <w:link w:val="CommentText"/>
    <w:rsid w:val="00CE7B3A"/>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E7B3A"/>
    <w:rPr>
      <w:b/>
      <w:bCs/>
    </w:rPr>
  </w:style>
  <w:style w:type="character" w:customStyle="1" w:styleId="CommentSubjectChar">
    <w:name w:val="Comment Subject Char"/>
    <w:basedOn w:val="CommentTextChar"/>
    <w:link w:val="CommentSubject"/>
    <w:uiPriority w:val="99"/>
    <w:semiHidden/>
    <w:rsid w:val="00CE7B3A"/>
    <w:rPr>
      <w:rFonts w:ascii="Times New Roman" w:eastAsia="Times New Roman" w:hAnsi="Times New Roman" w:cs="Times New Roman"/>
      <w:b/>
      <w:bCs/>
      <w:sz w:val="20"/>
      <w:szCs w:val="20"/>
      <w:lang w:val="ro-RO"/>
    </w:rPr>
  </w:style>
  <w:style w:type="character" w:customStyle="1" w:styleId="Heading3Char">
    <w:name w:val="Heading 3 Char"/>
    <w:basedOn w:val="DefaultParagraphFont"/>
    <w:link w:val="Heading3"/>
    <w:uiPriority w:val="9"/>
    <w:rsid w:val="00C01DF1"/>
    <w:rPr>
      <w:rFonts w:asciiTheme="majorHAnsi" w:eastAsiaTheme="majorEastAsia" w:hAnsiTheme="majorHAnsi" w:cstheme="majorBidi"/>
      <w:b/>
      <w:bCs/>
      <w:color w:val="5B9BD5" w:themeColor="accent1"/>
      <w:sz w:val="24"/>
      <w:szCs w:val="24"/>
      <w:lang w:val="ro-RO"/>
    </w:rPr>
  </w:style>
  <w:style w:type="paragraph" w:styleId="ListParagraph">
    <w:name w:val="List Paragraph"/>
    <w:aliases w:val="Normal bullet 2,List Paragraph1,List1,body 2,List Paragraph11,Listă colorată - Accentuare 11,Bullet,Citation List,Forth level,numbered list,2,OBC Bullet,Normal 1,Task Body,Viñetas (Inicio Parrafo),Paragrafo elenco,3 Txt tabla,Dot pt"/>
    <w:basedOn w:val="Normal"/>
    <w:link w:val="ListParagraphChar"/>
    <w:uiPriority w:val="1"/>
    <w:qFormat/>
    <w:rsid w:val="00CD681E"/>
    <w:pPr>
      <w:ind w:left="720"/>
      <w:contextualSpacing/>
    </w:pPr>
    <w:rPr>
      <w:rFonts w:asciiTheme="minorHAnsi" w:eastAsiaTheme="minorHAnsi" w:hAnsiTheme="minorHAnsi" w:cstheme="minorBidi"/>
    </w:rPr>
  </w:style>
  <w:style w:type="character" w:customStyle="1" w:styleId="ListParagraphChar">
    <w:name w:val="List Paragraph Char"/>
    <w:aliases w:val="Normal bullet 2 Char,List Paragraph1 Char,List1 Char,body 2 Char,List Paragraph11 Char,Listă colorată - Accentuare 11 Char,Bullet Char,Citation List Char,Forth level Char,numbered list Char,2 Char,OBC Bullet Char,Normal 1 Char"/>
    <w:link w:val="ListParagraph"/>
    <w:uiPriority w:val="1"/>
    <w:qFormat/>
    <w:locked/>
    <w:rsid w:val="009B71DC"/>
    <w:rPr>
      <w:sz w:val="24"/>
      <w:szCs w:val="24"/>
      <w:lang w:val="ro-RO"/>
    </w:rPr>
  </w:style>
  <w:style w:type="character" w:customStyle="1" w:styleId="ColorfulList-Accent1Char">
    <w:name w:val="Colorful List - Accent 1 Char"/>
    <w:link w:val="ColourfulListAccent1"/>
    <w:uiPriority w:val="34"/>
    <w:locked/>
    <w:rsid w:val="009B71DC"/>
    <w:rPr>
      <w:noProof/>
      <w:sz w:val="24"/>
      <w:szCs w:val="24"/>
      <w:lang w:val="ro-RO"/>
    </w:rPr>
  </w:style>
  <w:style w:type="table" w:styleId="ColourfulListAccent1">
    <w:name w:val="Colorful List Accent 1"/>
    <w:basedOn w:val="TableNormal"/>
    <w:link w:val="ColorfulList-Accent1Char"/>
    <w:uiPriority w:val="34"/>
    <w:rsid w:val="009B71DC"/>
    <w:pPr>
      <w:spacing w:after="0" w:line="240" w:lineRule="auto"/>
    </w:pPr>
    <w:rPr>
      <w:noProof/>
      <w:sz w:val="24"/>
      <w:szCs w:val="24"/>
      <w:lang w:val="ro-RO"/>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BA47F0"/>
    <w:pPr>
      <w:tabs>
        <w:tab w:val="center" w:pos="4536"/>
        <w:tab w:val="right" w:pos="9072"/>
      </w:tabs>
    </w:pPr>
  </w:style>
  <w:style w:type="character" w:customStyle="1" w:styleId="HeaderChar">
    <w:name w:val="Header Char"/>
    <w:basedOn w:val="DefaultParagraphFont"/>
    <w:link w:val="Header"/>
    <w:uiPriority w:val="99"/>
    <w:rsid w:val="00BA47F0"/>
    <w:rPr>
      <w:rFonts w:ascii="Times New Roman" w:eastAsia="Times New Roman" w:hAnsi="Times New Roman" w:cs="Times New Roman"/>
      <w:sz w:val="24"/>
      <w:szCs w:val="24"/>
      <w:lang w:val="ro-RO"/>
    </w:rPr>
  </w:style>
  <w:style w:type="character" w:customStyle="1" w:styleId="panchor">
    <w:name w:val="panchor"/>
    <w:basedOn w:val="DefaultParagraphFont"/>
    <w:rsid w:val="00161A61"/>
  </w:style>
  <w:style w:type="character" w:styleId="Hyperlink">
    <w:name w:val="Hyperlink"/>
    <w:basedOn w:val="DefaultParagraphFont"/>
    <w:uiPriority w:val="99"/>
    <w:unhideWhenUsed/>
    <w:rsid w:val="001B7961"/>
    <w:rPr>
      <w:color w:val="0000FF"/>
      <w:u w:val="single"/>
    </w:rPr>
  </w:style>
  <w:style w:type="character" w:customStyle="1" w:styleId="slgi">
    <w:name w:val="s_lgi"/>
    <w:basedOn w:val="DefaultParagraphFont"/>
    <w:rsid w:val="00EF067B"/>
  </w:style>
  <w:style w:type="paragraph" w:styleId="Revision">
    <w:name w:val="Revision"/>
    <w:hidden/>
    <w:uiPriority w:val="99"/>
    <w:semiHidden/>
    <w:rsid w:val="00E51892"/>
    <w:pPr>
      <w:spacing w:after="0" w:line="240" w:lineRule="auto"/>
    </w:pPr>
    <w:rPr>
      <w:rFonts w:ascii="Times New Roman" w:eastAsia="Times New Roman" w:hAnsi="Times New Roman" w:cs="Times New Roman"/>
      <w:sz w:val="24"/>
      <w:szCs w:val="24"/>
      <w:lang w:val="ro-RO"/>
    </w:rPr>
  </w:style>
  <w:style w:type="table" w:customStyle="1" w:styleId="TableGrid1">
    <w:name w:val="Table Grid1"/>
    <w:basedOn w:val="TableNormal"/>
    <w:next w:val="TableGrid"/>
    <w:uiPriority w:val="99"/>
    <w:rsid w:val="00357F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561EC"/>
    <w:rPr>
      <w:color w:val="605E5C"/>
      <w:shd w:val="clear" w:color="auto" w:fill="E1DFDD"/>
    </w:rPr>
  </w:style>
  <w:style w:type="paragraph" w:customStyle="1" w:styleId="Default">
    <w:name w:val="Default"/>
    <w:qFormat/>
    <w:rsid w:val="00406B07"/>
    <w:pPr>
      <w:autoSpaceDE w:val="0"/>
      <w:autoSpaceDN w:val="0"/>
      <w:adjustRightInd w:val="0"/>
      <w:spacing w:after="0" w:line="240" w:lineRule="auto"/>
    </w:pPr>
    <w:rPr>
      <w:rFonts w:ascii="EUAlbertina" w:hAnsi="EUAlbertina" w:cs="EUAlbertina"/>
      <w:color w:val="000000"/>
      <w:sz w:val="24"/>
      <w:szCs w:val="24"/>
    </w:rPr>
  </w:style>
  <w:style w:type="paragraph" w:styleId="NormalWeb">
    <w:name w:val="Normal (Web)"/>
    <w:basedOn w:val="Normal"/>
    <w:uiPriority w:val="99"/>
    <w:unhideWhenUsed/>
    <w:rsid w:val="005B3CAB"/>
    <w:pPr>
      <w:spacing w:before="100" w:beforeAutospacing="1" w:after="100" w:afterAutospacing="1"/>
    </w:pPr>
    <w:rPr>
      <w:lang w:eastAsia="ro-RO"/>
    </w:rPr>
  </w:style>
  <w:style w:type="paragraph" w:styleId="BodyText">
    <w:name w:val="Body Text"/>
    <w:aliases w:val="AvtalBrödtext,ändrad,Bodytext,AvtalBrodtext,andrad,EHPT,Body Text2,Body3,compact,paragraph 2,body indent,Response,- TF,Requirements,Body Text level 1,à¹×éÍàÃ×èÍ§,Compliance,code,à¹"/>
    <w:basedOn w:val="Normal"/>
    <w:link w:val="BodyTextChar"/>
    <w:rsid w:val="009545F6"/>
    <w:pPr>
      <w:spacing w:after="120"/>
    </w:pPr>
    <w:rPr>
      <w:lang w:val="x-none" w:eastAsia="x-none"/>
    </w:rPr>
  </w:style>
  <w:style w:type="character" w:customStyle="1" w:styleId="BodyTextChar">
    <w:name w:val="Body Text Char"/>
    <w:aliases w:val="AvtalBrödtext Char,ändrad Char,Bodytext Char,AvtalBrodtext Char,andrad Char,EHPT Char,Body Text2 Char,Body3 Char,compact Char,paragraph 2 Char,body indent Char,Response Char,- TF Char,Requirements Char,Body Text level 1 Char,code Char"/>
    <w:basedOn w:val="DefaultParagraphFont"/>
    <w:link w:val="BodyText"/>
    <w:rsid w:val="009545F6"/>
    <w:rPr>
      <w:rFonts w:ascii="Times New Roman" w:eastAsia="Times New Roman" w:hAnsi="Times New Roman" w:cs="Times New Roman"/>
      <w:sz w:val="24"/>
      <w:szCs w:val="24"/>
      <w:lang w:val="x-none" w:eastAsia="x-none"/>
    </w:rPr>
  </w:style>
  <w:style w:type="paragraph" w:styleId="FootnoteText">
    <w:name w:val="footnote text"/>
    <w:aliases w:val="Podrozdział,Footnote,Footnote Text Char Char,Fußnote,single space,footnote text,FOOTNOTES,fn,fn Char Char Char,fn Char Char,fn Char,Fußnote Char Char Char,Fußnote Char,Fußnote Char Char Char Char,Footnote text"/>
    <w:basedOn w:val="Normal"/>
    <w:link w:val="FootnoteTextChar"/>
    <w:qFormat/>
    <w:rsid w:val="009545F6"/>
    <w:rPr>
      <w:sz w:val="20"/>
      <w:szCs w:val="20"/>
      <w:lang w:val="en-GB"/>
    </w:rPr>
  </w:style>
  <w:style w:type="character" w:customStyle="1" w:styleId="FootnoteTextChar">
    <w:name w:val="Footnote Text Char"/>
    <w:aliases w:val="Podrozdział Char,Footnote Char,Footnote Text Char Char Char,Fußnote Char1,single space Char,footnote text Char,FOOTNOTES Char,fn Char1,fn Char Char Char Char,fn Char Char Char1,fn Char Char1,Fußnote Char Char Char Char1"/>
    <w:basedOn w:val="DefaultParagraphFont"/>
    <w:link w:val="FootnoteText"/>
    <w:rsid w:val="009545F6"/>
    <w:rPr>
      <w:rFonts w:ascii="Times New Roman" w:eastAsia="Times New Roman" w:hAnsi="Times New Roman" w:cs="Times New Roman"/>
      <w:sz w:val="20"/>
      <w:szCs w:val="20"/>
      <w:lang w:val="en-GB"/>
    </w:rPr>
  </w:style>
  <w:style w:type="character" w:styleId="FootnoteReference">
    <w:name w:val="footnote reference"/>
    <w:aliases w:val="SUPERS Char1 Char1 Char Char Char Car Char, BVI fnr Char1 Char Char Char Char Car Char,BVI fnr Char1 Char Char Char Char Car Char,Footnote symbol Char1 Char Char Char Char Car Char"/>
    <w:link w:val="SUPERSChar1Char1CharCharCharCar"/>
    <w:uiPriority w:val="99"/>
    <w:rsid w:val="009545F6"/>
    <w:rPr>
      <w:vertAlign w:val="superscript"/>
    </w:rPr>
  </w:style>
  <w:style w:type="paragraph" w:customStyle="1" w:styleId="SUPERSChar1Char1CharCharCharCar">
    <w:name w:val="SUPERS Char1 Char1 Char Char Char Car"/>
    <w:aliases w:val=" BVI fnr Char1 Char Char Char Char Car,BVI fnr Char1 Char Char Char Char Car,Footnote symbol Char1 Char Char Char Char Car,numar nota subsol Char1 Char Char Char Char Car,E Car"/>
    <w:basedOn w:val="Normal"/>
    <w:next w:val="Normal"/>
    <w:link w:val="FootnoteReference"/>
    <w:uiPriority w:val="99"/>
    <w:rsid w:val="009545F6"/>
    <w:pPr>
      <w:spacing w:after="160" w:line="240" w:lineRule="exact"/>
    </w:pPr>
    <w:rPr>
      <w:rFonts w:asciiTheme="minorHAnsi" w:eastAsiaTheme="minorHAnsi" w:hAnsiTheme="minorHAnsi" w:cstheme="minorBidi"/>
      <w:sz w:val="22"/>
      <w:szCs w:val="22"/>
      <w:vertAlign w:val="superscript"/>
      <w:lang w:val="en-US"/>
    </w:rPr>
  </w:style>
  <w:style w:type="character" w:customStyle="1" w:styleId="ListaCifreRomaneChar">
    <w:name w:val="Lista Cifre Romane Char"/>
    <w:link w:val="ListaCifreRomane"/>
    <w:locked/>
    <w:rsid w:val="009545F6"/>
    <w:rPr>
      <w:sz w:val="24"/>
      <w:szCs w:val="24"/>
      <w:lang w:val="ro-RO"/>
    </w:rPr>
  </w:style>
  <w:style w:type="paragraph" w:customStyle="1" w:styleId="ListaCifreRomane">
    <w:name w:val="Lista Cifre Romane"/>
    <w:basedOn w:val="Normal"/>
    <w:link w:val="ListaCifreRomaneChar"/>
    <w:qFormat/>
    <w:rsid w:val="009545F6"/>
    <w:pPr>
      <w:numPr>
        <w:numId w:val="17"/>
      </w:numPr>
      <w:spacing w:after="120" w:line="360" w:lineRule="auto"/>
      <w:ind w:left="924" w:hanging="357"/>
      <w:jc w:val="both"/>
    </w:pPr>
    <w:rPr>
      <w:rFonts w:asciiTheme="minorHAnsi" w:eastAsiaTheme="minorHAnsi" w:hAnsiTheme="minorHAnsi" w:cstheme="minorBidi"/>
    </w:rPr>
  </w:style>
  <w:style w:type="character" w:customStyle="1" w:styleId="ListaAChar">
    <w:name w:val="Lista A Char"/>
    <w:link w:val="ListaA"/>
    <w:locked/>
    <w:rsid w:val="009545F6"/>
    <w:rPr>
      <w:sz w:val="24"/>
      <w:szCs w:val="24"/>
      <w:lang w:val="ro-RO"/>
    </w:rPr>
  </w:style>
  <w:style w:type="paragraph" w:customStyle="1" w:styleId="ListaA">
    <w:name w:val="Lista A"/>
    <w:basedOn w:val="Normal"/>
    <w:link w:val="ListaAChar"/>
    <w:qFormat/>
    <w:rsid w:val="009545F6"/>
    <w:pPr>
      <w:numPr>
        <w:ilvl w:val="1"/>
        <w:numId w:val="19"/>
      </w:numPr>
      <w:spacing w:after="120" w:line="360" w:lineRule="auto"/>
      <w:jc w:val="both"/>
    </w:pPr>
    <w:rPr>
      <w:rFonts w:asciiTheme="minorHAnsi" w:eastAsiaTheme="minorHAnsi" w:hAnsiTheme="minorHAnsi" w:cstheme="minorBidi"/>
    </w:rPr>
  </w:style>
  <w:style w:type="paragraph" w:customStyle="1" w:styleId="al">
    <w:name w:val="a_l"/>
    <w:basedOn w:val="Normal"/>
    <w:rsid w:val="006C15A1"/>
    <w:pPr>
      <w:spacing w:before="100" w:beforeAutospacing="1" w:after="100" w:afterAutospacing="1"/>
    </w:pPr>
    <w:rPr>
      <w:lang w:eastAsia="ro-RO"/>
    </w:rPr>
  </w:style>
  <w:style w:type="character" w:customStyle="1" w:styleId="spar">
    <w:name w:val="s_par"/>
    <w:basedOn w:val="DefaultParagraphFont"/>
    <w:rsid w:val="00FF7D28"/>
  </w:style>
  <w:style w:type="character" w:customStyle="1" w:styleId="slitbdy">
    <w:name w:val="s_lit_bdy"/>
    <w:basedOn w:val="DefaultParagraphFont"/>
    <w:rsid w:val="006700D8"/>
  </w:style>
  <w:style w:type="character" w:customStyle="1" w:styleId="y2iqfc">
    <w:name w:val="y2iqfc"/>
    <w:basedOn w:val="DefaultParagraphFont"/>
    <w:rsid w:val="009C64DD"/>
  </w:style>
  <w:style w:type="character" w:customStyle="1" w:styleId="ssmnpar">
    <w:name w:val="s_smn_par"/>
    <w:basedOn w:val="DefaultParagraphFont"/>
    <w:rsid w:val="00B46951"/>
  </w:style>
  <w:style w:type="character" w:customStyle="1" w:styleId="sden1">
    <w:name w:val="s_den1"/>
    <w:basedOn w:val="DefaultParagraphFont"/>
    <w:rsid w:val="00A2114C"/>
    <w:rPr>
      <w:rFonts w:ascii="Verdana" w:hAnsi="Verdana" w:hint="default"/>
      <w:b/>
      <w:bCs/>
      <w:vanish w:val="0"/>
      <w:webHidden w:val="0"/>
      <w:color w:val="8B0000"/>
      <w:sz w:val="30"/>
      <w:szCs w:val="30"/>
      <w:shd w:val="clear" w:color="auto" w:fill="FFFFFF"/>
      <w:specVanish w:val="0"/>
    </w:rPr>
  </w:style>
  <w:style w:type="paragraph" w:customStyle="1" w:styleId="sden">
    <w:name w:val="s_den"/>
    <w:basedOn w:val="Normal"/>
    <w:rsid w:val="00E373EB"/>
    <w:pPr>
      <w:spacing w:before="100" w:beforeAutospacing="1" w:after="100" w:afterAutospacing="1"/>
    </w:pPr>
    <w:rPr>
      <w:lang w:val="en-GB" w:eastAsia="en-GB"/>
    </w:rPr>
  </w:style>
  <w:style w:type="paragraph" w:customStyle="1" w:styleId="shdr">
    <w:name w:val="s_hdr"/>
    <w:basedOn w:val="Normal"/>
    <w:rsid w:val="00E373EB"/>
    <w:pPr>
      <w:spacing w:before="100" w:beforeAutospacing="1" w:after="100" w:afterAutospacing="1"/>
    </w:pPr>
    <w:rPr>
      <w:lang w:val="en-GB" w:eastAsia="en-GB"/>
    </w:rPr>
  </w:style>
  <w:style w:type="character" w:styleId="Strong">
    <w:name w:val="Strong"/>
    <w:basedOn w:val="DefaultParagraphFont"/>
    <w:uiPriority w:val="22"/>
    <w:qFormat/>
    <w:rsid w:val="002E7B28"/>
    <w:rPr>
      <w:b/>
      <w:bCs/>
    </w:rPr>
  </w:style>
  <w:style w:type="character" w:customStyle="1" w:styleId="muxgbd">
    <w:name w:val="muxgbd"/>
    <w:basedOn w:val="DefaultParagraphFont"/>
    <w:rsid w:val="002E7B28"/>
  </w:style>
  <w:style w:type="character" w:customStyle="1" w:styleId="sntapar">
    <w:name w:val="s_nta_par"/>
    <w:basedOn w:val="DefaultParagraphFont"/>
    <w:rsid w:val="0097133F"/>
  </w:style>
  <w:style w:type="character" w:styleId="UnresolvedMention">
    <w:name w:val="Unresolved Mention"/>
    <w:basedOn w:val="DefaultParagraphFont"/>
    <w:uiPriority w:val="99"/>
    <w:semiHidden/>
    <w:unhideWhenUsed/>
    <w:rsid w:val="00420EEF"/>
    <w:rPr>
      <w:color w:val="605E5C"/>
      <w:shd w:val="clear" w:color="auto" w:fill="E1DFDD"/>
    </w:rPr>
  </w:style>
  <w:style w:type="table" w:customStyle="1" w:styleId="TableGrid6">
    <w:name w:val="Table Grid6"/>
    <w:basedOn w:val="TableNormal"/>
    <w:next w:val="TableGrid"/>
    <w:uiPriority w:val="99"/>
    <w:rsid w:val="00257058"/>
    <w:pPr>
      <w:spacing w:after="0" w:line="240" w:lineRule="auto"/>
    </w:pPr>
    <w:rPr>
      <w:rFonts w:ascii="Cambria" w:eastAsia="MS Mincho" w:hAnsi="Cambria" w:cs="Cambria"/>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1702">
      <w:bodyDiv w:val="1"/>
      <w:marLeft w:val="0"/>
      <w:marRight w:val="0"/>
      <w:marTop w:val="0"/>
      <w:marBottom w:val="0"/>
      <w:divBdr>
        <w:top w:val="none" w:sz="0" w:space="0" w:color="auto"/>
        <w:left w:val="none" w:sz="0" w:space="0" w:color="auto"/>
        <w:bottom w:val="none" w:sz="0" w:space="0" w:color="auto"/>
        <w:right w:val="none" w:sz="0" w:space="0" w:color="auto"/>
      </w:divBdr>
    </w:div>
    <w:div w:id="58136818">
      <w:bodyDiv w:val="1"/>
      <w:marLeft w:val="0"/>
      <w:marRight w:val="0"/>
      <w:marTop w:val="0"/>
      <w:marBottom w:val="0"/>
      <w:divBdr>
        <w:top w:val="none" w:sz="0" w:space="0" w:color="auto"/>
        <w:left w:val="none" w:sz="0" w:space="0" w:color="auto"/>
        <w:bottom w:val="none" w:sz="0" w:space="0" w:color="auto"/>
        <w:right w:val="none" w:sz="0" w:space="0" w:color="auto"/>
      </w:divBdr>
    </w:div>
    <w:div w:id="163595865">
      <w:bodyDiv w:val="1"/>
      <w:marLeft w:val="0"/>
      <w:marRight w:val="0"/>
      <w:marTop w:val="0"/>
      <w:marBottom w:val="0"/>
      <w:divBdr>
        <w:top w:val="none" w:sz="0" w:space="0" w:color="auto"/>
        <w:left w:val="none" w:sz="0" w:space="0" w:color="auto"/>
        <w:bottom w:val="none" w:sz="0" w:space="0" w:color="auto"/>
        <w:right w:val="none" w:sz="0" w:space="0" w:color="auto"/>
      </w:divBdr>
    </w:div>
    <w:div w:id="168638186">
      <w:bodyDiv w:val="1"/>
      <w:marLeft w:val="0"/>
      <w:marRight w:val="0"/>
      <w:marTop w:val="0"/>
      <w:marBottom w:val="0"/>
      <w:divBdr>
        <w:top w:val="none" w:sz="0" w:space="0" w:color="auto"/>
        <w:left w:val="none" w:sz="0" w:space="0" w:color="auto"/>
        <w:bottom w:val="none" w:sz="0" w:space="0" w:color="auto"/>
        <w:right w:val="none" w:sz="0" w:space="0" w:color="auto"/>
      </w:divBdr>
    </w:div>
    <w:div w:id="186409884">
      <w:bodyDiv w:val="1"/>
      <w:marLeft w:val="0"/>
      <w:marRight w:val="0"/>
      <w:marTop w:val="0"/>
      <w:marBottom w:val="0"/>
      <w:divBdr>
        <w:top w:val="none" w:sz="0" w:space="0" w:color="auto"/>
        <w:left w:val="none" w:sz="0" w:space="0" w:color="auto"/>
        <w:bottom w:val="none" w:sz="0" w:space="0" w:color="auto"/>
        <w:right w:val="none" w:sz="0" w:space="0" w:color="auto"/>
      </w:divBdr>
    </w:div>
    <w:div w:id="196622305">
      <w:bodyDiv w:val="1"/>
      <w:marLeft w:val="0"/>
      <w:marRight w:val="0"/>
      <w:marTop w:val="0"/>
      <w:marBottom w:val="0"/>
      <w:divBdr>
        <w:top w:val="none" w:sz="0" w:space="0" w:color="auto"/>
        <w:left w:val="none" w:sz="0" w:space="0" w:color="auto"/>
        <w:bottom w:val="none" w:sz="0" w:space="0" w:color="auto"/>
        <w:right w:val="none" w:sz="0" w:space="0" w:color="auto"/>
      </w:divBdr>
    </w:div>
    <w:div w:id="264387125">
      <w:bodyDiv w:val="1"/>
      <w:marLeft w:val="0"/>
      <w:marRight w:val="0"/>
      <w:marTop w:val="0"/>
      <w:marBottom w:val="0"/>
      <w:divBdr>
        <w:top w:val="none" w:sz="0" w:space="0" w:color="auto"/>
        <w:left w:val="none" w:sz="0" w:space="0" w:color="auto"/>
        <w:bottom w:val="none" w:sz="0" w:space="0" w:color="auto"/>
        <w:right w:val="none" w:sz="0" w:space="0" w:color="auto"/>
      </w:divBdr>
    </w:div>
    <w:div w:id="274027299">
      <w:bodyDiv w:val="1"/>
      <w:marLeft w:val="0"/>
      <w:marRight w:val="0"/>
      <w:marTop w:val="0"/>
      <w:marBottom w:val="0"/>
      <w:divBdr>
        <w:top w:val="none" w:sz="0" w:space="0" w:color="auto"/>
        <w:left w:val="none" w:sz="0" w:space="0" w:color="auto"/>
        <w:bottom w:val="none" w:sz="0" w:space="0" w:color="auto"/>
        <w:right w:val="none" w:sz="0" w:space="0" w:color="auto"/>
      </w:divBdr>
    </w:div>
    <w:div w:id="341670646">
      <w:bodyDiv w:val="1"/>
      <w:marLeft w:val="0"/>
      <w:marRight w:val="0"/>
      <w:marTop w:val="0"/>
      <w:marBottom w:val="0"/>
      <w:divBdr>
        <w:top w:val="none" w:sz="0" w:space="0" w:color="auto"/>
        <w:left w:val="none" w:sz="0" w:space="0" w:color="auto"/>
        <w:bottom w:val="none" w:sz="0" w:space="0" w:color="auto"/>
        <w:right w:val="none" w:sz="0" w:space="0" w:color="auto"/>
      </w:divBdr>
    </w:div>
    <w:div w:id="373122914">
      <w:bodyDiv w:val="1"/>
      <w:marLeft w:val="0"/>
      <w:marRight w:val="0"/>
      <w:marTop w:val="0"/>
      <w:marBottom w:val="0"/>
      <w:divBdr>
        <w:top w:val="none" w:sz="0" w:space="0" w:color="auto"/>
        <w:left w:val="none" w:sz="0" w:space="0" w:color="auto"/>
        <w:bottom w:val="none" w:sz="0" w:space="0" w:color="auto"/>
        <w:right w:val="none" w:sz="0" w:space="0" w:color="auto"/>
      </w:divBdr>
    </w:div>
    <w:div w:id="376701502">
      <w:bodyDiv w:val="1"/>
      <w:marLeft w:val="0"/>
      <w:marRight w:val="0"/>
      <w:marTop w:val="0"/>
      <w:marBottom w:val="0"/>
      <w:divBdr>
        <w:top w:val="none" w:sz="0" w:space="0" w:color="auto"/>
        <w:left w:val="none" w:sz="0" w:space="0" w:color="auto"/>
        <w:bottom w:val="none" w:sz="0" w:space="0" w:color="auto"/>
        <w:right w:val="none" w:sz="0" w:space="0" w:color="auto"/>
      </w:divBdr>
    </w:div>
    <w:div w:id="398329692">
      <w:bodyDiv w:val="1"/>
      <w:marLeft w:val="0"/>
      <w:marRight w:val="0"/>
      <w:marTop w:val="0"/>
      <w:marBottom w:val="0"/>
      <w:divBdr>
        <w:top w:val="none" w:sz="0" w:space="0" w:color="auto"/>
        <w:left w:val="none" w:sz="0" w:space="0" w:color="auto"/>
        <w:bottom w:val="none" w:sz="0" w:space="0" w:color="auto"/>
        <w:right w:val="none" w:sz="0" w:space="0" w:color="auto"/>
      </w:divBdr>
    </w:div>
    <w:div w:id="435490971">
      <w:bodyDiv w:val="1"/>
      <w:marLeft w:val="0"/>
      <w:marRight w:val="0"/>
      <w:marTop w:val="0"/>
      <w:marBottom w:val="0"/>
      <w:divBdr>
        <w:top w:val="none" w:sz="0" w:space="0" w:color="auto"/>
        <w:left w:val="none" w:sz="0" w:space="0" w:color="auto"/>
        <w:bottom w:val="none" w:sz="0" w:space="0" w:color="auto"/>
        <w:right w:val="none" w:sz="0" w:space="0" w:color="auto"/>
      </w:divBdr>
    </w:div>
    <w:div w:id="472066420">
      <w:bodyDiv w:val="1"/>
      <w:marLeft w:val="0"/>
      <w:marRight w:val="0"/>
      <w:marTop w:val="0"/>
      <w:marBottom w:val="0"/>
      <w:divBdr>
        <w:top w:val="none" w:sz="0" w:space="0" w:color="auto"/>
        <w:left w:val="none" w:sz="0" w:space="0" w:color="auto"/>
        <w:bottom w:val="none" w:sz="0" w:space="0" w:color="auto"/>
        <w:right w:val="none" w:sz="0" w:space="0" w:color="auto"/>
      </w:divBdr>
    </w:div>
    <w:div w:id="553155263">
      <w:bodyDiv w:val="1"/>
      <w:marLeft w:val="0"/>
      <w:marRight w:val="0"/>
      <w:marTop w:val="0"/>
      <w:marBottom w:val="0"/>
      <w:divBdr>
        <w:top w:val="none" w:sz="0" w:space="0" w:color="auto"/>
        <w:left w:val="none" w:sz="0" w:space="0" w:color="auto"/>
        <w:bottom w:val="none" w:sz="0" w:space="0" w:color="auto"/>
        <w:right w:val="none" w:sz="0" w:space="0" w:color="auto"/>
      </w:divBdr>
    </w:div>
    <w:div w:id="648753987">
      <w:bodyDiv w:val="1"/>
      <w:marLeft w:val="0"/>
      <w:marRight w:val="0"/>
      <w:marTop w:val="0"/>
      <w:marBottom w:val="0"/>
      <w:divBdr>
        <w:top w:val="none" w:sz="0" w:space="0" w:color="auto"/>
        <w:left w:val="none" w:sz="0" w:space="0" w:color="auto"/>
        <w:bottom w:val="none" w:sz="0" w:space="0" w:color="auto"/>
        <w:right w:val="none" w:sz="0" w:space="0" w:color="auto"/>
      </w:divBdr>
    </w:div>
    <w:div w:id="655841619">
      <w:bodyDiv w:val="1"/>
      <w:marLeft w:val="0"/>
      <w:marRight w:val="0"/>
      <w:marTop w:val="0"/>
      <w:marBottom w:val="0"/>
      <w:divBdr>
        <w:top w:val="none" w:sz="0" w:space="0" w:color="auto"/>
        <w:left w:val="none" w:sz="0" w:space="0" w:color="auto"/>
        <w:bottom w:val="none" w:sz="0" w:space="0" w:color="auto"/>
        <w:right w:val="none" w:sz="0" w:space="0" w:color="auto"/>
      </w:divBdr>
    </w:div>
    <w:div w:id="687832340">
      <w:bodyDiv w:val="1"/>
      <w:marLeft w:val="0"/>
      <w:marRight w:val="0"/>
      <w:marTop w:val="0"/>
      <w:marBottom w:val="0"/>
      <w:divBdr>
        <w:top w:val="none" w:sz="0" w:space="0" w:color="auto"/>
        <w:left w:val="none" w:sz="0" w:space="0" w:color="auto"/>
        <w:bottom w:val="none" w:sz="0" w:space="0" w:color="auto"/>
        <w:right w:val="none" w:sz="0" w:space="0" w:color="auto"/>
      </w:divBdr>
    </w:div>
    <w:div w:id="694506467">
      <w:bodyDiv w:val="1"/>
      <w:marLeft w:val="0"/>
      <w:marRight w:val="0"/>
      <w:marTop w:val="0"/>
      <w:marBottom w:val="0"/>
      <w:divBdr>
        <w:top w:val="none" w:sz="0" w:space="0" w:color="auto"/>
        <w:left w:val="none" w:sz="0" w:space="0" w:color="auto"/>
        <w:bottom w:val="none" w:sz="0" w:space="0" w:color="auto"/>
        <w:right w:val="none" w:sz="0" w:space="0" w:color="auto"/>
      </w:divBdr>
      <w:divsChild>
        <w:div w:id="136580618">
          <w:marLeft w:val="0"/>
          <w:marRight w:val="0"/>
          <w:marTop w:val="0"/>
          <w:marBottom w:val="0"/>
          <w:divBdr>
            <w:top w:val="none" w:sz="0" w:space="0" w:color="auto"/>
            <w:left w:val="none" w:sz="0" w:space="0" w:color="auto"/>
            <w:bottom w:val="none" w:sz="0" w:space="0" w:color="auto"/>
            <w:right w:val="none" w:sz="0" w:space="0" w:color="auto"/>
          </w:divBdr>
        </w:div>
      </w:divsChild>
    </w:div>
    <w:div w:id="708644503">
      <w:bodyDiv w:val="1"/>
      <w:marLeft w:val="0"/>
      <w:marRight w:val="0"/>
      <w:marTop w:val="0"/>
      <w:marBottom w:val="0"/>
      <w:divBdr>
        <w:top w:val="none" w:sz="0" w:space="0" w:color="auto"/>
        <w:left w:val="none" w:sz="0" w:space="0" w:color="auto"/>
        <w:bottom w:val="none" w:sz="0" w:space="0" w:color="auto"/>
        <w:right w:val="none" w:sz="0" w:space="0" w:color="auto"/>
      </w:divBdr>
    </w:div>
    <w:div w:id="714738191">
      <w:bodyDiv w:val="1"/>
      <w:marLeft w:val="0"/>
      <w:marRight w:val="0"/>
      <w:marTop w:val="0"/>
      <w:marBottom w:val="0"/>
      <w:divBdr>
        <w:top w:val="none" w:sz="0" w:space="0" w:color="auto"/>
        <w:left w:val="none" w:sz="0" w:space="0" w:color="auto"/>
        <w:bottom w:val="none" w:sz="0" w:space="0" w:color="auto"/>
        <w:right w:val="none" w:sz="0" w:space="0" w:color="auto"/>
      </w:divBdr>
    </w:div>
    <w:div w:id="724794826">
      <w:bodyDiv w:val="1"/>
      <w:marLeft w:val="0"/>
      <w:marRight w:val="0"/>
      <w:marTop w:val="0"/>
      <w:marBottom w:val="0"/>
      <w:divBdr>
        <w:top w:val="none" w:sz="0" w:space="0" w:color="auto"/>
        <w:left w:val="none" w:sz="0" w:space="0" w:color="auto"/>
        <w:bottom w:val="none" w:sz="0" w:space="0" w:color="auto"/>
        <w:right w:val="none" w:sz="0" w:space="0" w:color="auto"/>
      </w:divBdr>
    </w:div>
    <w:div w:id="741685243">
      <w:bodyDiv w:val="1"/>
      <w:marLeft w:val="0"/>
      <w:marRight w:val="0"/>
      <w:marTop w:val="0"/>
      <w:marBottom w:val="0"/>
      <w:divBdr>
        <w:top w:val="none" w:sz="0" w:space="0" w:color="auto"/>
        <w:left w:val="none" w:sz="0" w:space="0" w:color="auto"/>
        <w:bottom w:val="none" w:sz="0" w:space="0" w:color="auto"/>
        <w:right w:val="none" w:sz="0" w:space="0" w:color="auto"/>
      </w:divBdr>
      <w:divsChild>
        <w:div w:id="1267420860">
          <w:marLeft w:val="0"/>
          <w:marRight w:val="0"/>
          <w:marTop w:val="0"/>
          <w:marBottom w:val="0"/>
          <w:divBdr>
            <w:top w:val="none" w:sz="0" w:space="0" w:color="auto"/>
            <w:left w:val="none" w:sz="0" w:space="0" w:color="auto"/>
            <w:bottom w:val="none" w:sz="0" w:space="0" w:color="auto"/>
            <w:right w:val="none" w:sz="0" w:space="0" w:color="auto"/>
          </w:divBdr>
        </w:div>
      </w:divsChild>
    </w:div>
    <w:div w:id="821700759">
      <w:bodyDiv w:val="1"/>
      <w:marLeft w:val="0"/>
      <w:marRight w:val="0"/>
      <w:marTop w:val="0"/>
      <w:marBottom w:val="0"/>
      <w:divBdr>
        <w:top w:val="none" w:sz="0" w:space="0" w:color="auto"/>
        <w:left w:val="none" w:sz="0" w:space="0" w:color="auto"/>
        <w:bottom w:val="none" w:sz="0" w:space="0" w:color="auto"/>
        <w:right w:val="none" w:sz="0" w:space="0" w:color="auto"/>
      </w:divBdr>
    </w:div>
    <w:div w:id="946889656">
      <w:bodyDiv w:val="1"/>
      <w:marLeft w:val="0"/>
      <w:marRight w:val="0"/>
      <w:marTop w:val="0"/>
      <w:marBottom w:val="0"/>
      <w:divBdr>
        <w:top w:val="none" w:sz="0" w:space="0" w:color="auto"/>
        <w:left w:val="none" w:sz="0" w:space="0" w:color="auto"/>
        <w:bottom w:val="none" w:sz="0" w:space="0" w:color="auto"/>
        <w:right w:val="none" w:sz="0" w:space="0" w:color="auto"/>
      </w:divBdr>
    </w:div>
    <w:div w:id="953707327">
      <w:bodyDiv w:val="1"/>
      <w:marLeft w:val="0"/>
      <w:marRight w:val="0"/>
      <w:marTop w:val="0"/>
      <w:marBottom w:val="0"/>
      <w:divBdr>
        <w:top w:val="none" w:sz="0" w:space="0" w:color="auto"/>
        <w:left w:val="none" w:sz="0" w:space="0" w:color="auto"/>
        <w:bottom w:val="none" w:sz="0" w:space="0" w:color="auto"/>
        <w:right w:val="none" w:sz="0" w:space="0" w:color="auto"/>
      </w:divBdr>
    </w:div>
    <w:div w:id="983971675">
      <w:bodyDiv w:val="1"/>
      <w:marLeft w:val="0"/>
      <w:marRight w:val="0"/>
      <w:marTop w:val="0"/>
      <w:marBottom w:val="0"/>
      <w:divBdr>
        <w:top w:val="none" w:sz="0" w:space="0" w:color="auto"/>
        <w:left w:val="none" w:sz="0" w:space="0" w:color="auto"/>
        <w:bottom w:val="none" w:sz="0" w:space="0" w:color="auto"/>
        <w:right w:val="none" w:sz="0" w:space="0" w:color="auto"/>
      </w:divBdr>
    </w:div>
    <w:div w:id="1022050013">
      <w:bodyDiv w:val="1"/>
      <w:marLeft w:val="0"/>
      <w:marRight w:val="0"/>
      <w:marTop w:val="0"/>
      <w:marBottom w:val="0"/>
      <w:divBdr>
        <w:top w:val="none" w:sz="0" w:space="0" w:color="auto"/>
        <w:left w:val="none" w:sz="0" w:space="0" w:color="auto"/>
        <w:bottom w:val="none" w:sz="0" w:space="0" w:color="auto"/>
        <w:right w:val="none" w:sz="0" w:space="0" w:color="auto"/>
      </w:divBdr>
    </w:div>
    <w:div w:id="1069763157">
      <w:bodyDiv w:val="1"/>
      <w:marLeft w:val="0"/>
      <w:marRight w:val="0"/>
      <w:marTop w:val="0"/>
      <w:marBottom w:val="0"/>
      <w:divBdr>
        <w:top w:val="none" w:sz="0" w:space="0" w:color="auto"/>
        <w:left w:val="none" w:sz="0" w:space="0" w:color="auto"/>
        <w:bottom w:val="none" w:sz="0" w:space="0" w:color="auto"/>
        <w:right w:val="none" w:sz="0" w:space="0" w:color="auto"/>
      </w:divBdr>
    </w:div>
    <w:div w:id="1114708165">
      <w:bodyDiv w:val="1"/>
      <w:marLeft w:val="0"/>
      <w:marRight w:val="0"/>
      <w:marTop w:val="0"/>
      <w:marBottom w:val="0"/>
      <w:divBdr>
        <w:top w:val="none" w:sz="0" w:space="0" w:color="auto"/>
        <w:left w:val="none" w:sz="0" w:space="0" w:color="auto"/>
        <w:bottom w:val="none" w:sz="0" w:space="0" w:color="auto"/>
        <w:right w:val="none" w:sz="0" w:space="0" w:color="auto"/>
      </w:divBdr>
    </w:div>
    <w:div w:id="1135099875">
      <w:bodyDiv w:val="1"/>
      <w:marLeft w:val="0"/>
      <w:marRight w:val="0"/>
      <w:marTop w:val="0"/>
      <w:marBottom w:val="0"/>
      <w:divBdr>
        <w:top w:val="none" w:sz="0" w:space="0" w:color="auto"/>
        <w:left w:val="none" w:sz="0" w:space="0" w:color="auto"/>
        <w:bottom w:val="none" w:sz="0" w:space="0" w:color="auto"/>
        <w:right w:val="none" w:sz="0" w:space="0" w:color="auto"/>
      </w:divBdr>
    </w:div>
    <w:div w:id="1137842082">
      <w:bodyDiv w:val="1"/>
      <w:marLeft w:val="0"/>
      <w:marRight w:val="0"/>
      <w:marTop w:val="0"/>
      <w:marBottom w:val="0"/>
      <w:divBdr>
        <w:top w:val="none" w:sz="0" w:space="0" w:color="auto"/>
        <w:left w:val="none" w:sz="0" w:space="0" w:color="auto"/>
        <w:bottom w:val="none" w:sz="0" w:space="0" w:color="auto"/>
        <w:right w:val="none" w:sz="0" w:space="0" w:color="auto"/>
      </w:divBdr>
    </w:div>
    <w:div w:id="1174608195">
      <w:bodyDiv w:val="1"/>
      <w:marLeft w:val="0"/>
      <w:marRight w:val="0"/>
      <w:marTop w:val="0"/>
      <w:marBottom w:val="0"/>
      <w:divBdr>
        <w:top w:val="none" w:sz="0" w:space="0" w:color="auto"/>
        <w:left w:val="none" w:sz="0" w:space="0" w:color="auto"/>
        <w:bottom w:val="none" w:sz="0" w:space="0" w:color="auto"/>
        <w:right w:val="none" w:sz="0" w:space="0" w:color="auto"/>
      </w:divBdr>
    </w:div>
    <w:div w:id="1302812629">
      <w:bodyDiv w:val="1"/>
      <w:marLeft w:val="0"/>
      <w:marRight w:val="0"/>
      <w:marTop w:val="0"/>
      <w:marBottom w:val="0"/>
      <w:divBdr>
        <w:top w:val="none" w:sz="0" w:space="0" w:color="auto"/>
        <w:left w:val="none" w:sz="0" w:space="0" w:color="auto"/>
        <w:bottom w:val="none" w:sz="0" w:space="0" w:color="auto"/>
        <w:right w:val="none" w:sz="0" w:space="0" w:color="auto"/>
      </w:divBdr>
    </w:div>
    <w:div w:id="1320234156">
      <w:bodyDiv w:val="1"/>
      <w:marLeft w:val="0"/>
      <w:marRight w:val="0"/>
      <w:marTop w:val="0"/>
      <w:marBottom w:val="0"/>
      <w:divBdr>
        <w:top w:val="none" w:sz="0" w:space="0" w:color="auto"/>
        <w:left w:val="none" w:sz="0" w:space="0" w:color="auto"/>
        <w:bottom w:val="none" w:sz="0" w:space="0" w:color="auto"/>
        <w:right w:val="none" w:sz="0" w:space="0" w:color="auto"/>
      </w:divBdr>
    </w:div>
    <w:div w:id="1327518847">
      <w:bodyDiv w:val="1"/>
      <w:marLeft w:val="0"/>
      <w:marRight w:val="0"/>
      <w:marTop w:val="0"/>
      <w:marBottom w:val="0"/>
      <w:divBdr>
        <w:top w:val="none" w:sz="0" w:space="0" w:color="auto"/>
        <w:left w:val="none" w:sz="0" w:space="0" w:color="auto"/>
        <w:bottom w:val="none" w:sz="0" w:space="0" w:color="auto"/>
        <w:right w:val="none" w:sz="0" w:space="0" w:color="auto"/>
      </w:divBdr>
    </w:div>
    <w:div w:id="1413354410">
      <w:bodyDiv w:val="1"/>
      <w:marLeft w:val="0"/>
      <w:marRight w:val="0"/>
      <w:marTop w:val="0"/>
      <w:marBottom w:val="0"/>
      <w:divBdr>
        <w:top w:val="none" w:sz="0" w:space="0" w:color="auto"/>
        <w:left w:val="none" w:sz="0" w:space="0" w:color="auto"/>
        <w:bottom w:val="none" w:sz="0" w:space="0" w:color="auto"/>
        <w:right w:val="none" w:sz="0" w:space="0" w:color="auto"/>
      </w:divBdr>
    </w:div>
    <w:div w:id="1465541990">
      <w:bodyDiv w:val="1"/>
      <w:marLeft w:val="0"/>
      <w:marRight w:val="0"/>
      <w:marTop w:val="0"/>
      <w:marBottom w:val="0"/>
      <w:divBdr>
        <w:top w:val="none" w:sz="0" w:space="0" w:color="auto"/>
        <w:left w:val="none" w:sz="0" w:space="0" w:color="auto"/>
        <w:bottom w:val="none" w:sz="0" w:space="0" w:color="auto"/>
        <w:right w:val="none" w:sz="0" w:space="0" w:color="auto"/>
      </w:divBdr>
    </w:div>
    <w:div w:id="1470589820">
      <w:bodyDiv w:val="1"/>
      <w:marLeft w:val="0"/>
      <w:marRight w:val="0"/>
      <w:marTop w:val="0"/>
      <w:marBottom w:val="0"/>
      <w:divBdr>
        <w:top w:val="none" w:sz="0" w:space="0" w:color="auto"/>
        <w:left w:val="none" w:sz="0" w:space="0" w:color="auto"/>
        <w:bottom w:val="none" w:sz="0" w:space="0" w:color="auto"/>
        <w:right w:val="none" w:sz="0" w:space="0" w:color="auto"/>
      </w:divBdr>
    </w:div>
    <w:div w:id="1484353612">
      <w:bodyDiv w:val="1"/>
      <w:marLeft w:val="0"/>
      <w:marRight w:val="0"/>
      <w:marTop w:val="0"/>
      <w:marBottom w:val="0"/>
      <w:divBdr>
        <w:top w:val="none" w:sz="0" w:space="0" w:color="auto"/>
        <w:left w:val="none" w:sz="0" w:space="0" w:color="auto"/>
        <w:bottom w:val="none" w:sz="0" w:space="0" w:color="auto"/>
        <w:right w:val="none" w:sz="0" w:space="0" w:color="auto"/>
      </w:divBdr>
    </w:div>
    <w:div w:id="1487282297">
      <w:bodyDiv w:val="1"/>
      <w:marLeft w:val="0"/>
      <w:marRight w:val="0"/>
      <w:marTop w:val="0"/>
      <w:marBottom w:val="0"/>
      <w:divBdr>
        <w:top w:val="none" w:sz="0" w:space="0" w:color="auto"/>
        <w:left w:val="none" w:sz="0" w:space="0" w:color="auto"/>
        <w:bottom w:val="none" w:sz="0" w:space="0" w:color="auto"/>
        <w:right w:val="none" w:sz="0" w:space="0" w:color="auto"/>
      </w:divBdr>
    </w:div>
    <w:div w:id="1529294118">
      <w:bodyDiv w:val="1"/>
      <w:marLeft w:val="0"/>
      <w:marRight w:val="0"/>
      <w:marTop w:val="0"/>
      <w:marBottom w:val="0"/>
      <w:divBdr>
        <w:top w:val="none" w:sz="0" w:space="0" w:color="auto"/>
        <w:left w:val="none" w:sz="0" w:space="0" w:color="auto"/>
        <w:bottom w:val="none" w:sz="0" w:space="0" w:color="auto"/>
        <w:right w:val="none" w:sz="0" w:space="0" w:color="auto"/>
      </w:divBdr>
    </w:div>
    <w:div w:id="1564097924">
      <w:bodyDiv w:val="1"/>
      <w:marLeft w:val="0"/>
      <w:marRight w:val="0"/>
      <w:marTop w:val="0"/>
      <w:marBottom w:val="0"/>
      <w:divBdr>
        <w:top w:val="none" w:sz="0" w:space="0" w:color="auto"/>
        <w:left w:val="none" w:sz="0" w:space="0" w:color="auto"/>
        <w:bottom w:val="none" w:sz="0" w:space="0" w:color="auto"/>
        <w:right w:val="none" w:sz="0" w:space="0" w:color="auto"/>
      </w:divBdr>
    </w:div>
    <w:div w:id="1566140755">
      <w:bodyDiv w:val="1"/>
      <w:marLeft w:val="0"/>
      <w:marRight w:val="0"/>
      <w:marTop w:val="0"/>
      <w:marBottom w:val="0"/>
      <w:divBdr>
        <w:top w:val="none" w:sz="0" w:space="0" w:color="auto"/>
        <w:left w:val="none" w:sz="0" w:space="0" w:color="auto"/>
        <w:bottom w:val="none" w:sz="0" w:space="0" w:color="auto"/>
        <w:right w:val="none" w:sz="0" w:space="0" w:color="auto"/>
      </w:divBdr>
    </w:div>
    <w:div w:id="1576210594">
      <w:bodyDiv w:val="1"/>
      <w:marLeft w:val="0"/>
      <w:marRight w:val="0"/>
      <w:marTop w:val="0"/>
      <w:marBottom w:val="0"/>
      <w:divBdr>
        <w:top w:val="none" w:sz="0" w:space="0" w:color="auto"/>
        <w:left w:val="none" w:sz="0" w:space="0" w:color="auto"/>
        <w:bottom w:val="none" w:sz="0" w:space="0" w:color="auto"/>
        <w:right w:val="none" w:sz="0" w:space="0" w:color="auto"/>
      </w:divBdr>
    </w:div>
    <w:div w:id="1583753842">
      <w:bodyDiv w:val="1"/>
      <w:marLeft w:val="0"/>
      <w:marRight w:val="0"/>
      <w:marTop w:val="0"/>
      <w:marBottom w:val="0"/>
      <w:divBdr>
        <w:top w:val="none" w:sz="0" w:space="0" w:color="auto"/>
        <w:left w:val="none" w:sz="0" w:space="0" w:color="auto"/>
        <w:bottom w:val="none" w:sz="0" w:space="0" w:color="auto"/>
        <w:right w:val="none" w:sz="0" w:space="0" w:color="auto"/>
      </w:divBdr>
    </w:div>
    <w:div w:id="1603996462">
      <w:bodyDiv w:val="1"/>
      <w:marLeft w:val="0"/>
      <w:marRight w:val="0"/>
      <w:marTop w:val="0"/>
      <w:marBottom w:val="0"/>
      <w:divBdr>
        <w:top w:val="none" w:sz="0" w:space="0" w:color="auto"/>
        <w:left w:val="none" w:sz="0" w:space="0" w:color="auto"/>
        <w:bottom w:val="none" w:sz="0" w:space="0" w:color="auto"/>
        <w:right w:val="none" w:sz="0" w:space="0" w:color="auto"/>
      </w:divBdr>
    </w:div>
    <w:div w:id="1609464030">
      <w:bodyDiv w:val="1"/>
      <w:marLeft w:val="0"/>
      <w:marRight w:val="0"/>
      <w:marTop w:val="0"/>
      <w:marBottom w:val="0"/>
      <w:divBdr>
        <w:top w:val="none" w:sz="0" w:space="0" w:color="auto"/>
        <w:left w:val="none" w:sz="0" w:space="0" w:color="auto"/>
        <w:bottom w:val="none" w:sz="0" w:space="0" w:color="auto"/>
        <w:right w:val="none" w:sz="0" w:space="0" w:color="auto"/>
      </w:divBdr>
      <w:divsChild>
        <w:div w:id="885020344">
          <w:marLeft w:val="0"/>
          <w:marRight w:val="0"/>
          <w:marTop w:val="0"/>
          <w:marBottom w:val="0"/>
          <w:divBdr>
            <w:top w:val="none" w:sz="0" w:space="0" w:color="auto"/>
            <w:left w:val="none" w:sz="0" w:space="0" w:color="auto"/>
            <w:bottom w:val="none" w:sz="0" w:space="0" w:color="auto"/>
            <w:right w:val="none" w:sz="0" w:space="0" w:color="auto"/>
          </w:divBdr>
        </w:div>
      </w:divsChild>
    </w:div>
    <w:div w:id="1623031635">
      <w:bodyDiv w:val="1"/>
      <w:marLeft w:val="0"/>
      <w:marRight w:val="0"/>
      <w:marTop w:val="0"/>
      <w:marBottom w:val="0"/>
      <w:divBdr>
        <w:top w:val="none" w:sz="0" w:space="0" w:color="auto"/>
        <w:left w:val="none" w:sz="0" w:space="0" w:color="auto"/>
        <w:bottom w:val="none" w:sz="0" w:space="0" w:color="auto"/>
        <w:right w:val="none" w:sz="0" w:space="0" w:color="auto"/>
      </w:divBdr>
    </w:div>
    <w:div w:id="1635407024">
      <w:bodyDiv w:val="1"/>
      <w:marLeft w:val="0"/>
      <w:marRight w:val="0"/>
      <w:marTop w:val="0"/>
      <w:marBottom w:val="0"/>
      <w:divBdr>
        <w:top w:val="none" w:sz="0" w:space="0" w:color="auto"/>
        <w:left w:val="none" w:sz="0" w:space="0" w:color="auto"/>
        <w:bottom w:val="none" w:sz="0" w:space="0" w:color="auto"/>
        <w:right w:val="none" w:sz="0" w:space="0" w:color="auto"/>
      </w:divBdr>
    </w:div>
    <w:div w:id="1659847536">
      <w:bodyDiv w:val="1"/>
      <w:marLeft w:val="0"/>
      <w:marRight w:val="0"/>
      <w:marTop w:val="0"/>
      <w:marBottom w:val="0"/>
      <w:divBdr>
        <w:top w:val="none" w:sz="0" w:space="0" w:color="auto"/>
        <w:left w:val="none" w:sz="0" w:space="0" w:color="auto"/>
        <w:bottom w:val="none" w:sz="0" w:space="0" w:color="auto"/>
        <w:right w:val="none" w:sz="0" w:space="0" w:color="auto"/>
      </w:divBdr>
    </w:div>
    <w:div w:id="1666319770">
      <w:bodyDiv w:val="1"/>
      <w:marLeft w:val="0"/>
      <w:marRight w:val="0"/>
      <w:marTop w:val="0"/>
      <w:marBottom w:val="0"/>
      <w:divBdr>
        <w:top w:val="none" w:sz="0" w:space="0" w:color="auto"/>
        <w:left w:val="none" w:sz="0" w:space="0" w:color="auto"/>
        <w:bottom w:val="none" w:sz="0" w:space="0" w:color="auto"/>
        <w:right w:val="none" w:sz="0" w:space="0" w:color="auto"/>
      </w:divBdr>
    </w:div>
    <w:div w:id="1678727019">
      <w:bodyDiv w:val="1"/>
      <w:marLeft w:val="0"/>
      <w:marRight w:val="0"/>
      <w:marTop w:val="0"/>
      <w:marBottom w:val="0"/>
      <w:divBdr>
        <w:top w:val="none" w:sz="0" w:space="0" w:color="auto"/>
        <w:left w:val="none" w:sz="0" w:space="0" w:color="auto"/>
        <w:bottom w:val="none" w:sz="0" w:space="0" w:color="auto"/>
        <w:right w:val="none" w:sz="0" w:space="0" w:color="auto"/>
      </w:divBdr>
    </w:div>
    <w:div w:id="1678927333">
      <w:bodyDiv w:val="1"/>
      <w:marLeft w:val="0"/>
      <w:marRight w:val="0"/>
      <w:marTop w:val="0"/>
      <w:marBottom w:val="0"/>
      <w:divBdr>
        <w:top w:val="none" w:sz="0" w:space="0" w:color="auto"/>
        <w:left w:val="none" w:sz="0" w:space="0" w:color="auto"/>
        <w:bottom w:val="none" w:sz="0" w:space="0" w:color="auto"/>
        <w:right w:val="none" w:sz="0" w:space="0" w:color="auto"/>
      </w:divBdr>
    </w:div>
    <w:div w:id="1700545194">
      <w:bodyDiv w:val="1"/>
      <w:marLeft w:val="0"/>
      <w:marRight w:val="0"/>
      <w:marTop w:val="0"/>
      <w:marBottom w:val="0"/>
      <w:divBdr>
        <w:top w:val="none" w:sz="0" w:space="0" w:color="auto"/>
        <w:left w:val="none" w:sz="0" w:space="0" w:color="auto"/>
        <w:bottom w:val="none" w:sz="0" w:space="0" w:color="auto"/>
        <w:right w:val="none" w:sz="0" w:space="0" w:color="auto"/>
      </w:divBdr>
    </w:div>
    <w:div w:id="1766026707">
      <w:bodyDiv w:val="1"/>
      <w:marLeft w:val="0"/>
      <w:marRight w:val="0"/>
      <w:marTop w:val="0"/>
      <w:marBottom w:val="0"/>
      <w:divBdr>
        <w:top w:val="none" w:sz="0" w:space="0" w:color="auto"/>
        <w:left w:val="none" w:sz="0" w:space="0" w:color="auto"/>
        <w:bottom w:val="none" w:sz="0" w:space="0" w:color="auto"/>
        <w:right w:val="none" w:sz="0" w:space="0" w:color="auto"/>
      </w:divBdr>
    </w:div>
    <w:div w:id="1772241865">
      <w:bodyDiv w:val="1"/>
      <w:marLeft w:val="0"/>
      <w:marRight w:val="0"/>
      <w:marTop w:val="0"/>
      <w:marBottom w:val="0"/>
      <w:divBdr>
        <w:top w:val="none" w:sz="0" w:space="0" w:color="auto"/>
        <w:left w:val="none" w:sz="0" w:space="0" w:color="auto"/>
        <w:bottom w:val="none" w:sz="0" w:space="0" w:color="auto"/>
        <w:right w:val="none" w:sz="0" w:space="0" w:color="auto"/>
      </w:divBdr>
    </w:div>
    <w:div w:id="1821916945">
      <w:bodyDiv w:val="1"/>
      <w:marLeft w:val="0"/>
      <w:marRight w:val="0"/>
      <w:marTop w:val="0"/>
      <w:marBottom w:val="0"/>
      <w:divBdr>
        <w:top w:val="none" w:sz="0" w:space="0" w:color="auto"/>
        <w:left w:val="none" w:sz="0" w:space="0" w:color="auto"/>
        <w:bottom w:val="none" w:sz="0" w:space="0" w:color="auto"/>
        <w:right w:val="none" w:sz="0" w:space="0" w:color="auto"/>
      </w:divBdr>
    </w:div>
    <w:div w:id="1845515503">
      <w:bodyDiv w:val="1"/>
      <w:marLeft w:val="0"/>
      <w:marRight w:val="0"/>
      <w:marTop w:val="0"/>
      <w:marBottom w:val="0"/>
      <w:divBdr>
        <w:top w:val="none" w:sz="0" w:space="0" w:color="auto"/>
        <w:left w:val="none" w:sz="0" w:space="0" w:color="auto"/>
        <w:bottom w:val="none" w:sz="0" w:space="0" w:color="auto"/>
        <w:right w:val="none" w:sz="0" w:space="0" w:color="auto"/>
      </w:divBdr>
    </w:div>
    <w:div w:id="1915048623">
      <w:bodyDiv w:val="1"/>
      <w:marLeft w:val="0"/>
      <w:marRight w:val="0"/>
      <w:marTop w:val="0"/>
      <w:marBottom w:val="0"/>
      <w:divBdr>
        <w:top w:val="none" w:sz="0" w:space="0" w:color="auto"/>
        <w:left w:val="none" w:sz="0" w:space="0" w:color="auto"/>
        <w:bottom w:val="none" w:sz="0" w:space="0" w:color="auto"/>
        <w:right w:val="none" w:sz="0" w:space="0" w:color="auto"/>
      </w:divBdr>
    </w:div>
    <w:div w:id="1933708856">
      <w:bodyDiv w:val="1"/>
      <w:marLeft w:val="0"/>
      <w:marRight w:val="0"/>
      <w:marTop w:val="0"/>
      <w:marBottom w:val="0"/>
      <w:divBdr>
        <w:top w:val="none" w:sz="0" w:space="0" w:color="auto"/>
        <w:left w:val="none" w:sz="0" w:space="0" w:color="auto"/>
        <w:bottom w:val="none" w:sz="0" w:space="0" w:color="auto"/>
        <w:right w:val="none" w:sz="0" w:space="0" w:color="auto"/>
      </w:divBdr>
    </w:div>
    <w:div w:id="1944023533">
      <w:bodyDiv w:val="1"/>
      <w:marLeft w:val="0"/>
      <w:marRight w:val="0"/>
      <w:marTop w:val="0"/>
      <w:marBottom w:val="0"/>
      <w:divBdr>
        <w:top w:val="none" w:sz="0" w:space="0" w:color="auto"/>
        <w:left w:val="none" w:sz="0" w:space="0" w:color="auto"/>
        <w:bottom w:val="none" w:sz="0" w:space="0" w:color="auto"/>
        <w:right w:val="none" w:sz="0" w:space="0" w:color="auto"/>
      </w:divBdr>
    </w:div>
    <w:div w:id="2073431588">
      <w:bodyDiv w:val="1"/>
      <w:marLeft w:val="0"/>
      <w:marRight w:val="0"/>
      <w:marTop w:val="0"/>
      <w:marBottom w:val="0"/>
      <w:divBdr>
        <w:top w:val="none" w:sz="0" w:space="0" w:color="auto"/>
        <w:left w:val="none" w:sz="0" w:space="0" w:color="auto"/>
        <w:bottom w:val="none" w:sz="0" w:space="0" w:color="auto"/>
        <w:right w:val="none" w:sz="0" w:space="0" w:color="auto"/>
      </w:divBdr>
    </w:div>
    <w:div w:id="21130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eurolegis\ro\index\act\7535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eurolegis\ro\index\act\76212" TargetMode="External"/><Relationship Id="rId4" Type="http://schemas.openxmlformats.org/officeDocument/2006/relationships/settings" Target="settings.xml"/><Relationship Id="rId9" Type="http://schemas.openxmlformats.org/officeDocument/2006/relationships/hyperlink" Target="file:///C:\eurolegis\ro\index\act\7621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03E02-567E-4672-8E4B-2C3908EDE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4332</Words>
  <Characters>24696</Characters>
  <Application>Microsoft Office Word</Application>
  <DocSecurity>0</DocSecurity>
  <Lines>205</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IULIANA-MIHAELA CERNAZEANU</dc:creator>
  <cp:lastModifiedBy>Ruxandra Chirila</cp:lastModifiedBy>
  <cp:revision>2</cp:revision>
  <cp:lastPrinted>2025-08-11T13:44:00Z</cp:lastPrinted>
  <dcterms:created xsi:type="dcterms:W3CDTF">2025-08-13T16:49:00Z</dcterms:created>
  <dcterms:modified xsi:type="dcterms:W3CDTF">2025-08-13T16:49:00Z</dcterms:modified>
</cp:coreProperties>
</file>