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DB32" w14:textId="05647C71" w:rsidR="00D35156" w:rsidRPr="00326712" w:rsidRDefault="00EB7E7E" w:rsidP="00F510C6">
      <w:pPr>
        <w:jc w:val="center"/>
        <w:rPr>
          <w:rFonts w:ascii="Times New Roman" w:eastAsia="Times New Roman" w:hAnsi="Times New Roman" w:cs="Times New Roman"/>
          <w:sz w:val="28"/>
          <w:szCs w:val="28"/>
          <w:lang w:val="ro-RO"/>
        </w:rPr>
      </w:pPr>
      <w:r w:rsidRPr="00326712">
        <w:rPr>
          <w:rFonts w:ascii="Times New Roman" w:eastAsia="Times New Roman" w:hAnsi="Times New Roman" w:cs="Times New Roman"/>
          <w:b/>
          <w:sz w:val="28"/>
          <w:szCs w:val="28"/>
          <w:lang w:val="ro-RO"/>
        </w:rPr>
        <w:t>AMENDAMENTE</w:t>
      </w:r>
    </w:p>
    <w:p w14:paraId="2D5EF322" w14:textId="707E3B91" w:rsidR="00ED0E51" w:rsidRDefault="00ED0E51" w:rsidP="00ED0E51">
      <w:pPr>
        <w:jc w:val="center"/>
        <w:rPr>
          <w:rFonts w:ascii="Times New Roman" w:hAnsi="Times New Roman" w:cs="Times New Roman"/>
          <w:bCs/>
          <w:sz w:val="28"/>
          <w:szCs w:val="28"/>
          <w:lang w:val="ro-RO"/>
        </w:rPr>
      </w:pPr>
      <w:r>
        <w:rPr>
          <w:rFonts w:ascii="Times New Roman" w:hAnsi="Times New Roman" w:cs="Times New Roman"/>
          <w:sz w:val="28"/>
          <w:szCs w:val="28"/>
          <w:lang w:val="ro-RO"/>
        </w:rPr>
        <w:t>l</w:t>
      </w:r>
      <w:r w:rsidRPr="00ED0E51">
        <w:rPr>
          <w:rFonts w:ascii="Times New Roman" w:hAnsi="Times New Roman" w:cs="Times New Roman"/>
          <w:sz w:val="28"/>
          <w:szCs w:val="28"/>
          <w:lang w:val="ro-RO"/>
        </w:rPr>
        <w:t xml:space="preserve">a proiectul de Lege </w:t>
      </w:r>
      <w:r w:rsidR="00424D3F">
        <w:rPr>
          <w:rFonts w:ascii="Times New Roman" w:hAnsi="Times New Roman" w:cs="Times New Roman"/>
          <w:sz w:val="28"/>
          <w:szCs w:val="28"/>
          <w:lang w:val="ro-RO"/>
        </w:rPr>
        <w:t>privind stabilirea unor măsuri de redresare și eficientizare a resurselor publice și pentru modificarea și completarea unor acte normative</w:t>
      </w:r>
      <w:r w:rsidRPr="00ED0E51">
        <w:rPr>
          <w:rFonts w:ascii="Times New Roman" w:hAnsi="Times New Roman" w:cs="Times New Roman"/>
          <w:bCs/>
          <w:sz w:val="28"/>
          <w:szCs w:val="28"/>
          <w:lang w:val="ro-RO"/>
        </w:rPr>
        <w:t xml:space="preserve"> </w:t>
      </w:r>
      <w:r w:rsidR="00182A9E" w:rsidRPr="00ED0E51">
        <w:rPr>
          <w:rFonts w:ascii="Times New Roman" w:hAnsi="Times New Roman" w:cs="Times New Roman"/>
          <w:bCs/>
          <w:sz w:val="28"/>
          <w:szCs w:val="28"/>
          <w:lang w:val="ro-RO"/>
        </w:rPr>
        <w:t xml:space="preserve"> – PLx nr. </w:t>
      </w:r>
      <w:r w:rsidR="00424D3F">
        <w:rPr>
          <w:rFonts w:ascii="Times New Roman" w:hAnsi="Times New Roman" w:cs="Times New Roman"/>
          <w:bCs/>
          <w:sz w:val="28"/>
          <w:szCs w:val="28"/>
          <w:lang w:val="ro-RO"/>
        </w:rPr>
        <w:t>246</w:t>
      </w:r>
      <w:r w:rsidRPr="00ED0E51">
        <w:rPr>
          <w:rFonts w:ascii="Times New Roman" w:hAnsi="Times New Roman" w:cs="Times New Roman"/>
          <w:bCs/>
          <w:sz w:val="28"/>
          <w:szCs w:val="28"/>
          <w:lang w:val="ro-RO"/>
        </w:rPr>
        <w:t>/2025</w:t>
      </w:r>
    </w:p>
    <w:p w14:paraId="57E847D5" w14:textId="77777777" w:rsidR="00D6489A" w:rsidRDefault="00D6489A" w:rsidP="00ED0E51">
      <w:pPr>
        <w:jc w:val="center"/>
        <w:rPr>
          <w:rFonts w:ascii="Times New Roman" w:hAnsi="Times New Roman" w:cs="Times New Roman"/>
          <w:bCs/>
          <w:sz w:val="28"/>
          <w:szCs w:val="28"/>
          <w:lang w:val="ro-RO"/>
        </w:rPr>
      </w:pPr>
    </w:p>
    <w:p w14:paraId="1E035ACC" w14:textId="77777777" w:rsidR="00ED0E51" w:rsidRPr="00ED0E51" w:rsidRDefault="00ED0E51" w:rsidP="00ED0E51">
      <w:pPr>
        <w:rPr>
          <w:lang w:val="ro-RO"/>
        </w:rPr>
      </w:pPr>
    </w:p>
    <w:tbl>
      <w:tblPr>
        <w:tblStyle w:val="TableGrid"/>
        <w:tblW w:w="0" w:type="auto"/>
        <w:tblLook w:val="04A0" w:firstRow="1" w:lastRow="0" w:firstColumn="1" w:lastColumn="0" w:noHBand="0" w:noVBand="1"/>
      </w:tblPr>
      <w:tblGrid>
        <w:gridCol w:w="687"/>
        <w:gridCol w:w="2470"/>
        <w:gridCol w:w="2765"/>
        <w:gridCol w:w="5323"/>
        <w:gridCol w:w="3145"/>
      </w:tblGrid>
      <w:tr w:rsidR="00112DB2" w:rsidRPr="0034743D" w14:paraId="2DEFD60D" w14:textId="77777777" w:rsidTr="00926D2B">
        <w:tc>
          <w:tcPr>
            <w:tcW w:w="687" w:type="dxa"/>
          </w:tcPr>
          <w:p w14:paraId="40ED9C92" w14:textId="77777777" w:rsidR="00112DB2" w:rsidRPr="0034743D" w:rsidRDefault="00112DB2" w:rsidP="004646EF">
            <w:pPr>
              <w:jc w:val="center"/>
              <w:rPr>
                <w:rFonts w:ascii="Times New Roman" w:eastAsia="Times New Roman" w:hAnsi="Times New Roman" w:cs="Times New Roman"/>
                <w:b/>
                <w:sz w:val="24"/>
                <w:szCs w:val="24"/>
                <w:lang w:val="ro-RO"/>
              </w:rPr>
            </w:pPr>
            <w:r w:rsidRPr="0034743D">
              <w:rPr>
                <w:rFonts w:ascii="Times New Roman" w:eastAsia="Times New Roman" w:hAnsi="Times New Roman" w:cs="Times New Roman"/>
                <w:b/>
                <w:sz w:val="24"/>
                <w:szCs w:val="24"/>
                <w:lang w:val="ro-RO"/>
              </w:rPr>
              <w:t>Nr. crt.</w:t>
            </w:r>
          </w:p>
        </w:tc>
        <w:tc>
          <w:tcPr>
            <w:tcW w:w="2470" w:type="dxa"/>
          </w:tcPr>
          <w:p w14:paraId="02F7771D" w14:textId="19E1A7E2" w:rsidR="00112DB2" w:rsidRPr="0034743D" w:rsidRDefault="00112DB2" w:rsidP="00D67FCB">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Text Cod fiscal</w:t>
            </w:r>
          </w:p>
        </w:tc>
        <w:tc>
          <w:tcPr>
            <w:tcW w:w="2765" w:type="dxa"/>
          </w:tcPr>
          <w:p w14:paraId="769C5830" w14:textId="247DBB38" w:rsidR="00112DB2" w:rsidRPr="0034743D" w:rsidRDefault="00112DB2" w:rsidP="00D67FCB">
            <w:pPr>
              <w:jc w:val="center"/>
              <w:rPr>
                <w:rFonts w:ascii="Times New Roman" w:eastAsia="Times New Roman" w:hAnsi="Times New Roman" w:cs="Times New Roman"/>
                <w:b/>
                <w:sz w:val="24"/>
                <w:szCs w:val="24"/>
                <w:lang w:val="ro-RO"/>
              </w:rPr>
            </w:pPr>
            <w:r w:rsidRPr="0034743D">
              <w:rPr>
                <w:rFonts w:ascii="Times New Roman" w:eastAsia="Times New Roman" w:hAnsi="Times New Roman" w:cs="Times New Roman"/>
                <w:b/>
                <w:sz w:val="24"/>
                <w:szCs w:val="24"/>
                <w:lang w:val="ro-RO"/>
              </w:rPr>
              <w:t xml:space="preserve">Text </w:t>
            </w:r>
            <w:r>
              <w:rPr>
                <w:rFonts w:ascii="Times New Roman" w:eastAsia="Times New Roman" w:hAnsi="Times New Roman" w:cs="Times New Roman"/>
                <w:b/>
                <w:sz w:val="24"/>
                <w:szCs w:val="24"/>
                <w:lang w:val="ro-RO"/>
              </w:rPr>
              <w:t>plx 246/2025</w:t>
            </w:r>
          </w:p>
          <w:p w14:paraId="66F030C2" w14:textId="77777777" w:rsidR="00112DB2" w:rsidRPr="0034743D" w:rsidRDefault="00112DB2" w:rsidP="00D67FCB">
            <w:pPr>
              <w:jc w:val="center"/>
              <w:rPr>
                <w:rFonts w:ascii="Times New Roman" w:eastAsia="Times New Roman" w:hAnsi="Times New Roman" w:cs="Times New Roman"/>
                <w:b/>
                <w:sz w:val="24"/>
                <w:szCs w:val="24"/>
                <w:lang w:val="ro-RO"/>
              </w:rPr>
            </w:pPr>
          </w:p>
        </w:tc>
        <w:tc>
          <w:tcPr>
            <w:tcW w:w="5323" w:type="dxa"/>
          </w:tcPr>
          <w:p w14:paraId="278B5E1E" w14:textId="05371789" w:rsidR="00112DB2" w:rsidRPr="0034743D" w:rsidRDefault="00112DB2" w:rsidP="00D67FCB">
            <w:pPr>
              <w:jc w:val="center"/>
              <w:rPr>
                <w:rFonts w:ascii="Times New Roman" w:eastAsia="Times New Roman" w:hAnsi="Times New Roman" w:cs="Times New Roman"/>
                <w:b/>
                <w:sz w:val="24"/>
                <w:szCs w:val="24"/>
                <w:lang w:val="ro-RO"/>
              </w:rPr>
            </w:pPr>
            <w:r w:rsidRPr="0034743D">
              <w:rPr>
                <w:rFonts w:ascii="Times New Roman" w:eastAsia="Times New Roman" w:hAnsi="Times New Roman" w:cs="Times New Roman"/>
                <w:b/>
                <w:sz w:val="24"/>
                <w:szCs w:val="24"/>
                <w:lang w:val="ro-RO"/>
              </w:rPr>
              <w:t>Text propus</w:t>
            </w:r>
          </w:p>
          <w:p w14:paraId="28A65DFF" w14:textId="77777777" w:rsidR="00112DB2" w:rsidRPr="0034743D" w:rsidRDefault="00112DB2" w:rsidP="00BD18D5">
            <w:pPr>
              <w:rPr>
                <w:rFonts w:ascii="Times New Roman" w:eastAsia="Times New Roman" w:hAnsi="Times New Roman" w:cs="Times New Roman"/>
                <w:b/>
                <w:sz w:val="24"/>
                <w:szCs w:val="24"/>
                <w:lang w:val="ro-RO"/>
              </w:rPr>
            </w:pPr>
          </w:p>
        </w:tc>
        <w:tc>
          <w:tcPr>
            <w:tcW w:w="3145" w:type="dxa"/>
          </w:tcPr>
          <w:p w14:paraId="1170C2DA" w14:textId="0EFB2EAE" w:rsidR="00112DB2" w:rsidRPr="0034743D" w:rsidRDefault="00112DB2" w:rsidP="00D67FCB">
            <w:pPr>
              <w:jc w:val="center"/>
              <w:rPr>
                <w:rFonts w:ascii="Times New Roman" w:eastAsia="Times New Roman" w:hAnsi="Times New Roman" w:cs="Times New Roman"/>
                <w:b/>
                <w:sz w:val="24"/>
                <w:szCs w:val="24"/>
                <w:lang w:val="ro-RO"/>
              </w:rPr>
            </w:pPr>
            <w:r w:rsidRPr="0034743D">
              <w:rPr>
                <w:rFonts w:ascii="Times New Roman" w:eastAsia="Times New Roman" w:hAnsi="Times New Roman" w:cs="Times New Roman"/>
                <w:b/>
                <w:sz w:val="24"/>
                <w:szCs w:val="24"/>
                <w:lang w:val="ro-RO"/>
              </w:rPr>
              <w:t>Motivare</w:t>
            </w:r>
          </w:p>
        </w:tc>
      </w:tr>
      <w:tr w:rsidR="00112DB2" w:rsidRPr="00823DA7" w14:paraId="5B4FD1BB" w14:textId="77777777" w:rsidTr="00926D2B">
        <w:tc>
          <w:tcPr>
            <w:tcW w:w="687" w:type="dxa"/>
          </w:tcPr>
          <w:p w14:paraId="7236E976" w14:textId="77777777" w:rsidR="00112DB2" w:rsidRPr="0034743D" w:rsidRDefault="00112DB2" w:rsidP="004E3077">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489B4AD9" w14:textId="77777777" w:rsidR="00112DB2" w:rsidRPr="00C401C6" w:rsidRDefault="00112DB2" w:rsidP="00C401C6">
            <w:pPr>
              <w:jc w:val="both"/>
              <w:rPr>
                <w:rFonts w:ascii="Times New Roman" w:hAnsi="Times New Roman" w:cs="Times New Roman"/>
                <w:sz w:val="24"/>
                <w:szCs w:val="24"/>
                <w:lang w:val="ro-RO"/>
              </w:rPr>
            </w:pPr>
          </w:p>
        </w:tc>
        <w:tc>
          <w:tcPr>
            <w:tcW w:w="2765" w:type="dxa"/>
          </w:tcPr>
          <w:p w14:paraId="7BF31E0D" w14:textId="6AA149DB" w:rsidR="00112DB2" w:rsidRPr="00C401C6" w:rsidRDefault="00112DB2" w:rsidP="00C401C6">
            <w:pPr>
              <w:jc w:val="both"/>
              <w:rPr>
                <w:rFonts w:ascii="Times New Roman" w:hAnsi="Times New Roman" w:cs="Times New Roman"/>
                <w:sz w:val="24"/>
                <w:szCs w:val="24"/>
                <w:lang w:val="ro-RO"/>
              </w:rPr>
            </w:pPr>
            <w:r w:rsidRPr="00C401C6">
              <w:rPr>
                <w:rFonts w:ascii="Times New Roman" w:hAnsi="Times New Roman" w:cs="Times New Roman"/>
                <w:sz w:val="24"/>
                <w:szCs w:val="24"/>
                <w:lang w:val="ro-RO"/>
              </w:rPr>
              <w:t>ART XII. Legea nr. 227/2015 privind Codul fiscal, publicată în Monitorul Oficial al României, Partea I, nr. 688 din 10 septembrie 2015, cu modificările și completările ulterioare, se modifică și se completează după cum urmează:</w:t>
            </w:r>
          </w:p>
          <w:p w14:paraId="3FA75113" w14:textId="2377EE46" w:rsidR="00112DB2" w:rsidRPr="00825398" w:rsidRDefault="00112DB2" w:rsidP="004E3077">
            <w:pPr>
              <w:jc w:val="both"/>
              <w:rPr>
                <w:rFonts w:ascii="Times New Roman" w:hAnsi="Times New Roman" w:cs="Times New Roman"/>
                <w:sz w:val="24"/>
                <w:szCs w:val="24"/>
                <w:lang w:val="ro-RO"/>
              </w:rPr>
            </w:pPr>
          </w:p>
        </w:tc>
        <w:tc>
          <w:tcPr>
            <w:tcW w:w="5323" w:type="dxa"/>
          </w:tcPr>
          <w:p w14:paraId="10DE0D76" w14:textId="085E4489" w:rsidR="00112DB2" w:rsidRPr="00C401C6" w:rsidRDefault="00112DB2" w:rsidP="004E3077">
            <w:pPr>
              <w:jc w:val="both"/>
              <w:rPr>
                <w:rFonts w:ascii="Times New Roman" w:hAnsi="Times New Roman" w:cs="Times New Roman"/>
                <w:sz w:val="24"/>
                <w:szCs w:val="24"/>
                <w:lang w:val="ro-RO"/>
              </w:rPr>
            </w:pPr>
          </w:p>
        </w:tc>
        <w:tc>
          <w:tcPr>
            <w:tcW w:w="3145" w:type="dxa"/>
          </w:tcPr>
          <w:p w14:paraId="31B72D41" w14:textId="40514203" w:rsidR="00112DB2" w:rsidRPr="0034743D" w:rsidRDefault="00112DB2" w:rsidP="004E3077">
            <w:pPr>
              <w:jc w:val="both"/>
              <w:rPr>
                <w:rFonts w:ascii="Times New Roman" w:eastAsia="Times New Roman" w:hAnsi="Times New Roman" w:cs="Times New Roman"/>
                <w:bCs/>
                <w:sz w:val="24"/>
                <w:szCs w:val="24"/>
                <w:lang w:val="ro-RO"/>
              </w:rPr>
            </w:pPr>
          </w:p>
        </w:tc>
      </w:tr>
      <w:tr w:rsidR="001C14C6" w:rsidRPr="00D6489A" w14:paraId="3E54A759" w14:textId="77777777" w:rsidTr="00926D2B">
        <w:tc>
          <w:tcPr>
            <w:tcW w:w="687" w:type="dxa"/>
          </w:tcPr>
          <w:p w14:paraId="15D4A807"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170D56AA" w14:textId="77777777" w:rsidR="001C14C6" w:rsidRPr="001653D5" w:rsidRDefault="001C14C6" w:rsidP="001C14C6">
            <w:pPr>
              <w:jc w:val="both"/>
              <w:rPr>
                <w:rFonts w:ascii="Times New Roman" w:hAnsi="Times New Roman" w:cs="Times New Roman"/>
                <w:sz w:val="24"/>
                <w:szCs w:val="24"/>
                <w:lang w:val="ro-RO"/>
              </w:rPr>
            </w:pPr>
          </w:p>
        </w:tc>
        <w:tc>
          <w:tcPr>
            <w:tcW w:w="2765" w:type="dxa"/>
          </w:tcPr>
          <w:p w14:paraId="1A3ED236" w14:textId="08686E61" w:rsidR="001C14C6" w:rsidRPr="00C401C6" w:rsidRDefault="001C14C6" w:rsidP="001C14C6">
            <w:pPr>
              <w:jc w:val="both"/>
              <w:rPr>
                <w:rFonts w:ascii="Times New Roman" w:hAnsi="Times New Roman" w:cs="Times New Roman"/>
                <w:sz w:val="24"/>
                <w:szCs w:val="24"/>
                <w:lang w:val="ro-RO"/>
              </w:rPr>
            </w:pPr>
            <w:r>
              <w:rPr>
                <w:rFonts w:ascii="Times New Roman" w:hAnsi="Times New Roman" w:cs="Times New Roman"/>
                <w:sz w:val="24"/>
                <w:szCs w:val="24"/>
              </w:rPr>
              <w:t>Art. 18</w:t>
            </w:r>
            <w:r>
              <w:rPr>
                <w:rFonts w:ascii="Times New Roman" w:hAnsi="Times New Roman" w:cs="Times New Roman"/>
                <w:sz w:val="24"/>
                <w:szCs w:val="24"/>
                <w:vertAlign w:val="superscript"/>
              </w:rPr>
              <w:t>1</w:t>
            </w:r>
            <w:r>
              <w:rPr>
                <w:rFonts w:ascii="Times New Roman" w:hAnsi="Times New Roman" w:cs="Times New Roman"/>
                <w:sz w:val="24"/>
                <w:szCs w:val="24"/>
              </w:rPr>
              <w:t xml:space="preserve"> se </w:t>
            </w:r>
            <w:proofErr w:type="spellStart"/>
            <w:r>
              <w:rPr>
                <w:rFonts w:ascii="Times New Roman" w:hAnsi="Times New Roman" w:cs="Times New Roman"/>
                <w:sz w:val="24"/>
                <w:szCs w:val="24"/>
              </w:rPr>
              <w:t>abrogă</w:t>
            </w:r>
            <w:proofErr w:type="spellEnd"/>
          </w:p>
        </w:tc>
        <w:tc>
          <w:tcPr>
            <w:tcW w:w="5323" w:type="dxa"/>
          </w:tcPr>
          <w:p w14:paraId="295F2C6C" w14:textId="77777777" w:rsidR="001C14C6" w:rsidRPr="001C14C6" w:rsidRDefault="001C14C6" w:rsidP="001C14C6">
            <w:pPr>
              <w:jc w:val="both"/>
              <w:rPr>
                <w:rFonts w:ascii="Times New Roman" w:hAnsi="Times New Roman" w:cs="Times New Roman"/>
                <w:sz w:val="24"/>
                <w:szCs w:val="24"/>
                <w:lang w:val="it-CH"/>
              </w:rPr>
            </w:pPr>
            <w:r w:rsidRPr="001C14C6">
              <w:rPr>
                <w:rFonts w:ascii="Times New Roman" w:hAnsi="Times New Roman" w:cs="Times New Roman"/>
                <w:sz w:val="24"/>
                <w:szCs w:val="24"/>
                <w:lang w:val="it-CH"/>
              </w:rPr>
              <w:t>Punctul 1 se elimină</w:t>
            </w:r>
          </w:p>
          <w:p w14:paraId="4337F304" w14:textId="77777777" w:rsidR="001C14C6" w:rsidRPr="001C14C6" w:rsidRDefault="001C14C6" w:rsidP="001C14C6">
            <w:pPr>
              <w:jc w:val="both"/>
              <w:rPr>
                <w:rFonts w:ascii="Times New Roman" w:hAnsi="Times New Roman" w:cs="Times New Roman"/>
                <w:sz w:val="24"/>
                <w:szCs w:val="24"/>
                <w:lang w:val="it-CH"/>
              </w:rPr>
            </w:pPr>
          </w:p>
          <w:p w14:paraId="5472BABE" w14:textId="77777777" w:rsidR="001C14C6" w:rsidRPr="0034743D" w:rsidRDefault="001C14C6" w:rsidP="001C14C6">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771327E6" w14:textId="7B784D93" w:rsidR="001C14C6" w:rsidRPr="00C401C6" w:rsidRDefault="001C14C6" w:rsidP="001C14C6">
            <w:pPr>
              <w:jc w:val="both"/>
              <w:rPr>
                <w:rFonts w:ascii="Times New Roman" w:hAnsi="Times New Roman" w:cs="Times New Roman"/>
                <w:sz w:val="24"/>
                <w:szCs w:val="24"/>
                <w:lang w:val="ro-RO"/>
              </w:rPr>
            </w:pPr>
          </w:p>
        </w:tc>
        <w:tc>
          <w:tcPr>
            <w:tcW w:w="3145" w:type="dxa"/>
          </w:tcPr>
          <w:p w14:paraId="34EE8AEE" w14:textId="620DAC1A" w:rsidR="001C14C6" w:rsidRPr="0034743D"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Impozitul minim pe cifra de afaceri aplicat companiilor care au cifra de afaceri de peste 50 milioane de euro este o formă de protecție a veniturilor fiscale astfel încât statul să încaseze din impozitul pe profit nu mai puțin de 1% din cifra de afaceri a acestora. În actualul context fiscal bugetar considerăm inoportună renunțarea la venituri fiscale certe care au un impact de 1,2 miliarde lei. Mai mult decât </w:t>
            </w:r>
            <w:r>
              <w:rPr>
                <w:rFonts w:ascii="Times New Roman" w:eastAsia="Times New Roman" w:hAnsi="Times New Roman" w:cs="Times New Roman"/>
                <w:bCs/>
                <w:sz w:val="24"/>
                <w:szCs w:val="24"/>
                <w:lang w:val="ro-RO"/>
              </w:rPr>
              <w:lastRenderedPageBreak/>
              <w:t>atât, abordarea de a abroga acest impozit în contextul în care taxele și impozitele pe companiile mici sau pe populație cresc creează o discriminare fiscală îndepărtându-se de la principiul echitații fiscale. În acest sens, propunem eliminarea prevederii privind abrogarea IMCA.</w:t>
            </w:r>
          </w:p>
        </w:tc>
      </w:tr>
      <w:tr w:rsidR="001C14C6" w:rsidRPr="00D6489A" w14:paraId="6FB5D679" w14:textId="77777777" w:rsidTr="00926D2B">
        <w:tc>
          <w:tcPr>
            <w:tcW w:w="687" w:type="dxa"/>
          </w:tcPr>
          <w:p w14:paraId="0749AAD3"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3F8D037A" w14:textId="77777777" w:rsidR="001C14C6" w:rsidRDefault="001C14C6" w:rsidP="001C14C6">
            <w:pPr>
              <w:jc w:val="both"/>
              <w:rPr>
                <w:rFonts w:ascii="Times New Roman" w:hAnsi="Times New Roman" w:cs="Times New Roman"/>
                <w:sz w:val="24"/>
                <w:szCs w:val="24"/>
              </w:rPr>
            </w:pPr>
          </w:p>
        </w:tc>
        <w:tc>
          <w:tcPr>
            <w:tcW w:w="2765" w:type="dxa"/>
          </w:tcPr>
          <w:p w14:paraId="302B0D89" w14:textId="59979F24" w:rsidR="001C14C6" w:rsidRPr="00C401C6" w:rsidRDefault="001C14C6" w:rsidP="001C14C6">
            <w:pPr>
              <w:jc w:val="both"/>
              <w:rPr>
                <w:rFonts w:ascii="Times New Roman" w:hAnsi="Times New Roman" w:cs="Times New Roman"/>
                <w:sz w:val="24"/>
                <w:szCs w:val="24"/>
                <w:lang w:val="ro-RO"/>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articolul</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alineatul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u se </w:t>
            </w:r>
            <w:proofErr w:type="spellStart"/>
            <w:r>
              <w:rPr>
                <w:rFonts w:ascii="Times New Roman" w:hAnsi="Times New Roman" w:cs="Times New Roman"/>
                <w:sz w:val="24"/>
                <w:szCs w:val="24"/>
              </w:rPr>
              <w:t>abrogă</w:t>
            </w:r>
            <w:proofErr w:type="spellEnd"/>
          </w:p>
        </w:tc>
        <w:tc>
          <w:tcPr>
            <w:tcW w:w="5323" w:type="dxa"/>
          </w:tcPr>
          <w:p w14:paraId="28C111E1" w14:textId="77777777" w:rsidR="001C14C6" w:rsidRDefault="001C14C6" w:rsidP="001C14C6">
            <w:pPr>
              <w:jc w:val="both"/>
              <w:rPr>
                <w:rFonts w:ascii="Times New Roman" w:hAnsi="Times New Roman" w:cs="Times New Roman"/>
                <w:sz w:val="24"/>
                <w:szCs w:val="24"/>
              </w:rPr>
            </w:pPr>
            <w:proofErr w:type="spellStart"/>
            <w:r>
              <w:rPr>
                <w:rFonts w:ascii="Times New Roman" w:hAnsi="Times New Roman" w:cs="Times New Roman"/>
                <w:sz w:val="24"/>
                <w:szCs w:val="24"/>
              </w:rPr>
              <w:t>Punctul</w:t>
            </w:r>
            <w:proofErr w:type="spellEnd"/>
            <w:r>
              <w:rPr>
                <w:rFonts w:ascii="Times New Roman" w:hAnsi="Times New Roman" w:cs="Times New Roman"/>
                <w:sz w:val="24"/>
                <w:szCs w:val="24"/>
              </w:rPr>
              <w:t xml:space="preserve"> 2 se </w:t>
            </w:r>
            <w:proofErr w:type="spellStart"/>
            <w:r>
              <w:rPr>
                <w:rFonts w:ascii="Times New Roman" w:hAnsi="Times New Roman" w:cs="Times New Roman"/>
                <w:sz w:val="24"/>
                <w:szCs w:val="24"/>
              </w:rPr>
              <w:t>elimină</w:t>
            </w:r>
            <w:proofErr w:type="spellEnd"/>
            <w:r>
              <w:rPr>
                <w:rFonts w:ascii="Times New Roman" w:hAnsi="Times New Roman" w:cs="Times New Roman"/>
                <w:sz w:val="24"/>
                <w:szCs w:val="24"/>
              </w:rPr>
              <w:t xml:space="preserve">. </w:t>
            </w:r>
          </w:p>
          <w:p w14:paraId="11D7AA80" w14:textId="77777777" w:rsidR="001C14C6" w:rsidRDefault="001C14C6" w:rsidP="001C14C6">
            <w:pPr>
              <w:jc w:val="both"/>
              <w:rPr>
                <w:rFonts w:ascii="Times New Roman" w:hAnsi="Times New Roman" w:cs="Times New Roman"/>
                <w:sz w:val="24"/>
                <w:szCs w:val="24"/>
              </w:rPr>
            </w:pPr>
          </w:p>
          <w:p w14:paraId="19B4A819" w14:textId="77777777" w:rsidR="001C14C6" w:rsidRPr="0034743D" w:rsidRDefault="001C14C6" w:rsidP="001C14C6">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7EB3130A" w14:textId="77777777" w:rsidR="001C14C6" w:rsidRPr="00C401C6" w:rsidRDefault="001C14C6" w:rsidP="001C14C6">
            <w:pPr>
              <w:jc w:val="both"/>
              <w:rPr>
                <w:rFonts w:ascii="Times New Roman" w:hAnsi="Times New Roman" w:cs="Times New Roman"/>
                <w:sz w:val="24"/>
                <w:szCs w:val="24"/>
                <w:lang w:val="ro-RO"/>
              </w:rPr>
            </w:pPr>
          </w:p>
        </w:tc>
        <w:tc>
          <w:tcPr>
            <w:tcW w:w="3145" w:type="dxa"/>
          </w:tcPr>
          <w:p w14:paraId="36EE5168" w14:textId="4C5F9E26" w:rsidR="001C14C6" w:rsidRPr="0034743D"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Corelație cu amendamentul de nr.crt.2. Litera u din art, 25 alin. 4 face referire la IMCA</w:t>
            </w:r>
          </w:p>
        </w:tc>
      </w:tr>
      <w:tr w:rsidR="001C14C6" w:rsidRPr="00D6489A" w14:paraId="339BB2DC" w14:textId="77777777" w:rsidTr="00926D2B">
        <w:tc>
          <w:tcPr>
            <w:tcW w:w="687" w:type="dxa"/>
          </w:tcPr>
          <w:p w14:paraId="5CF6BA7D"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005D2801" w14:textId="77777777" w:rsidR="001C14C6" w:rsidRDefault="001C14C6" w:rsidP="001C14C6">
            <w:pPr>
              <w:jc w:val="both"/>
              <w:rPr>
                <w:rFonts w:ascii="Times New Roman" w:hAnsi="Times New Roman" w:cs="Times New Roman"/>
                <w:sz w:val="24"/>
                <w:szCs w:val="24"/>
              </w:rPr>
            </w:pPr>
          </w:p>
        </w:tc>
        <w:tc>
          <w:tcPr>
            <w:tcW w:w="2765" w:type="dxa"/>
          </w:tcPr>
          <w:p w14:paraId="0B42FAA3"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t xml:space="preserve">3. După articolul 25 se introduce un nou articol, art. 25^1, cu următorul cuprins: </w:t>
            </w:r>
          </w:p>
          <w:p w14:paraId="23960919"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t xml:space="preserve">“Art. 25^1 - Regimul special pentru contribuabilii care înregistrează cheltuieli cu entități afiliate care nu sunt înființate/constituite și nu au locul conducerii efective în  România </w:t>
            </w:r>
          </w:p>
          <w:p w14:paraId="4DE7BB4E" w14:textId="77777777" w:rsidR="001C14C6" w:rsidRPr="00D250F1" w:rsidRDefault="001C14C6" w:rsidP="001C14C6">
            <w:pPr>
              <w:jc w:val="both"/>
              <w:rPr>
                <w:rFonts w:ascii="Times New Roman" w:hAnsi="Times New Roman" w:cs="Times New Roman"/>
                <w:sz w:val="24"/>
                <w:szCs w:val="24"/>
                <w:lang w:val="it-CH"/>
              </w:rPr>
            </w:pPr>
          </w:p>
          <w:p w14:paraId="4E097427"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t xml:space="preserve">(1)Contribuabilii, alţii decât cei prevăzuţi la art. 15, care înregistrează cheltuieli aferente drepturilor de proprietate intelectuală, cheltuieli de management, consultanță, în relația cu entități afiliate care nu sunt </w:t>
            </w:r>
            <w:r w:rsidRPr="00D250F1">
              <w:rPr>
                <w:rFonts w:ascii="Times New Roman" w:hAnsi="Times New Roman" w:cs="Times New Roman"/>
                <w:sz w:val="24"/>
                <w:szCs w:val="24"/>
                <w:lang w:val="it-CH"/>
              </w:rPr>
              <w:lastRenderedPageBreak/>
              <w:t xml:space="preserve">înființate/constituite și nu au locul conducerii efective în  România, astfel cum sunt prezentate în contul de profit și pierdere/situaţia veniturilor si cheltuielilor/date informative din raportările contabile oficiale întocmite pentru exercițiul financiar 2024/exercițiul financiar diferit de anul calendaristic care începe în anul 2024, a căror pondere în totalul cheltuielilor înregistrate în aceleași raportări, este de peste 1 %, consideră nedeductibile cheltuielile aferente drepturilor de proprietate intelectuală, cheltuielile de management, consultanță, în relația cu entități afiliate care nu sunt înființate/constituite și nu au locul conducerii efective în  România, înregistrate în anul fiscal de </w:t>
            </w:r>
          </w:p>
          <w:p w14:paraId="10D452A2" w14:textId="5BB9EDAF" w:rsidR="001C14C6" w:rsidRDefault="001C14C6" w:rsidP="001C14C6">
            <w:pPr>
              <w:jc w:val="both"/>
              <w:rPr>
                <w:rFonts w:ascii="Times New Roman" w:hAnsi="Times New Roman" w:cs="Times New Roman"/>
                <w:sz w:val="24"/>
                <w:szCs w:val="24"/>
              </w:rPr>
            </w:pPr>
            <w:proofErr w:type="spellStart"/>
            <w:r w:rsidRPr="003836FB">
              <w:rPr>
                <w:rFonts w:ascii="Times New Roman" w:hAnsi="Times New Roman" w:cs="Times New Roman"/>
                <w:sz w:val="24"/>
                <w:szCs w:val="24"/>
              </w:rPr>
              <w:t>calcul</w:t>
            </w:r>
            <w:proofErr w:type="spellEnd"/>
            <w:r w:rsidRPr="003836FB">
              <w:rPr>
                <w:rFonts w:ascii="Times New Roman" w:hAnsi="Times New Roman" w:cs="Times New Roman"/>
                <w:sz w:val="24"/>
                <w:szCs w:val="24"/>
              </w:rPr>
              <w:t xml:space="preserve">.  </w:t>
            </w:r>
          </w:p>
        </w:tc>
        <w:tc>
          <w:tcPr>
            <w:tcW w:w="5323" w:type="dxa"/>
          </w:tcPr>
          <w:p w14:paraId="06E03389"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lastRenderedPageBreak/>
              <w:t xml:space="preserve">3. După articolul 25 se introduce un nou articol, art. 25^1, cu următorul cuprins: </w:t>
            </w:r>
          </w:p>
          <w:p w14:paraId="6225C3E4"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t xml:space="preserve">“Art. 25^1 - Regimul special pentru contribuabilii care înregistrează cheltuieli cu entități </w:t>
            </w:r>
            <w:r w:rsidRPr="00D250F1">
              <w:rPr>
                <w:rFonts w:ascii="Times New Roman" w:hAnsi="Times New Roman" w:cs="Times New Roman"/>
                <w:b/>
                <w:bCs/>
                <w:sz w:val="24"/>
                <w:szCs w:val="24"/>
                <w:lang w:val="it-CH"/>
              </w:rPr>
              <w:t>nerezidente fiscal</w:t>
            </w:r>
            <w:r w:rsidRPr="00D250F1">
              <w:rPr>
                <w:rFonts w:ascii="Times New Roman" w:hAnsi="Times New Roman" w:cs="Times New Roman"/>
                <w:sz w:val="24"/>
                <w:szCs w:val="24"/>
                <w:lang w:val="it-CH"/>
              </w:rPr>
              <w:t xml:space="preserve"> în  România </w:t>
            </w:r>
          </w:p>
          <w:p w14:paraId="5DD8F9B6" w14:textId="77777777" w:rsidR="001C14C6" w:rsidRPr="00D250F1" w:rsidRDefault="001C14C6" w:rsidP="001C14C6">
            <w:pPr>
              <w:jc w:val="both"/>
              <w:rPr>
                <w:rFonts w:ascii="Times New Roman" w:hAnsi="Times New Roman" w:cs="Times New Roman"/>
                <w:sz w:val="24"/>
                <w:szCs w:val="24"/>
                <w:lang w:val="it-CH"/>
              </w:rPr>
            </w:pPr>
          </w:p>
          <w:p w14:paraId="67F0ACEE"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t xml:space="preserve">(1)Contribuabilii, alţii decât cei prevăzuţi la art. 15, care înregistrează cheltuieli aferente drepturilor de proprietate intelectuală, cheltuieli de management, consultanță, în relația cu entități </w:t>
            </w:r>
            <w:r w:rsidRPr="00D250F1">
              <w:rPr>
                <w:rFonts w:ascii="Times New Roman" w:hAnsi="Times New Roman" w:cs="Times New Roman"/>
                <w:b/>
                <w:bCs/>
                <w:sz w:val="24"/>
                <w:szCs w:val="24"/>
                <w:lang w:val="it-CH"/>
              </w:rPr>
              <w:t>nerezidente fiscal</w:t>
            </w:r>
            <w:r w:rsidRPr="00D250F1">
              <w:rPr>
                <w:rFonts w:ascii="Times New Roman" w:hAnsi="Times New Roman" w:cs="Times New Roman"/>
                <w:sz w:val="24"/>
                <w:szCs w:val="24"/>
                <w:lang w:val="it-CH"/>
              </w:rPr>
              <w:t xml:space="preserve"> în  România, astfel cum sunt prezentate în contul de profit și pierdere/situaţia veniturilor si cheltuielilor/date informative din raportările contabile oficiale întocmite pentru exercițiul financiar 2024/exercițiul financiar diferit de anul calendaristic care începe în anul 2024, a căror pondere în totalul cheltuielilor înregistrate în aceleași raportări, este de peste 1 %, consideră nedeductibile cheltuielile aferente drepturilor de proprietate intelectuală, cheltuielile de management, consultanță, în relația cu entități </w:t>
            </w:r>
            <w:r w:rsidRPr="00D250F1">
              <w:rPr>
                <w:rFonts w:ascii="Times New Roman" w:hAnsi="Times New Roman" w:cs="Times New Roman"/>
                <w:b/>
                <w:bCs/>
                <w:sz w:val="24"/>
                <w:szCs w:val="24"/>
                <w:lang w:val="it-CH"/>
              </w:rPr>
              <w:t>nerezidente fiscal</w:t>
            </w:r>
            <w:r w:rsidRPr="00D250F1">
              <w:rPr>
                <w:rFonts w:ascii="Times New Roman" w:hAnsi="Times New Roman" w:cs="Times New Roman"/>
                <w:sz w:val="24"/>
                <w:szCs w:val="24"/>
                <w:lang w:val="it-CH"/>
              </w:rPr>
              <w:t xml:space="preserve"> în  România, înregistrate în anul fiscal de calcul.  </w:t>
            </w:r>
          </w:p>
          <w:p w14:paraId="1727234B" w14:textId="77777777" w:rsidR="001C14C6" w:rsidRPr="00D250F1" w:rsidRDefault="001C14C6" w:rsidP="001C14C6">
            <w:pPr>
              <w:jc w:val="both"/>
              <w:rPr>
                <w:rFonts w:ascii="Times New Roman" w:hAnsi="Times New Roman" w:cs="Times New Roman"/>
                <w:sz w:val="24"/>
                <w:szCs w:val="24"/>
                <w:lang w:val="it-CH"/>
              </w:rPr>
            </w:pPr>
          </w:p>
          <w:p w14:paraId="5381BF40" w14:textId="77777777" w:rsidR="001C14C6" w:rsidRPr="0034743D" w:rsidRDefault="001C14C6" w:rsidP="001C14C6">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3C72C108" w14:textId="77777777" w:rsidR="001C14C6" w:rsidRDefault="001C14C6" w:rsidP="001C14C6">
            <w:pPr>
              <w:jc w:val="both"/>
              <w:rPr>
                <w:rFonts w:ascii="Times New Roman" w:hAnsi="Times New Roman" w:cs="Times New Roman"/>
                <w:sz w:val="24"/>
                <w:szCs w:val="24"/>
              </w:rPr>
            </w:pPr>
          </w:p>
        </w:tc>
        <w:tc>
          <w:tcPr>
            <w:tcW w:w="3145" w:type="dxa"/>
          </w:tcPr>
          <w:p w14:paraId="1964303F" w14:textId="3392CD46" w:rsidR="001C14C6"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lastRenderedPageBreak/>
              <w:t xml:space="preserve">Este necesar ca regimul de nedeductibilitate al cheltuielilor administrative externe să cuprindă toate entitățile nerezidente fiscal în România deoarece multe din cheltuielile prin care companiile externalizeaza veniturile obtinute în România în scopul diminuarii bazei impozabile se realizeaza către entități nerezideente terțe. Mai mult decât atât impactul bugetar în forma propusă de guvern este minimal raportat la impactul bugetar al extinderii plajei de aplicare a acestui regim special, impact pe care îl estimăm la circa 2 miliarde euro anual, incasări suplimentare din impozit pe </w:t>
            </w:r>
            <w:r>
              <w:rPr>
                <w:rFonts w:ascii="Times New Roman" w:eastAsia="Times New Roman" w:hAnsi="Times New Roman" w:cs="Times New Roman"/>
                <w:bCs/>
                <w:sz w:val="24"/>
                <w:szCs w:val="24"/>
                <w:lang w:val="ro-RO"/>
              </w:rPr>
              <w:lastRenderedPageBreak/>
              <w:t xml:space="preserve">profit, prin lărgirea bazei de impozitare. </w:t>
            </w:r>
          </w:p>
        </w:tc>
      </w:tr>
      <w:tr w:rsidR="001C14C6" w:rsidRPr="00823DA7" w14:paraId="7E2738E4" w14:textId="77777777" w:rsidTr="00926D2B">
        <w:tc>
          <w:tcPr>
            <w:tcW w:w="687" w:type="dxa"/>
          </w:tcPr>
          <w:p w14:paraId="392A62FB"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2A240EDA" w14:textId="77777777" w:rsidR="001C14C6" w:rsidRDefault="001C14C6" w:rsidP="001C14C6">
            <w:pPr>
              <w:jc w:val="both"/>
              <w:rPr>
                <w:rFonts w:ascii="Times New Roman" w:hAnsi="Times New Roman" w:cs="Times New Roman"/>
                <w:sz w:val="24"/>
                <w:szCs w:val="24"/>
              </w:rPr>
            </w:pPr>
          </w:p>
        </w:tc>
        <w:tc>
          <w:tcPr>
            <w:tcW w:w="2765" w:type="dxa"/>
          </w:tcPr>
          <w:p w14:paraId="445A889A" w14:textId="21D9B3CC" w:rsidR="001C14C6" w:rsidRDefault="001C14C6" w:rsidP="001C14C6">
            <w:pPr>
              <w:jc w:val="both"/>
              <w:rPr>
                <w:rFonts w:ascii="Times New Roman" w:hAnsi="Times New Roman" w:cs="Times New Roman"/>
                <w:sz w:val="24"/>
                <w:szCs w:val="24"/>
              </w:rPr>
            </w:pPr>
            <w:r w:rsidRPr="00D250F1">
              <w:rPr>
                <w:rFonts w:ascii="Times New Roman" w:hAnsi="Times New Roman" w:cs="Times New Roman"/>
                <w:sz w:val="24"/>
                <w:szCs w:val="24"/>
                <w:lang w:val="ro-RO"/>
              </w:rPr>
              <w:t xml:space="preserve">(2) Nu intră sub incidența prevederilor alin. (1), cheltuielile reprezentând drepturi de proprietate intelectuală, management, </w:t>
            </w:r>
            <w:r w:rsidRPr="00D250F1">
              <w:rPr>
                <w:rFonts w:ascii="Times New Roman" w:hAnsi="Times New Roman" w:cs="Times New Roman"/>
                <w:sz w:val="24"/>
                <w:szCs w:val="24"/>
                <w:lang w:val="ro-RO"/>
              </w:rPr>
              <w:lastRenderedPageBreak/>
              <w:t>consultanță,  ca urmare a unor tranzacții cu entități afiliate care nu sunt înființate/constituite și nu au locul conducerii efective în România, efectuate pentru obținerea mărcilor, desenelor și modelelor industriale, drepturilor de autor, și alte asemenea, înregistrate în România.</w:t>
            </w:r>
          </w:p>
        </w:tc>
        <w:tc>
          <w:tcPr>
            <w:tcW w:w="5323" w:type="dxa"/>
          </w:tcPr>
          <w:p w14:paraId="37D369E2" w14:textId="77777777" w:rsidR="001C14C6" w:rsidRPr="00D250F1" w:rsidRDefault="001C14C6" w:rsidP="001C14C6">
            <w:pPr>
              <w:jc w:val="both"/>
              <w:rPr>
                <w:rFonts w:ascii="Times New Roman" w:hAnsi="Times New Roman" w:cs="Times New Roman"/>
                <w:sz w:val="24"/>
                <w:szCs w:val="24"/>
                <w:lang w:val="ro-RO"/>
              </w:rPr>
            </w:pPr>
            <w:r w:rsidRPr="00D250F1">
              <w:rPr>
                <w:rFonts w:ascii="Times New Roman" w:hAnsi="Times New Roman" w:cs="Times New Roman"/>
                <w:sz w:val="24"/>
                <w:szCs w:val="24"/>
                <w:lang w:val="ro-RO"/>
              </w:rPr>
              <w:lastRenderedPageBreak/>
              <w:t xml:space="preserve">(2) Nu intră sub incidența prevederilor alin. (1), cheltuielile reprezentând drepturi de proprietate intelectuală, management, consultanță,  ca urmare a unor tranzacții cu entități </w:t>
            </w:r>
            <w:r w:rsidRPr="00D250F1">
              <w:rPr>
                <w:rFonts w:ascii="Times New Roman" w:hAnsi="Times New Roman" w:cs="Times New Roman"/>
                <w:b/>
                <w:bCs/>
                <w:sz w:val="24"/>
                <w:szCs w:val="24"/>
                <w:lang w:val="ro-RO"/>
              </w:rPr>
              <w:t>nerezidente fiscal</w:t>
            </w:r>
            <w:r w:rsidRPr="00D250F1">
              <w:rPr>
                <w:rFonts w:ascii="Times New Roman" w:hAnsi="Times New Roman" w:cs="Times New Roman"/>
                <w:sz w:val="24"/>
                <w:szCs w:val="24"/>
                <w:lang w:val="ro-RO"/>
              </w:rPr>
              <w:t xml:space="preserve"> în  România, efectuate pentru obținerea mărcilor, </w:t>
            </w:r>
            <w:r w:rsidRPr="00D250F1">
              <w:rPr>
                <w:rFonts w:ascii="Times New Roman" w:hAnsi="Times New Roman" w:cs="Times New Roman"/>
                <w:sz w:val="24"/>
                <w:szCs w:val="24"/>
                <w:lang w:val="ro-RO"/>
              </w:rPr>
              <w:lastRenderedPageBreak/>
              <w:t>desenelor și modelelor industriale, drepturilor de autor, și alte asemenea, înregistrate în România.</w:t>
            </w:r>
          </w:p>
          <w:p w14:paraId="4491D599" w14:textId="77777777" w:rsidR="001C14C6" w:rsidRPr="00D250F1" w:rsidRDefault="001C14C6" w:rsidP="001C14C6">
            <w:pPr>
              <w:jc w:val="both"/>
              <w:rPr>
                <w:rFonts w:ascii="Times New Roman" w:hAnsi="Times New Roman" w:cs="Times New Roman"/>
                <w:sz w:val="24"/>
                <w:szCs w:val="24"/>
                <w:lang w:val="ro-RO"/>
              </w:rPr>
            </w:pPr>
          </w:p>
          <w:p w14:paraId="29BC27E6" w14:textId="77777777" w:rsidR="001C14C6" w:rsidRPr="0034743D" w:rsidRDefault="001C14C6" w:rsidP="001C14C6">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603759C1" w14:textId="77777777" w:rsidR="001C14C6" w:rsidRDefault="001C14C6" w:rsidP="001C14C6">
            <w:pPr>
              <w:jc w:val="both"/>
              <w:rPr>
                <w:rFonts w:ascii="Times New Roman" w:hAnsi="Times New Roman" w:cs="Times New Roman"/>
                <w:sz w:val="24"/>
                <w:szCs w:val="24"/>
              </w:rPr>
            </w:pPr>
          </w:p>
        </w:tc>
        <w:tc>
          <w:tcPr>
            <w:tcW w:w="3145" w:type="dxa"/>
          </w:tcPr>
          <w:p w14:paraId="467B2AD6" w14:textId="325369D0" w:rsidR="001C14C6"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lastRenderedPageBreak/>
              <w:t>Aplicabilitatea trebuie să se facă la toate persoanele nerezidente.</w:t>
            </w:r>
          </w:p>
        </w:tc>
      </w:tr>
      <w:tr w:rsidR="001C14C6" w:rsidRPr="00823DA7" w14:paraId="6AA2FDF2" w14:textId="77777777" w:rsidTr="00926D2B">
        <w:tc>
          <w:tcPr>
            <w:tcW w:w="687" w:type="dxa"/>
          </w:tcPr>
          <w:p w14:paraId="6C1FDE35"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1D9C95E3" w14:textId="77777777" w:rsidR="001C14C6" w:rsidRPr="001C14C6" w:rsidRDefault="001C14C6" w:rsidP="001C14C6">
            <w:pPr>
              <w:jc w:val="both"/>
              <w:rPr>
                <w:rFonts w:ascii="Times New Roman" w:hAnsi="Times New Roman" w:cs="Times New Roman"/>
                <w:sz w:val="24"/>
                <w:szCs w:val="24"/>
                <w:lang w:val="it-CH"/>
              </w:rPr>
            </w:pPr>
          </w:p>
        </w:tc>
        <w:tc>
          <w:tcPr>
            <w:tcW w:w="2765" w:type="dxa"/>
          </w:tcPr>
          <w:p w14:paraId="1B2ED80B" w14:textId="450F2070" w:rsidR="001C14C6" w:rsidRPr="001C14C6"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t xml:space="preserve">(5) În situația în care cheltuielile menționate la alin. (1) nu sunt prezentate detaliat potrivit formatului contului de profit și pierdere/situaţiei veniturilor și cheltuielilor/datelor informative, din raportările contabile oficiale, ponderea prevăzută la alin. (1) se determină  luând în considerare cheltuielile aferente drepturilor de proprietate intelectuală, cheltuielile de management, consultanță,  înregistrate cu entități afiliate care nu sunt înființate/constituite și nu au locul conducerii efective în  România, astfel cum sunt înregistrate </w:t>
            </w:r>
            <w:r w:rsidRPr="00D250F1">
              <w:rPr>
                <w:rFonts w:ascii="Times New Roman" w:hAnsi="Times New Roman" w:cs="Times New Roman"/>
                <w:sz w:val="24"/>
                <w:szCs w:val="24"/>
                <w:lang w:val="it-CH"/>
              </w:rPr>
              <w:lastRenderedPageBreak/>
              <w:t>în evidența contabilă a anului 2024.</w:t>
            </w:r>
          </w:p>
        </w:tc>
        <w:tc>
          <w:tcPr>
            <w:tcW w:w="5323" w:type="dxa"/>
          </w:tcPr>
          <w:p w14:paraId="705C344A"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lastRenderedPageBreak/>
              <w:t xml:space="preserve">(5) În situația în care cheltuielile menționate la alin. (1) nu sunt prezentate detaliat potrivit formatului contului de profit și pierdere/situaţiei veniturilor și cheltuielilor/datelor informative, din raportările contabile oficiale, ponderea prevăzută la alin. (1) se determină  luând în considerare cheltuielile aferente drepturilor de proprietate intelectuală, cheltuielile de management, consultanță,  înregistrate cu entități </w:t>
            </w:r>
            <w:r w:rsidRPr="00D250F1">
              <w:rPr>
                <w:rFonts w:ascii="Times New Roman" w:hAnsi="Times New Roman" w:cs="Times New Roman"/>
                <w:b/>
                <w:bCs/>
                <w:sz w:val="24"/>
                <w:szCs w:val="24"/>
                <w:lang w:val="it-CH"/>
              </w:rPr>
              <w:t>nerezidente fiscal</w:t>
            </w:r>
            <w:r w:rsidRPr="00D250F1">
              <w:rPr>
                <w:rFonts w:ascii="Times New Roman" w:hAnsi="Times New Roman" w:cs="Times New Roman"/>
                <w:sz w:val="24"/>
                <w:szCs w:val="24"/>
                <w:lang w:val="it-CH"/>
              </w:rPr>
              <w:t xml:space="preserve"> în  România, astfel cum sunt înregistrate în evidența contabilă a anului 2024.</w:t>
            </w:r>
          </w:p>
          <w:p w14:paraId="1C4EDF4A" w14:textId="77777777" w:rsidR="001C14C6" w:rsidRPr="00D250F1" w:rsidRDefault="001C14C6" w:rsidP="001C14C6">
            <w:pPr>
              <w:jc w:val="both"/>
              <w:rPr>
                <w:rFonts w:ascii="Times New Roman" w:hAnsi="Times New Roman" w:cs="Times New Roman"/>
                <w:sz w:val="24"/>
                <w:szCs w:val="24"/>
                <w:lang w:val="it-CH"/>
              </w:rPr>
            </w:pPr>
          </w:p>
          <w:p w14:paraId="18D8DCA6" w14:textId="77777777" w:rsidR="001C14C6" w:rsidRPr="0034743D" w:rsidRDefault="001C14C6" w:rsidP="001C14C6">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6F22E8C6" w14:textId="77777777" w:rsidR="001C14C6" w:rsidRDefault="001C14C6" w:rsidP="001C14C6">
            <w:pPr>
              <w:jc w:val="both"/>
              <w:rPr>
                <w:rFonts w:ascii="Times New Roman" w:hAnsi="Times New Roman" w:cs="Times New Roman"/>
                <w:sz w:val="24"/>
                <w:szCs w:val="24"/>
              </w:rPr>
            </w:pPr>
          </w:p>
        </w:tc>
        <w:tc>
          <w:tcPr>
            <w:tcW w:w="3145" w:type="dxa"/>
          </w:tcPr>
          <w:p w14:paraId="2948D869" w14:textId="529579B6" w:rsidR="001C14C6"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Aplicabilitatea trebuie să se facă la toate persoanele nerezidente.</w:t>
            </w:r>
          </w:p>
        </w:tc>
      </w:tr>
      <w:tr w:rsidR="001C14C6" w:rsidRPr="00823DA7" w14:paraId="0F9E2A40" w14:textId="77777777" w:rsidTr="00926D2B">
        <w:tc>
          <w:tcPr>
            <w:tcW w:w="687" w:type="dxa"/>
          </w:tcPr>
          <w:p w14:paraId="3654419C"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5965D32A" w14:textId="77777777" w:rsidR="001C14C6" w:rsidRPr="001C14C6" w:rsidRDefault="001C14C6" w:rsidP="001C14C6">
            <w:pPr>
              <w:jc w:val="both"/>
              <w:rPr>
                <w:rFonts w:ascii="Times New Roman" w:hAnsi="Times New Roman" w:cs="Times New Roman"/>
                <w:sz w:val="24"/>
                <w:szCs w:val="24"/>
                <w:lang w:val="it-CH"/>
              </w:rPr>
            </w:pPr>
          </w:p>
        </w:tc>
        <w:tc>
          <w:tcPr>
            <w:tcW w:w="2765" w:type="dxa"/>
          </w:tcPr>
          <w:p w14:paraId="3262D5C4" w14:textId="4B6B17CE" w:rsidR="001C14C6" w:rsidRPr="001C14C6" w:rsidRDefault="001C14C6" w:rsidP="001C14C6">
            <w:pPr>
              <w:jc w:val="both"/>
              <w:rPr>
                <w:rFonts w:ascii="Times New Roman" w:hAnsi="Times New Roman" w:cs="Times New Roman"/>
                <w:sz w:val="24"/>
                <w:szCs w:val="24"/>
                <w:lang w:val="ro-RO"/>
              </w:rPr>
            </w:pPr>
            <w:r w:rsidRPr="00D250F1">
              <w:rPr>
                <w:rFonts w:ascii="Times New Roman" w:hAnsi="Times New Roman" w:cs="Times New Roman"/>
                <w:sz w:val="24"/>
                <w:szCs w:val="24"/>
                <w:lang w:val="ro-RO"/>
              </w:rPr>
              <w:t>(6) Începând cu anul fiscal 2027/anul fiscal modificat care începe în anul 2027, ponderea de 1% prevăzută la alin. (1), precum și cheltuielile în relația cu entități afiliate care nu sunt înființate/constituite și nu au locul conducerii efective în  România, care intră sub incidența prezentului articol, se determină de către contribuabili în relația cu persoanele afiliate așa cum sunt acestea definite la art. 7 pct. 26, pe baza cheltuielilor prezentate în declarația fiscală, stabilite prin ordin al ministrului finanțelor, la propunerea Agenției Naționale de Administrare Fiscală, astfel cum sunt înregistrate în anul fiscal de calcul. Cheltuielile prezentate în declarația fiscală efectuate pentru obținerea mărcilor, desenelor și modelelor industriale, drepturilor de autor, și alte asemenea, înregistrate în România, nu intră sub incidența prevederilor prezentului alineat.</w:t>
            </w:r>
          </w:p>
        </w:tc>
        <w:tc>
          <w:tcPr>
            <w:tcW w:w="5323" w:type="dxa"/>
          </w:tcPr>
          <w:p w14:paraId="667D07C2" w14:textId="77777777" w:rsidR="001C14C6" w:rsidRPr="00D250F1" w:rsidRDefault="001C14C6" w:rsidP="001C14C6">
            <w:pPr>
              <w:jc w:val="both"/>
              <w:rPr>
                <w:rFonts w:ascii="Times New Roman" w:hAnsi="Times New Roman" w:cs="Times New Roman"/>
                <w:sz w:val="24"/>
                <w:szCs w:val="24"/>
                <w:lang w:val="ro-RO"/>
              </w:rPr>
            </w:pPr>
            <w:r w:rsidRPr="00D250F1">
              <w:rPr>
                <w:rFonts w:ascii="Times New Roman" w:hAnsi="Times New Roman" w:cs="Times New Roman"/>
                <w:sz w:val="24"/>
                <w:szCs w:val="24"/>
                <w:lang w:val="ro-RO"/>
              </w:rPr>
              <w:t xml:space="preserve">(6) Începând cu anul fiscal 2027/anul fiscal modificat care începe în anul 2027, ponderea de 1% prevăzută la alin. (1), precum și cheltuielile în relația cu entități </w:t>
            </w:r>
            <w:r w:rsidRPr="00D250F1">
              <w:rPr>
                <w:rFonts w:ascii="Times New Roman" w:hAnsi="Times New Roman" w:cs="Times New Roman"/>
                <w:b/>
                <w:bCs/>
                <w:sz w:val="24"/>
                <w:szCs w:val="24"/>
                <w:lang w:val="ro-RO"/>
              </w:rPr>
              <w:t>nerezidente fiscal</w:t>
            </w:r>
            <w:r w:rsidRPr="00D250F1">
              <w:rPr>
                <w:rFonts w:ascii="Times New Roman" w:hAnsi="Times New Roman" w:cs="Times New Roman"/>
                <w:sz w:val="24"/>
                <w:szCs w:val="24"/>
                <w:lang w:val="ro-RO"/>
              </w:rPr>
              <w:t xml:space="preserve"> în  România, care intră sub incidența prezentului articol, se determină de către contribuabili în relația cu persoanele </w:t>
            </w:r>
            <w:r w:rsidRPr="00D250F1">
              <w:rPr>
                <w:rFonts w:ascii="Times New Roman" w:hAnsi="Times New Roman" w:cs="Times New Roman"/>
                <w:b/>
                <w:bCs/>
                <w:sz w:val="24"/>
                <w:szCs w:val="24"/>
                <w:lang w:val="ro-RO"/>
              </w:rPr>
              <w:t>nerezidente</w:t>
            </w:r>
            <w:r w:rsidRPr="00D250F1">
              <w:rPr>
                <w:rFonts w:ascii="Times New Roman" w:hAnsi="Times New Roman" w:cs="Times New Roman"/>
                <w:sz w:val="24"/>
                <w:szCs w:val="24"/>
                <w:lang w:val="ro-RO"/>
              </w:rPr>
              <w:t>, pe baza cheltuielilor prezentate în declarația fiscală, stabilite prin ordin al ministrului finanțelor, la propunerea Agenției Naționale de Administrare Fiscală, astfel cum sunt înregistrate în anul fiscal de calcul. Cheltuielile prezentate în declarația fiscală efectuate pentru obținerea mărcilor, desenelor și modelelor industriale, drepturilor de autor, și alte asemenea, înregistrate în România, nu intră sub incidența prevederilor prezentului alineat.</w:t>
            </w:r>
          </w:p>
          <w:p w14:paraId="659F9A15" w14:textId="77777777" w:rsidR="001C14C6" w:rsidRPr="00D250F1" w:rsidRDefault="001C14C6" w:rsidP="001C14C6">
            <w:pPr>
              <w:jc w:val="both"/>
              <w:rPr>
                <w:rFonts w:ascii="Times New Roman" w:hAnsi="Times New Roman" w:cs="Times New Roman"/>
                <w:sz w:val="24"/>
                <w:szCs w:val="24"/>
                <w:lang w:val="ro-RO"/>
              </w:rPr>
            </w:pPr>
          </w:p>
          <w:p w14:paraId="14AF7C13" w14:textId="36E6F417" w:rsidR="001C14C6" w:rsidRDefault="001C14C6" w:rsidP="001C14C6">
            <w:pPr>
              <w:jc w:val="both"/>
              <w:rPr>
                <w:rFonts w:ascii="Times New Roman" w:hAnsi="Times New Roman" w:cs="Times New Roman"/>
                <w:sz w:val="24"/>
                <w:szCs w:val="24"/>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p>
        </w:tc>
        <w:tc>
          <w:tcPr>
            <w:tcW w:w="3145" w:type="dxa"/>
          </w:tcPr>
          <w:p w14:paraId="2B379D66" w14:textId="552EF5BD" w:rsidR="001C14C6"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Aplicabilitatea trebuie să se facă la toate persoanele nerezidente.</w:t>
            </w:r>
          </w:p>
        </w:tc>
      </w:tr>
      <w:tr w:rsidR="001C14C6" w:rsidRPr="00823DA7" w14:paraId="7A8EE100" w14:textId="77777777" w:rsidTr="00926D2B">
        <w:tc>
          <w:tcPr>
            <w:tcW w:w="687" w:type="dxa"/>
          </w:tcPr>
          <w:p w14:paraId="512D77FA"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58608DC2" w14:textId="77777777" w:rsidR="001C14C6" w:rsidRPr="001C14C6" w:rsidRDefault="001C14C6" w:rsidP="001C14C6">
            <w:pPr>
              <w:jc w:val="both"/>
              <w:rPr>
                <w:rFonts w:ascii="Times New Roman" w:hAnsi="Times New Roman" w:cs="Times New Roman"/>
                <w:sz w:val="24"/>
                <w:szCs w:val="24"/>
                <w:lang w:val="it-CH"/>
              </w:rPr>
            </w:pPr>
          </w:p>
        </w:tc>
        <w:tc>
          <w:tcPr>
            <w:tcW w:w="2765" w:type="dxa"/>
          </w:tcPr>
          <w:p w14:paraId="05963645" w14:textId="77777777" w:rsidR="001C14C6" w:rsidRPr="00D250F1" w:rsidRDefault="001C14C6" w:rsidP="001C14C6">
            <w:pPr>
              <w:jc w:val="both"/>
              <w:rPr>
                <w:rFonts w:ascii="Times New Roman" w:hAnsi="Times New Roman" w:cs="Times New Roman"/>
                <w:sz w:val="24"/>
                <w:szCs w:val="24"/>
                <w:lang w:val="ro-RO"/>
              </w:rPr>
            </w:pPr>
            <w:r w:rsidRPr="00D250F1">
              <w:rPr>
                <w:rFonts w:ascii="Times New Roman" w:hAnsi="Times New Roman" w:cs="Times New Roman"/>
                <w:sz w:val="24"/>
                <w:szCs w:val="24"/>
                <w:lang w:val="ro-RO"/>
              </w:rPr>
              <w:t xml:space="preserve">(7) Contribuabilii înființați în cursul unui an fiscal, pentru anul fiscal al înființării, aplică prevederile alin. (1) la sfârșitul anului fiscal de calcul, luând în considerare cheltuielile aferente drepturilor de proprietate intelectuală, cheltuielile de management, </w:t>
            </w:r>
          </w:p>
          <w:p w14:paraId="0B2B2073" w14:textId="6EACAA0A" w:rsidR="001C14C6" w:rsidRPr="001C14C6" w:rsidRDefault="001C14C6" w:rsidP="001C14C6">
            <w:pPr>
              <w:jc w:val="both"/>
              <w:rPr>
                <w:rFonts w:ascii="Times New Roman" w:hAnsi="Times New Roman" w:cs="Times New Roman"/>
                <w:sz w:val="24"/>
                <w:szCs w:val="24"/>
                <w:lang w:val="ro-RO"/>
              </w:rPr>
            </w:pPr>
            <w:r w:rsidRPr="00D250F1">
              <w:rPr>
                <w:rFonts w:ascii="Times New Roman" w:hAnsi="Times New Roman" w:cs="Times New Roman"/>
                <w:sz w:val="24"/>
                <w:szCs w:val="24"/>
                <w:lang w:val="ro-RO"/>
              </w:rPr>
              <w:t>consultanță, înregistrate cu entități afiliate care nu sunt înființate/constituite și nu au locul conducerii efective în  România, în total cheltuieli, astfel cum sunt înregistrate în evidența contabilă. Prevederile prezentului alineat se aplică și contribuabililor înființați în cursul anului 2025/anului fiscal modificat care începe în anul 2025, pentru determinarea rezultatului fiscal al anului fiscal 2026/anului fiscal modificat care începe în anul 2026.</w:t>
            </w:r>
          </w:p>
        </w:tc>
        <w:tc>
          <w:tcPr>
            <w:tcW w:w="5323" w:type="dxa"/>
          </w:tcPr>
          <w:p w14:paraId="71042B94" w14:textId="77777777" w:rsidR="001C14C6" w:rsidRPr="00D250F1" w:rsidRDefault="001C14C6" w:rsidP="001C14C6">
            <w:pPr>
              <w:jc w:val="both"/>
              <w:rPr>
                <w:rFonts w:ascii="Times New Roman" w:hAnsi="Times New Roman" w:cs="Times New Roman"/>
                <w:sz w:val="24"/>
                <w:szCs w:val="24"/>
                <w:lang w:val="ro-RO"/>
              </w:rPr>
            </w:pPr>
            <w:r w:rsidRPr="00D250F1">
              <w:rPr>
                <w:rFonts w:ascii="Times New Roman" w:hAnsi="Times New Roman" w:cs="Times New Roman"/>
                <w:sz w:val="24"/>
                <w:szCs w:val="24"/>
                <w:lang w:val="ro-RO"/>
              </w:rPr>
              <w:t xml:space="preserve">(7) Contribuabilii înființați în cursul unui an fiscal, pentru anul fiscal al înființării, aplică prevederile alin. (1) la sfârșitul anului fiscal de calcul, luând în considerare cheltuielile aferente drepturilor de proprietate intelectuală, cheltuielile de management, </w:t>
            </w:r>
          </w:p>
          <w:p w14:paraId="4808C6F9" w14:textId="77777777" w:rsidR="001C14C6" w:rsidRPr="00D250F1" w:rsidRDefault="001C14C6" w:rsidP="001C14C6">
            <w:pPr>
              <w:jc w:val="both"/>
              <w:rPr>
                <w:rFonts w:ascii="Times New Roman" w:hAnsi="Times New Roman" w:cs="Times New Roman"/>
                <w:sz w:val="24"/>
                <w:szCs w:val="24"/>
                <w:lang w:val="ro-RO"/>
              </w:rPr>
            </w:pPr>
            <w:r w:rsidRPr="00D250F1">
              <w:rPr>
                <w:rFonts w:ascii="Times New Roman" w:hAnsi="Times New Roman" w:cs="Times New Roman"/>
                <w:sz w:val="24"/>
                <w:szCs w:val="24"/>
                <w:lang w:val="ro-RO"/>
              </w:rPr>
              <w:t xml:space="preserve">consultanță, înregistrate cu entități </w:t>
            </w:r>
            <w:r w:rsidRPr="00D250F1">
              <w:rPr>
                <w:rFonts w:ascii="Times New Roman" w:hAnsi="Times New Roman" w:cs="Times New Roman"/>
                <w:b/>
                <w:bCs/>
                <w:sz w:val="24"/>
                <w:szCs w:val="24"/>
                <w:lang w:val="ro-RO"/>
              </w:rPr>
              <w:t>nerezidente fiscal</w:t>
            </w:r>
            <w:r w:rsidRPr="00D250F1">
              <w:rPr>
                <w:rFonts w:ascii="Times New Roman" w:hAnsi="Times New Roman" w:cs="Times New Roman"/>
                <w:sz w:val="24"/>
                <w:szCs w:val="24"/>
                <w:lang w:val="ro-RO"/>
              </w:rPr>
              <w:t xml:space="preserve"> în  România, în total cheltuieli, astfel cum sunt înregistrate în evidența contabilă. Prevederile prezentului alineat se aplică și contribuabililor înființați în cursul anului 2025/anului fiscal modificat care începe în anul 2025, pentru determinarea rezultatului fiscal al anului fiscal 2026/anului fiscal modificat care începe în anul 2026.</w:t>
            </w:r>
          </w:p>
          <w:p w14:paraId="13C62231" w14:textId="77777777" w:rsidR="001C14C6" w:rsidRPr="00D250F1" w:rsidRDefault="001C14C6" w:rsidP="001C14C6">
            <w:pPr>
              <w:jc w:val="both"/>
              <w:rPr>
                <w:rFonts w:ascii="Times New Roman" w:hAnsi="Times New Roman" w:cs="Times New Roman"/>
                <w:sz w:val="24"/>
                <w:szCs w:val="24"/>
                <w:lang w:val="ro-RO"/>
              </w:rPr>
            </w:pPr>
          </w:p>
          <w:p w14:paraId="10888E82" w14:textId="331A5C36" w:rsidR="001C14C6" w:rsidRDefault="001C14C6" w:rsidP="001C14C6">
            <w:pPr>
              <w:jc w:val="both"/>
              <w:rPr>
                <w:rFonts w:ascii="Times New Roman" w:hAnsi="Times New Roman" w:cs="Times New Roman"/>
                <w:sz w:val="24"/>
                <w:szCs w:val="24"/>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p>
        </w:tc>
        <w:tc>
          <w:tcPr>
            <w:tcW w:w="3145" w:type="dxa"/>
          </w:tcPr>
          <w:p w14:paraId="61CFC394" w14:textId="1550561E" w:rsidR="001C14C6"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Aplicabilitatea trebuie să se facă la toate persoanele nerezidente.</w:t>
            </w:r>
          </w:p>
        </w:tc>
      </w:tr>
      <w:tr w:rsidR="001C14C6" w:rsidRPr="00823DA7" w14:paraId="0E41108B" w14:textId="77777777" w:rsidTr="00926D2B">
        <w:tc>
          <w:tcPr>
            <w:tcW w:w="687" w:type="dxa"/>
          </w:tcPr>
          <w:p w14:paraId="1DE73EBE"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4B5ECA53" w14:textId="77777777" w:rsidR="001C14C6" w:rsidRPr="001C14C6" w:rsidRDefault="001C14C6" w:rsidP="001C14C6">
            <w:pPr>
              <w:jc w:val="both"/>
              <w:rPr>
                <w:rFonts w:ascii="Times New Roman" w:hAnsi="Times New Roman" w:cs="Times New Roman"/>
                <w:sz w:val="24"/>
                <w:szCs w:val="24"/>
                <w:lang w:val="it-CH"/>
              </w:rPr>
            </w:pPr>
          </w:p>
        </w:tc>
        <w:tc>
          <w:tcPr>
            <w:tcW w:w="2765" w:type="dxa"/>
          </w:tcPr>
          <w:p w14:paraId="0E84C10D" w14:textId="46046FDA" w:rsidR="001C14C6" w:rsidRPr="001C14C6"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t xml:space="preserve">(10) Contribuabilii care, în anul fiscal de calcul, consideră nedeductibile cheltuielile prevăzute la alin. (1) și alin.(6) nu </w:t>
            </w:r>
            <w:r w:rsidRPr="00D250F1">
              <w:rPr>
                <w:rFonts w:ascii="Times New Roman" w:hAnsi="Times New Roman" w:cs="Times New Roman"/>
                <w:sz w:val="24"/>
                <w:szCs w:val="24"/>
                <w:lang w:val="it-CH"/>
              </w:rPr>
              <w:lastRenderedPageBreak/>
              <w:t xml:space="preserve">aplică prevederile art. 25, pentru aceste cheltuieli în relația cu entitățile afiliate care nu sunt înființate/constituite și nu au locul conducerii efective în  România.  </w:t>
            </w:r>
          </w:p>
        </w:tc>
        <w:tc>
          <w:tcPr>
            <w:tcW w:w="5323" w:type="dxa"/>
          </w:tcPr>
          <w:p w14:paraId="3343C574" w14:textId="77777777" w:rsidR="001C14C6" w:rsidRPr="00D250F1" w:rsidRDefault="001C14C6" w:rsidP="001C14C6">
            <w:pPr>
              <w:jc w:val="both"/>
              <w:rPr>
                <w:rFonts w:ascii="Times New Roman" w:hAnsi="Times New Roman" w:cs="Times New Roman"/>
                <w:sz w:val="24"/>
                <w:szCs w:val="24"/>
                <w:lang w:val="it-CH"/>
              </w:rPr>
            </w:pPr>
            <w:r w:rsidRPr="00D250F1">
              <w:rPr>
                <w:rFonts w:ascii="Times New Roman" w:hAnsi="Times New Roman" w:cs="Times New Roman"/>
                <w:sz w:val="24"/>
                <w:szCs w:val="24"/>
                <w:lang w:val="it-CH"/>
              </w:rPr>
              <w:lastRenderedPageBreak/>
              <w:t xml:space="preserve">(10) Contribuabilii care, în anul fiscal de calcul, consideră nedeductibile cheltuielile prevăzute la alin. (1) și alin.(6) nu aplică prevederile art. 25, pentru aceste cheltuieli în relația cu entități </w:t>
            </w:r>
            <w:r w:rsidRPr="00D250F1">
              <w:rPr>
                <w:rFonts w:ascii="Times New Roman" w:hAnsi="Times New Roman" w:cs="Times New Roman"/>
                <w:b/>
                <w:bCs/>
                <w:sz w:val="24"/>
                <w:szCs w:val="24"/>
                <w:lang w:val="it-CH"/>
              </w:rPr>
              <w:t>nerezidente fiscal</w:t>
            </w:r>
            <w:r w:rsidRPr="00D250F1">
              <w:rPr>
                <w:rFonts w:ascii="Times New Roman" w:hAnsi="Times New Roman" w:cs="Times New Roman"/>
                <w:sz w:val="24"/>
                <w:szCs w:val="24"/>
                <w:lang w:val="it-CH"/>
              </w:rPr>
              <w:t xml:space="preserve"> în  România.  </w:t>
            </w:r>
          </w:p>
          <w:p w14:paraId="49FAC304" w14:textId="77777777" w:rsidR="001C14C6" w:rsidRPr="00D250F1" w:rsidRDefault="001C14C6" w:rsidP="001C14C6">
            <w:pPr>
              <w:jc w:val="both"/>
              <w:rPr>
                <w:rFonts w:ascii="Times New Roman" w:hAnsi="Times New Roman" w:cs="Times New Roman"/>
                <w:sz w:val="24"/>
                <w:szCs w:val="24"/>
                <w:lang w:val="it-CH"/>
              </w:rPr>
            </w:pPr>
          </w:p>
          <w:p w14:paraId="34183C0F" w14:textId="77777777" w:rsidR="001C14C6" w:rsidRDefault="001C14C6" w:rsidP="001C14C6">
            <w:pPr>
              <w:jc w:val="both"/>
              <w:rPr>
                <w:rFonts w:ascii="Times New Roman" w:hAnsi="Times New Roman" w:cs="Times New Roman"/>
                <w:i/>
                <w:iCs/>
                <w:sz w:val="24"/>
                <w:szCs w:val="24"/>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p>
          <w:p w14:paraId="15EEBC9C" w14:textId="77777777" w:rsidR="001C14C6" w:rsidRDefault="001C14C6" w:rsidP="001C14C6">
            <w:pPr>
              <w:jc w:val="both"/>
              <w:rPr>
                <w:rFonts w:ascii="Times New Roman" w:hAnsi="Times New Roman" w:cs="Times New Roman"/>
                <w:sz w:val="24"/>
                <w:szCs w:val="24"/>
              </w:rPr>
            </w:pPr>
          </w:p>
        </w:tc>
        <w:tc>
          <w:tcPr>
            <w:tcW w:w="3145" w:type="dxa"/>
          </w:tcPr>
          <w:p w14:paraId="02C65895" w14:textId="20C4C97E" w:rsidR="001C14C6" w:rsidRDefault="001C14C6" w:rsidP="001C14C6">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lastRenderedPageBreak/>
              <w:t>Aplicabilitatea trebuie să se facă la toate persoanele nerezidente.</w:t>
            </w:r>
          </w:p>
        </w:tc>
      </w:tr>
      <w:tr w:rsidR="00681F55" w:rsidRPr="00D6489A" w14:paraId="67892F27" w14:textId="77777777" w:rsidTr="00926D2B">
        <w:tc>
          <w:tcPr>
            <w:tcW w:w="687" w:type="dxa"/>
          </w:tcPr>
          <w:p w14:paraId="65C64E1C" w14:textId="77777777" w:rsidR="00681F55" w:rsidRPr="0034743D" w:rsidRDefault="00681F55"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03AF69BC" w14:textId="3F276508" w:rsidR="00681F55" w:rsidRPr="001C14C6" w:rsidRDefault="00681F55" w:rsidP="00681F55">
            <w:pPr>
              <w:jc w:val="both"/>
              <w:rPr>
                <w:rFonts w:ascii="Times New Roman" w:hAnsi="Times New Roman" w:cs="Times New Roman"/>
                <w:sz w:val="24"/>
                <w:szCs w:val="24"/>
                <w:lang w:val="it-CH"/>
              </w:rPr>
            </w:pPr>
            <w:r w:rsidRPr="00681F55">
              <w:rPr>
                <w:rFonts w:ascii="Times New Roman" w:hAnsi="Times New Roman" w:cs="Times New Roman"/>
                <w:sz w:val="24"/>
                <w:szCs w:val="24"/>
              </w:rPr>
              <w:t xml:space="preserve">Art. 64: </w:t>
            </w:r>
            <w:proofErr w:type="spellStart"/>
            <w:r w:rsidRPr="00681F55">
              <w:rPr>
                <w:rFonts w:ascii="Times New Roman" w:hAnsi="Times New Roman" w:cs="Times New Roman"/>
                <w:sz w:val="24"/>
                <w:szCs w:val="24"/>
              </w:rPr>
              <w:t>Cotele</w:t>
            </w:r>
            <w:proofErr w:type="spellEnd"/>
            <w:r w:rsidRPr="00681F55">
              <w:rPr>
                <w:rFonts w:ascii="Times New Roman" w:hAnsi="Times New Roman" w:cs="Times New Roman"/>
                <w:sz w:val="24"/>
                <w:szCs w:val="24"/>
              </w:rPr>
              <w:t xml:space="preserve"> de </w:t>
            </w:r>
            <w:proofErr w:type="spellStart"/>
            <w:r w:rsidRPr="00681F55">
              <w:rPr>
                <w:rFonts w:ascii="Times New Roman" w:hAnsi="Times New Roman" w:cs="Times New Roman"/>
                <w:sz w:val="24"/>
                <w:szCs w:val="24"/>
              </w:rPr>
              <w:t>impozitare</w:t>
            </w:r>
            <w:proofErr w:type="spellEnd"/>
          </w:p>
        </w:tc>
        <w:tc>
          <w:tcPr>
            <w:tcW w:w="2765" w:type="dxa"/>
          </w:tcPr>
          <w:p w14:paraId="7B77F170" w14:textId="77777777" w:rsidR="00681F55" w:rsidRPr="00D250F1" w:rsidRDefault="00681F55" w:rsidP="001C14C6">
            <w:pPr>
              <w:jc w:val="both"/>
              <w:rPr>
                <w:rFonts w:ascii="Times New Roman" w:hAnsi="Times New Roman" w:cs="Times New Roman"/>
                <w:sz w:val="24"/>
                <w:szCs w:val="24"/>
                <w:lang w:val="it-CH"/>
              </w:rPr>
            </w:pPr>
          </w:p>
        </w:tc>
        <w:tc>
          <w:tcPr>
            <w:tcW w:w="5323" w:type="dxa"/>
          </w:tcPr>
          <w:p w14:paraId="16EAE8C7" w14:textId="70C82AB5" w:rsidR="00681F55" w:rsidRDefault="00EA4988" w:rsidP="001C14C6">
            <w:pPr>
              <w:jc w:val="both"/>
              <w:rPr>
                <w:rFonts w:ascii="Times New Roman" w:hAnsi="Times New Roman" w:cs="Times New Roman"/>
                <w:b/>
                <w:sz w:val="24"/>
                <w:szCs w:val="24"/>
                <w:lang w:val="ro-RO"/>
              </w:rPr>
            </w:pPr>
            <w:r w:rsidRPr="00D6489A">
              <w:rPr>
                <w:rFonts w:ascii="Times New Roman" w:hAnsi="Times New Roman" w:cs="Times New Roman"/>
                <w:b/>
                <w:sz w:val="24"/>
                <w:szCs w:val="24"/>
                <w:lang w:val="ro-RO"/>
              </w:rPr>
              <w:t xml:space="preserve">La articolul </w:t>
            </w:r>
            <w:r>
              <w:rPr>
                <w:rFonts w:ascii="Times New Roman" w:hAnsi="Times New Roman" w:cs="Times New Roman"/>
                <w:b/>
                <w:sz w:val="24"/>
                <w:szCs w:val="24"/>
                <w:lang w:val="ro-RO"/>
              </w:rPr>
              <w:t>64</w:t>
            </w:r>
            <w:r w:rsidRPr="00D6489A">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după </w:t>
            </w:r>
            <w:r w:rsidRPr="00D6489A">
              <w:rPr>
                <w:rFonts w:ascii="Times New Roman" w:hAnsi="Times New Roman" w:cs="Times New Roman"/>
                <w:b/>
                <w:sz w:val="24"/>
                <w:szCs w:val="24"/>
                <w:lang w:val="ro-RO"/>
              </w:rPr>
              <w:t>alineatul (</w:t>
            </w:r>
            <w:r>
              <w:rPr>
                <w:rFonts w:ascii="Times New Roman" w:hAnsi="Times New Roman" w:cs="Times New Roman"/>
                <w:b/>
                <w:sz w:val="24"/>
                <w:szCs w:val="24"/>
                <w:lang w:val="ro-RO"/>
              </w:rPr>
              <w:t>2</w:t>
            </w:r>
            <w:r w:rsidRPr="00D6489A">
              <w:rPr>
                <w:rFonts w:ascii="Times New Roman" w:hAnsi="Times New Roman" w:cs="Times New Roman"/>
                <w:b/>
                <w:sz w:val="24"/>
                <w:szCs w:val="24"/>
                <w:lang w:val="ro-RO"/>
              </w:rPr>
              <w:t>) se introduc</w:t>
            </w:r>
            <w:r>
              <w:rPr>
                <w:rFonts w:ascii="Times New Roman" w:hAnsi="Times New Roman" w:cs="Times New Roman"/>
                <w:b/>
                <w:sz w:val="24"/>
                <w:szCs w:val="24"/>
                <w:lang w:val="ro-RO"/>
              </w:rPr>
              <w:t xml:space="preserve"> două noi alineate, alin. (3) și alin. (4), cu următorul cuplins:</w:t>
            </w:r>
          </w:p>
          <w:p w14:paraId="4C779739" w14:textId="77777777" w:rsidR="00EA4988" w:rsidRPr="00823DA7" w:rsidRDefault="00EA4988" w:rsidP="001C14C6">
            <w:pPr>
              <w:jc w:val="both"/>
              <w:rPr>
                <w:rFonts w:ascii="Times New Roman" w:hAnsi="Times New Roman" w:cs="Times New Roman"/>
                <w:sz w:val="24"/>
                <w:szCs w:val="24"/>
                <w:lang w:val="ro-RO"/>
              </w:rPr>
            </w:pPr>
          </w:p>
          <w:p w14:paraId="184A5D2A" w14:textId="77777777" w:rsidR="00EA4988" w:rsidRPr="00823DA7" w:rsidRDefault="00EA4988" w:rsidP="001C14C6">
            <w:pPr>
              <w:jc w:val="both"/>
              <w:rPr>
                <w:rFonts w:ascii="Times New Roman" w:hAnsi="Times New Roman" w:cs="Times New Roman"/>
                <w:sz w:val="24"/>
                <w:szCs w:val="24"/>
                <w:lang w:val="ro-RO"/>
              </w:rPr>
            </w:pPr>
            <w:r w:rsidRPr="00823DA7">
              <w:rPr>
                <w:rFonts w:ascii="Times New Roman" w:hAnsi="Times New Roman" w:cs="Times New Roman"/>
                <w:sz w:val="24"/>
                <w:szCs w:val="24"/>
                <w:lang w:val="ro-RO"/>
              </w:rPr>
              <w:t>(3) Pentru veniturile prevăzute la art. 91, litera b) se aplică o cotă de 16% dacă valoarea însumată a depozitelor pe baza cărora se realizeaza venitul din dobânzi este mai mare sau egală cu echivalentul a 100.000 euro.</w:t>
            </w:r>
          </w:p>
          <w:p w14:paraId="1FB25EC1" w14:textId="77777777" w:rsidR="00EA4988" w:rsidRPr="00823DA7" w:rsidRDefault="00EA4988" w:rsidP="001C14C6">
            <w:pPr>
              <w:jc w:val="both"/>
              <w:rPr>
                <w:rFonts w:ascii="Times New Roman" w:hAnsi="Times New Roman" w:cs="Times New Roman"/>
                <w:sz w:val="24"/>
                <w:szCs w:val="24"/>
                <w:lang w:val="ro-RO"/>
              </w:rPr>
            </w:pPr>
          </w:p>
          <w:p w14:paraId="7C91F02E" w14:textId="77777777" w:rsidR="00EA4988" w:rsidRDefault="00EA4988" w:rsidP="001C14C6">
            <w:pPr>
              <w:jc w:val="both"/>
              <w:rPr>
                <w:rFonts w:ascii="Times New Roman" w:hAnsi="Times New Roman" w:cs="Times New Roman"/>
                <w:sz w:val="24"/>
                <w:szCs w:val="24"/>
                <w:lang w:val="it-CH"/>
              </w:rPr>
            </w:pPr>
            <w:r>
              <w:rPr>
                <w:rFonts w:ascii="Times New Roman" w:hAnsi="Times New Roman" w:cs="Times New Roman"/>
                <w:sz w:val="24"/>
                <w:szCs w:val="24"/>
                <w:lang w:val="it-CH"/>
              </w:rPr>
              <w:t>(4) P</w:t>
            </w:r>
            <w:r w:rsidRPr="00EA4988">
              <w:rPr>
                <w:rFonts w:ascii="Times New Roman" w:hAnsi="Times New Roman" w:cs="Times New Roman"/>
                <w:sz w:val="24"/>
                <w:szCs w:val="24"/>
                <w:lang w:val="it-CH"/>
              </w:rPr>
              <w:t>entru veniturile realizate din operatiuni cu monede virtuale si cryptomonede, cota este 16%</w:t>
            </w:r>
          </w:p>
          <w:p w14:paraId="00BC958E" w14:textId="77777777" w:rsidR="00EA4988" w:rsidRDefault="00EA4988" w:rsidP="001C14C6">
            <w:pPr>
              <w:jc w:val="both"/>
              <w:rPr>
                <w:rFonts w:ascii="Times New Roman" w:hAnsi="Times New Roman" w:cs="Times New Roman"/>
                <w:sz w:val="24"/>
                <w:szCs w:val="24"/>
                <w:lang w:val="it-CH"/>
              </w:rPr>
            </w:pPr>
          </w:p>
          <w:p w14:paraId="437652F8" w14:textId="5DC2292C" w:rsidR="00EA4988" w:rsidRPr="00D250F1" w:rsidRDefault="00EA4988" w:rsidP="001C14C6">
            <w:pPr>
              <w:jc w:val="both"/>
              <w:rPr>
                <w:rFonts w:ascii="Times New Roman" w:hAnsi="Times New Roman" w:cs="Times New Roman"/>
                <w:sz w:val="24"/>
                <w:szCs w:val="24"/>
                <w:lang w:val="it-CH"/>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p>
        </w:tc>
        <w:tc>
          <w:tcPr>
            <w:tcW w:w="3145" w:type="dxa"/>
          </w:tcPr>
          <w:p w14:paraId="2D59C28C" w14:textId="77777777" w:rsidR="00681F55" w:rsidRDefault="00681F55" w:rsidP="001C14C6">
            <w:pPr>
              <w:jc w:val="both"/>
              <w:rPr>
                <w:rFonts w:ascii="Times New Roman" w:eastAsia="Times New Roman" w:hAnsi="Times New Roman" w:cs="Times New Roman"/>
                <w:bCs/>
                <w:sz w:val="24"/>
                <w:szCs w:val="24"/>
                <w:lang w:val="ro-RO"/>
              </w:rPr>
            </w:pPr>
          </w:p>
        </w:tc>
      </w:tr>
      <w:tr w:rsidR="001C14C6" w:rsidRPr="00D6489A" w14:paraId="718D75B7" w14:textId="77777777" w:rsidTr="00926D2B">
        <w:tc>
          <w:tcPr>
            <w:tcW w:w="687" w:type="dxa"/>
          </w:tcPr>
          <w:p w14:paraId="5AA0DC8C"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0322F8F5" w14:textId="77777777" w:rsidR="001C14C6" w:rsidRPr="001653D5" w:rsidRDefault="001C14C6" w:rsidP="001C14C6">
            <w:pPr>
              <w:rPr>
                <w:rFonts w:ascii="Times New Roman" w:hAnsi="Times New Roman" w:cs="Times New Roman"/>
                <w:sz w:val="24"/>
                <w:szCs w:val="24"/>
                <w:lang w:val="fr-FR"/>
              </w:rPr>
            </w:pPr>
            <w:r w:rsidRPr="001653D5">
              <w:rPr>
                <w:rFonts w:ascii="Times New Roman" w:hAnsi="Times New Roman" w:cs="Times New Roman"/>
                <w:sz w:val="24"/>
                <w:szCs w:val="24"/>
                <w:lang w:val="fr-FR"/>
              </w:rPr>
              <w:t xml:space="preserve">Art. 153: </w:t>
            </w:r>
            <w:proofErr w:type="spellStart"/>
            <w:r w:rsidRPr="001653D5">
              <w:rPr>
                <w:rFonts w:ascii="Times New Roman" w:hAnsi="Times New Roman" w:cs="Times New Roman"/>
                <w:sz w:val="24"/>
                <w:szCs w:val="24"/>
                <w:lang w:val="fr-FR"/>
              </w:rPr>
              <w:t>Contribuabilii</w:t>
            </w:r>
            <w:proofErr w:type="spellEnd"/>
            <w:r w:rsidRPr="001653D5">
              <w:rPr>
                <w:rFonts w:ascii="Times New Roman" w:hAnsi="Times New Roman" w:cs="Times New Roman"/>
                <w:sz w:val="24"/>
                <w:szCs w:val="24"/>
                <w:lang w:val="fr-FR"/>
              </w:rPr>
              <w:t>/</w:t>
            </w:r>
            <w:proofErr w:type="spellStart"/>
            <w:r w:rsidRPr="001653D5">
              <w:rPr>
                <w:rFonts w:ascii="Times New Roman" w:hAnsi="Times New Roman" w:cs="Times New Roman"/>
                <w:sz w:val="24"/>
                <w:szCs w:val="24"/>
                <w:lang w:val="fr-FR"/>
              </w:rPr>
              <w:t>Plătitorii</w:t>
            </w:r>
            <w:proofErr w:type="spellEnd"/>
            <w:r w:rsidRPr="001653D5">
              <w:rPr>
                <w:rFonts w:ascii="Times New Roman" w:hAnsi="Times New Roman" w:cs="Times New Roman"/>
                <w:sz w:val="24"/>
                <w:szCs w:val="24"/>
                <w:lang w:val="fr-FR"/>
              </w:rPr>
              <w:t xml:space="preserve"> de </w:t>
            </w:r>
            <w:proofErr w:type="spellStart"/>
            <w:r w:rsidRPr="001653D5">
              <w:rPr>
                <w:rFonts w:ascii="Times New Roman" w:hAnsi="Times New Roman" w:cs="Times New Roman"/>
                <w:sz w:val="24"/>
                <w:szCs w:val="24"/>
                <w:lang w:val="fr-FR"/>
              </w:rPr>
              <w:t>venit</w:t>
            </w:r>
            <w:proofErr w:type="spellEnd"/>
            <w:r w:rsidRPr="001653D5">
              <w:rPr>
                <w:rFonts w:ascii="Times New Roman" w:hAnsi="Times New Roman" w:cs="Times New Roman"/>
                <w:sz w:val="24"/>
                <w:szCs w:val="24"/>
                <w:lang w:val="fr-FR"/>
              </w:rPr>
              <w:t xml:space="preserve"> la </w:t>
            </w:r>
            <w:proofErr w:type="spellStart"/>
            <w:r w:rsidRPr="001653D5">
              <w:rPr>
                <w:rFonts w:ascii="Times New Roman" w:hAnsi="Times New Roman" w:cs="Times New Roman"/>
                <w:sz w:val="24"/>
                <w:szCs w:val="24"/>
                <w:lang w:val="fr-FR"/>
              </w:rPr>
              <w:t>sistemul</w:t>
            </w:r>
            <w:proofErr w:type="spellEnd"/>
            <w:r w:rsidRPr="001653D5">
              <w:rPr>
                <w:rFonts w:ascii="Times New Roman" w:hAnsi="Times New Roman" w:cs="Times New Roman"/>
                <w:sz w:val="24"/>
                <w:szCs w:val="24"/>
                <w:lang w:val="fr-FR"/>
              </w:rPr>
              <w:t xml:space="preserve"> de </w:t>
            </w:r>
            <w:proofErr w:type="spellStart"/>
            <w:r w:rsidRPr="001653D5">
              <w:rPr>
                <w:rFonts w:ascii="Times New Roman" w:hAnsi="Times New Roman" w:cs="Times New Roman"/>
                <w:sz w:val="24"/>
                <w:szCs w:val="24"/>
                <w:lang w:val="fr-FR"/>
              </w:rPr>
              <w:t>asigurări</w:t>
            </w:r>
            <w:proofErr w:type="spellEnd"/>
            <w:r w:rsidRPr="001653D5">
              <w:rPr>
                <w:rFonts w:ascii="Times New Roman" w:hAnsi="Times New Roman" w:cs="Times New Roman"/>
                <w:sz w:val="24"/>
                <w:szCs w:val="24"/>
                <w:lang w:val="fr-FR"/>
              </w:rPr>
              <w:t xml:space="preserve"> sociale de </w:t>
            </w:r>
            <w:proofErr w:type="spellStart"/>
            <w:r w:rsidRPr="001653D5">
              <w:rPr>
                <w:rFonts w:ascii="Times New Roman" w:hAnsi="Times New Roman" w:cs="Times New Roman"/>
                <w:sz w:val="24"/>
                <w:szCs w:val="24"/>
                <w:lang w:val="fr-FR"/>
              </w:rPr>
              <w:t>sănătate</w:t>
            </w:r>
            <w:proofErr w:type="spellEnd"/>
            <w:r w:rsidRPr="001653D5">
              <w:rPr>
                <w:rFonts w:ascii="Times New Roman" w:hAnsi="Times New Roman" w:cs="Times New Roman"/>
                <w:sz w:val="24"/>
                <w:szCs w:val="24"/>
                <w:lang w:val="fr-FR"/>
              </w:rPr>
              <w:t xml:space="preserve"> </w:t>
            </w:r>
          </w:p>
          <w:p w14:paraId="6FB5719E" w14:textId="77777777" w:rsidR="001C14C6" w:rsidRPr="001653D5" w:rsidRDefault="001C14C6" w:rsidP="001C14C6">
            <w:pPr>
              <w:rPr>
                <w:rFonts w:ascii="Times New Roman" w:hAnsi="Times New Roman" w:cs="Times New Roman"/>
                <w:sz w:val="24"/>
                <w:szCs w:val="24"/>
                <w:lang w:val="fr-FR"/>
              </w:rPr>
            </w:pPr>
            <w:r w:rsidRPr="001653D5">
              <w:rPr>
                <w:rFonts w:ascii="Times New Roman" w:hAnsi="Times New Roman" w:cs="Times New Roman"/>
                <w:sz w:val="24"/>
                <w:szCs w:val="24"/>
                <w:lang w:val="fr-FR"/>
              </w:rPr>
              <w:t>(1)</w:t>
            </w:r>
            <w:proofErr w:type="spellStart"/>
            <w:r w:rsidRPr="001653D5">
              <w:rPr>
                <w:rFonts w:ascii="Times New Roman" w:hAnsi="Times New Roman" w:cs="Times New Roman"/>
                <w:sz w:val="24"/>
                <w:szCs w:val="24"/>
                <w:lang w:val="fr-FR"/>
              </w:rPr>
              <w:t>Următoarele</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persoane</w:t>
            </w:r>
            <w:proofErr w:type="spellEnd"/>
            <w:r w:rsidRPr="001653D5">
              <w:rPr>
                <w:rFonts w:ascii="Times New Roman" w:hAnsi="Times New Roman" w:cs="Times New Roman"/>
                <w:sz w:val="24"/>
                <w:szCs w:val="24"/>
                <w:lang w:val="fr-FR"/>
              </w:rPr>
              <w:t xml:space="preserve"> au </w:t>
            </w:r>
            <w:proofErr w:type="spellStart"/>
            <w:r w:rsidRPr="001653D5">
              <w:rPr>
                <w:rFonts w:ascii="Times New Roman" w:hAnsi="Times New Roman" w:cs="Times New Roman"/>
                <w:sz w:val="24"/>
                <w:szCs w:val="24"/>
                <w:lang w:val="fr-FR"/>
              </w:rPr>
              <w:t>calitatea</w:t>
            </w:r>
            <w:proofErr w:type="spellEnd"/>
            <w:r w:rsidRPr="001653D5">
              <w:rPr>
                <w:rFonts w:ascii="Times New Roman" w:hAnsi="Times New Roman" w:cs="Times New Roman"/>
                <w:sz w:val="24"/>
                <w:szCs w:val="24"/>
                <w:lang w:val="fr-FR"/>
              </w:rPr>
              <w:t xml:space="preserve"> de </w:t>
            </w:r>
            <w:proofErr w:type="spellStart"/>
            <w:r w:rsidRPr="001653D5">
              <w:rPr>
                <w:rFonts w:ascii="Times New Roman" w:hAnsi="Times New Roman" w:cs="Times New Roman"/>
                <w:sz w:val="24"/>
                <w:szCs w:val="24"/>
                <w:lang w:val="fr-FR"/>
              </w:rPr>
              <w:t>contribuabili</w:t>
            </w:r>
            <w:proofErr w:type="spellEnd"/>
            <w:r w:rsidRPr="001653D5">
              <w:rPr>
                <w:rFonts w:ascii="Times New Roman" w:hAnsi="Times New Roman" w:cs="Times New Roman"/>
                <w:sz w:val="24"/>
                <w:szCs w:val="24"/>
                <w:lang w:val="fr-FR"/>
              </w:rPr>
              <w:t>/</w:t>
            </w:r>
            <w:proofErr w:type="spellStart"/>
            <w:r w:rsidRPr="001653D5">
              <w:rPr>
                <w:rFonts w:ascii="Times New Roman" w:hAnsi="Times New Roman" w:cs="Times New Roman"/>
                <w:sz w:val="24"/>
                <w:szCs w:val="24"/>
                <w:lang w:val="fr-FR"/>
              </w:rPr>
              <w:t>plătitori</w:t>
            </w:r>
            <w:proofErr w:type="spellEnd"/>
            <w:r w:rsidRPr="001653D5">
              <w:rPr>
                <w:rFonts w:ascii="Times New Roman" w:hAnsi="Times New Roman" w:cs="Times New Roman"/>
                <w:sz w:val="24"/>
                <w:szCs w:val="24"/>
                <w:lang w:val="fr-FR"/>
              </w:rPr>
              <w:t xml:space="preserve"> de </w:t>
            </w:r>
            <w:proofErr w:type="spellStart"/>
            <w:r w:rsidRPr="001653D5">
              <w:rPr>
                <w:rFonts w:ascii="Times New Roman" w:hAnsi="Times New Roman" w:cs="Times New Roman"/>
                <w:sz w:val="24"/>
                <w:szCs w:val="24"/>
                <w:lang w:val="fr-FR"/>
              </w:rPr>
              <w:t>venit</w:t>
            </w:r>
            <w:proofErr w:type="spellEnd"/>
            <w:r w:rsidRPr="001653D5">
              <w:rPr>
                <w:rFonts w:ascii="Times New Roman" w:hAnsi="Times New Roman" w:cs="Times New Roman"/>
                <w:sz w:val="24"/>
                <w:szCs w:val="24"/>
                <w:lang w:val="fr-FR"/>
              </w:rPr>
              <w:t xml:space="preserve"> la </w:t>
            </w:r>
            <w:proofErr w:type="spellStart"/>
            <w:r w:rsidRPr="001653D5">
              <w:rPr>
                <w:rFonts w:ascii="Times New Roman" w:hAnsi="Times New Roman" w:cs="Times New Roman"/>
                <w:sz w:val="24"/>
                <w:szCs w:val="24"/>
                <w:lang w:val="fr-FR"/>
              </w:rPr>
              <w:t>sistemul</w:t>
            </w:r>
            <w:proofErr w:type="spellEnd"/>
            <w:r w:rsidRPr="001653D5">
              <w:rPr>
                <w:rFonts w:ascii="Times New Roman" w:hAnsi="Times New Roman" w:cs="Times New Roman"/>
                <w:sz w:val="24"/>
                <w:szCs w:val="24"/>
                <w:lang w:val="fr-FR"/>
              </w:rPr>
              <w:t xml:space="preserve"> de </w:t>
            </w:r>
            <w:proofErr w:type="spellStart"/>
            <w:r w:rsidRPr="001653D5">
              <w:rPr>
                <w:rFonts w:ascii="Times New Roman" w:hAnsi="Times New Roman" w:cs="Times New Roman"/>
                <w:sz w:val="24"/>
                <w:szCs w:val="24"/>
                <w:lang w:val="fr-FR"/>
              </w:rPr>
              <w:t>asigurări</w:t>
            </w:r>
            <w:proofErr w:type="spellEnd"/>
            <w:r w:rsidRPr="001653D5">
              <w:rPr>
                <w:rFonts w:ascii="Times New Roman" w:hAnsi="Times New Roman" w:cs="Times New Roman"/>
                <w:sz w:val="24"/>
                <w:szCs w:val="24"/>
                <w:lang w:val="fr-FR"/>
              </w:rPr>
              <w:t xml:space="preserve"> sociale de </w:t>
            </w:r>
            <w:proofErr w:type="spellStart"/>
            <w:r w:rsidRPr="001653D5">
              <w:rPr>
                <w:rFonts w:ascii="Times New Roman" w:hAnsi="Times New Roman" w:cs="Times New Roman"/>
                <w:sz w:val="24"/>
                <w:szCs w:val="24"/>
                <w:lang w:val="fr-FR"/>
              </w:rPr>
              <w:t>sănătate</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cu</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respectarea</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prevederilor</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legislaţiei</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europene</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aplicabile</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în</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domeniul</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securităţii</w:t>
            </w:r>
            <w:proofErr w:type="spellEnd"/>
            <w:r w:rsidRPr="001653D5">
              <w:rPr>
                <w:rFonts w:ascii="Times New Roman" w:hAnsi="Times New Roman" w:cs="Times New Roman"/>
                <w:sz w:val="24"/>
                <w:szCs w:val="24"/>
                <w:lang w:val="fr-FR"/>
              </w:rPr>
              <w:t xml:space="preserve"> </w:t>
            </w:r>
            <w:r w:rsidRPr="001653D5">
              <w:rPr>
                <w:rFonts w:ascii="Times New Roman" w:hAnsi="Times New Roman" w:cs="Times New Roman"/>
                <w:sz w:val="24"/>
                <w:szCs w:val="24"/>
                <w:lang w:val="fr-FR"/>
              </w:rPr>
              <w:lastRenderedPageBreak/>
              <w:t xml:space="preserve">sociale, </w:t>
            </w:r>
            <w:proofErr w:type="spellStart"/>
            <w:r w:rsidRPr="001653D5">
              <w:rPr>
                <w:rFonts w:ascii="Times New Roman" w:hAnsi="Times New Roman" w:cs="Times New Roman"/>
                <w:sz w:val="24"/>
                <w:szCs w:val="24"/>
                <w:lang w:val="fr-FR"/>
              </w:rPr>
              <w:t>precum</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şi</w:t>
            </w:r>
            <w:proofErr w:type="spellEnd"/>
            <w:r w:rsidRPr="001653D5">
              <w:rPr>
                <w:rFonts w:ascii="Times New Roman" w:hAnsi="Times New Roman" w:cs="Times New Roman"/>
                <w:sz w:val="24"/>
                <w:szCs w:val="24"/>
                <w:lang w:val="fr-FR"/>
              </w:rPr>
              <w:t xml:space="preserve"> ale </w:t>
            </w:r>
            <w:proofErr w:type="spellStart"/>
            <w:r w:rsidRPr="001653D5">
              <w:rPr>
                <w:rFonts w:ascii="Times New Roman" w:hAnsi="Times New Roman" w:cs="Times New Roman"/>
                <w:sz w:val="24"/>
                <w:szCs w:val="24"/>
                <w:lang w:val="fr-FR"/>
              </w:rPr>
              <w:t>acordurilor</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privind</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sistemele</w:t>
            </w:r>
            <w:proofErr w:type="spellEnd"/>
            <w:r w:rsidRPr="001653D5">
              <w:rPr>
                <w:rFonts w:ascii="Times New Roman" w:hAnsi="Times New Roman" w:cs="Times New Roman"/>
                <w:sz w:val="24"/>
                <w:szCs w:val="24"/>
                <w:lang w:val="fr-FR"/>
              </w:rPr>
              <w:t xml:space="preserve"> de </w:t>
            </w:r>
            <w:proofErr w:type="spellStart"/>
            <w:r w:rsidRPr="001653D5">
              <w:rPr>
                <w:rFonts w:ascii="Times New Roman" w:hAnsi="Times New Roman" w:cs="Times New Roman"/>
                <w:sz w:val="24"/>
                <w:szCs w:val="24"/>
                <w:lang w:val="fr-FR"/>
              </w:rPr>
              <w:t>securitate</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socială</w:t>
            </w:r>
            <w:proofErr w:type="spellEnd"/>
            <w:r w:rsidRPr="001653D5">
              <w:rPr>
                <w:rFonts w:ascii="Times New Roman" w:hAnsi="Times New Roman" w:cs="Times New Roman"/>
                <w:sz w:val="24"/>
                <w:szCs w:val="24"/>
                <w:lang w:val="fr-FR"/>
              </w:rPr>
              <w:t xml:space="preserve"> la care </w:t>
            </w:r>
            <w:proofErr w:type="spellStart"/>
            <w:r w:rsidRPr="001653D5">
              <w:rPr>
                <w:rFonts w:ascii="Times New Roman" w:hAnsi="Times New Roman" w:cs="Times New Roman"/>
                <w:sz w:val="24"/>
                <w:szCs w:val="24"/>
                <w:lang w:val="fr-FR"/>
              </w:rPr>
              <w:t>România</w:t>
            </w:r>
            <w:proofErr w:type="spellEnd"/>
            <w:r w:rsidRPr="001653D5">
              <w:rPr>
                <w:rFonts w:ascii="Times New Roman" w:hAnsi="Times New Roman" w:cs="Times New Roman"/>
                <w:sz w:val="24"/>
                <w:szCs w:val="24"/>
                <w:lang w:val="fr-FR"/>
              </w:rPr>
              <w:t xml:space="preserve"> este parte, </w:t>
            </w:r>
            <w:proofErr w:type="spellStart"/>
            <w:r w:rsidRPr="001653D5">
              <w:rPr>
                <w:rFonts w:ascii="Times New Roman" w:hAnsi="Times New Roman" w:cs="Times New Roman"/>
                <w:sz w:val="24"/>
                <w:szCs w:val="24"/>
                <w:lang w:val="fr-FR"/>
              </w:rPr>
              <w:t>după</w:t>
            </w:r>
            <w:proofErr w:type="spellEnd"/>
            <w:r w:rsidRPr="001653D5">
              <w:rPr>
                <w:rFonts w:ascii="Times New Roman" w:hAnsi="Times New Roman" w:cs="Times New Roman"/>
                <w:sz w:val="24"/>
                <w:szCs w:val="24"/>
                <w:lang w:val="fr-FR"/>
              </w:rPr>
              <w:t xml:space="preserve"> </w:t>
            </w:r>
            <w:proofErr w:type="spellStart"/>
            <w:r w:rsidRPr="001653D5">
              <w:rPr>
                <w:rFonts w:ascii="Times New Roman" w:hAnsi="Times New Roman" w:cs="Times New Roman"/>
                <w:sz w:val="24"/>
                <w:szCs w:val="24"/>
                <w:lang w:val="fr-FR"/>
              </w:rPr>
              <w:t>caz</w:t>
            </w:r>
            <w:proofErr w:type="spellEnd"/>
            <w:r w:rsidRPr="001653D5">
              <w:rPr>
                <w:rFonts w:ascii="Times New Roman" w:hAnsi="Times New Roman" w:cs="Times New Roman"/>
                <w:sz w:val="24"/>
                <w:szCs w:val="24"/>
                <w:lang w:val="fr-FR"/>
              </w:rPr>
              <w:t>:</w:t>
            </w:r>
          </w:p>
          <w:p w14:paraId="6839CD0F" w14:textId="77777777" w:rsidR="001C14C6" w:rsidRPr="001C14C6" w:rsidRDefault="001C14C6" w:rsidP="001C14C6">
            <w:pPr>
              <w:jc w:val="both"/>
              <w:rPr>
                <w:rFonts w:ascii="Times New Roman" w:hAnsi="Times New Roman" w:cs="Times New Roman"/>
                <w:sz w:val="24"/>
                <w:szCs w:val="24"/>
                <w:lang w:val="fr-FR"/>
              </w:rPr>
            </w:pPr>
          </w:p>
        </w:tc>
        <w:tc>
          <w:tcPr>
            <w:tcW w:w="2765" w:type="dxa"/>
          </w:tcPr>
          <w:p w14:paraId="0C7CAF5D" w14:textId="77777777" w:rsidR="001C14C6" w:rsidRPr="001C14C6" w:rsidRDefault="001C14C6" w:rsidP="001C14C6">
            <w:pPr>
              <w:jc w:val="both"/>
              <w:rPr>
                <w:rFonts w:ascii="Times New Roman" w:hAnsi="Times New Roman" w:cs="Times New Roman"/>
                <w:sz w:val="24"/>
                <w:szCs w:val="24"/>
                <w:lang w:val="fr-FR"/>
              </w:rPr>
            </w:pPr>
          </w:p>
        </w:tc>
        <w:tc>
          <w:tcPr>
            <w:tcW w:w="5323" w:type="dxa"/>
          </w:tcPr>
          <w:p w14:paraId="1ED4B775" w14:textId="77777777" w:rsidR="001C14C6" w:rsidRDefault="001C14C6" w:rsidP="001C14C6">
            <w:pPr>
              <w:jc w:val="both"/>
              <w:rPr>
                <w:rFonts w:ascii="Times New Roman" w:hAnsi="Times New Roman" w:cs="Times New Roman"/>
                <w:b/>
                <w:sz w:val="24"/>
                <w:szCs w:val="24"/>
                <w:lang w:val="ro-RO"/>
              </w:rPr>
            </w:pPr>
            <w:r w:rsidRPr="00D6489A">
              <w:rPr>
                <w:rFonts w:ascii="Times New Roman" w:hAnsi="Times New Roman" w:cs="Times New Roman"/>
                <w:b/>
                <w:sz w:val="24"/>
                <w:szCs w:val="24"/>
                <w:lang w:val="ro-RO"/>
              </w:rPr>
              <w:t>La articolul 15</w:t>
            </w:r>
            <w:r>
              <w:rPr>
                <w:rFonts w:ascii="Times New Roman" w:hAnsi="Times New Roman" w:cs="Times New Roman"/>
                <w:b/>
                <w:sz w:val="24"/>
                <w:szCs w:val="24"/>
                <w:lang w:val="ro-RO"/>
              </w:rPr>
              <w:t>3</w:t>
            </w:r>
            <w:r w:rsidRPr="00D6489A">
              <w:rPr>
                <w:rFonts w:ascii="Times New Roman" w:hAnsi="Times New Roman" w:cs="Times New Roman"/>
                <w:b/>
                <w:sz w:val="24"/>
                <w:szCs w:val="24"/>
                <w:lang w:val="ro-RO"/>
              </w:rPr>
              <w:t xml:space="preserve"> alineatul (1), după litera </w:t>
            </w:r>
            <w:r>
              <w:rPr>
                <w:rFonts w:ascii="Times New Roman" w:hAnsi="Times New Roman" w:cs="Times New Roman"/>
                <w:b/>
                <w:sz w:val="24"/>
                <w:szCs w:val="24"/>
                <w:lang w:val="ro-RO"/>
              </w:rPr>
              <w:t>b</w:t>
            </w:r>
            <w:r w:rsidRPr="00D6489A">
              <w:rPr>
                <w:rFonts w:ascii="Times New Roman" w:hAnsi="Times New Roman" w:cs="Times New Roman"/>
                <w:b/>
                <w:sz w:val="24"/>
                <w:szCs w:val="24"/>
                <w:lang w:val="ro-RO"/>
              </w:rPr>
              <w:t>) se introduc</w:t>
            </w:r>
            <w:r>
              <w:rPr>
                <w:rFonts w:ascii="Times New Roman" w:hAnsi="Times New Roman" w:cs="Times New Roman"/>
                <w:b/>
                <w:sz w:val="24"/>
                <w:szCs w:val="24"/>
                <w:lang w:val="ro-RO"/>
              </w:rPr>
              <w:t>e o nouă literă, b</w:t>
            </w:r>
            <w:r w:rsidRPr="001653D5">
              <w:rPr>
                <w:rFonts w:ascii="Times New Roman" w:hAnsi="Times New Roman" w:cs="Times New Roman"/>
                <w:b/>
                <w:sz w:val="24"/>
                <w:szCs w:val="24"/>
                <w:vertAlign w:val="superscript"/>
                <w:lang w:val="ro-RO"/>
              </w:rPr>
              <w:t>1</w:t>
            </w:r>
            <w:r>
              <w:rPr>
                <w:rFonts w:ascii="Times New Roman" w:hAnsi="Times New Roman" w:cs="Times New Roman"/>
                <w:b/>
                <w:sz w:val="24"/>
                <w:szCs w:val="24"/>
                <w:lang w:val="ro-RO"/>
              </w:rPr>
              <w:t>) cu următorul cuprins:</w:t>
            </w:r>
          </w:p>
          <w:p w14:paraId="618ED40D" w14:textId="77777777" w:rsidR="001C14C6" w:rsidRPr="001C14C6" w:rsidRDefault="001C14C6" w:rsidP="001C14C6">
            <w:pPr>
              <w:jc w:val="both"/>
              <w:rPr>
                <w:rFonts w:ascii="Times New Roman" w:hAnsi="Times New Roman" w:cs="Times New Roman"/>
                <w:sz w:val="24"/>
                <w:szCs w:val="24"/>
                <w:lang w:val="fr-FR"/>
              </w:rPr>
            </w:pPr>
          </w:p>
          <w:p w14:paraId="3F69DAAD" w14:textId="77777777" w:rsidR="001C14C6" w:rsidRPr="001C14C6" w:rsidRDefault="001C14C6" w:rsidP="001C14C6">
            <w:pPr>
              <w:jc w:val="both"/>
              <w:rPr>
                <w:rFonts w:ascii="Arial" w:hAnsi="Arial" w:cs="Arial"/>
                <w:sz w:val="28"/>
                <w:szCs w:val="28"/>
                <w:lang w:val="fr-FR"/>
              </w:rPr>
            </w:pPr>
            <w:r>
              <w:rPr>
                <w:rFonts w:ascii="Times New Roman" w:hAnsi="Times New Roman" w:cs="Times New Roman"/>
                <w:b/>
                <w:sz w:val="24"/>
                <w:szCs w:val="24"/>
                <w:lang w:val="ro-RO"/>
              </w:rPr>
              <w:t>b</w:t>
            </w:r>
            <w:r w:rsidRPr="001653D5">
              <w:rPr>
                <w:rFonts w:ascii="Times New Roman" w:hAnsi="Times New Roman" w:cs="Times New Roman"/>
                <w:b/>
                <w:sz w:val="24"/>
                <w:szCs w:val="24"/>
                <w:vertAlign w:val="superscript"/>
                <w:lang w:val="ro-RO"/>
              </w:rPr>
              <w:t>1</w:t>
            </w:r>
            <w:r>
              <w:rPr>
                <w:rFonts w:ascii="Times New Roman" w:hAnsi="Times New Roman" w:cs="Times New Roman"/>
                <w:b/>
                <w:sz w:val="24"/>
                <w:szCs w:val="24"/>
                <w:lang w:val="ro-RO"/>
              </w:rPr>
              <w:t>)</w:t>
            </w:r>
            <w:r w:rsidRPr="001C14C6">
              <w:rPr>
                <w:rFonts w:ascii="Arial" w:hAnsi="Arial" w:cs="Arial"/>
                <w:b/>
                <w:bCs/>
                <w:sz w:val="28"/>
                <w:szCs w:val="28"/>
                <w:lang w:val="fr-FR"/>
              </w:rPr>
              <w:t xml:space="preserve"> </w:t>
            </w:r>
            <w:proofErr w:type="spellStart"/>
            <w:r w:rsidRPr="001C14C6">
              <w:rPr>
                <w:rFonts w:ascii="Arial" w:hAnsi="Arial" w:cs="Arial"/>
                <w:sz w:val="28"/>
                <w:szCs w:val="28"/>
                <w:lang w:val="fr-FR"/>
              </w:rPr>
              <w:t>refugiații</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ucraineni</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migranții</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și</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apatrizii</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pentru</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toate</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sumele</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acordate</w:t>
            </w:r>
            <w:proofErr w:type="spellEnd"/>
            <w:r w:rsidRPr="001C14C6">
              <w:rPr>
                <w:rFonts w:ascii="Arial" w:hAnsi="Arial" w:cs="Arial"/>
                <w:sz w:val="28"/>
                <w:szCs w:val="28"/>
                <w:lang w:val="fr-FR"/>
              </w:rPr>
              <w:t xml:space="preserve"> de </w:t>
            </w:r>
            <w:proofErr w:type="spellStart"/>
            <w:r w:rsidRPr="001C14C6">
              <w:rPr>
                <w:rFonts w:ascii="Arial" w:hAnsi="Arial" w:cs="Arial"/>
                <w:sz w:val="28"/>
                <w:szCs w:val="28"/>
                <w:lang w:val="fr-FR"/>
              </w:rPr>
              <w:t>statul</w:t>
            </w:r>
            <w:proofErr w:type="spellEnd"/>
            <w:r w:rsidRPr="001C14C6">
              <w:rPr>
                <w:rFonts w:ascii="Arial" w:hAnsi="Arial" w:cs="Arial"/>
                <w:sz w:val="28"/>
                <w:szCs w:val="28"/>
                <w:lang w:val="fr-FR"/>
              </w:rPr>
              <w:t xml:space="preserve"> </w:t>
            </w:r>
            <w:proofErr w:type="spellStart"/>
            <w:r w:rsidRPr="001C14C6">
              <w:rPr>
                <w:rFonts w:ascii="Arial" w:hAnsi="Arial" w:cs="Arial"/>
                <w:sz w:val="28"/>
                <w:szCs w:val="28"/>
                <w:lang w:val="fr-FR"/>
              </w:rPr>
              <w:t>român</w:t>
            </w:r>
            <w:proofErr w:type="spellEnd"/>
          </w:p>
          <w:p w14:paraId="5AF70486" w14:textId="77777777" w:rsidR="001C14C6" w:rsidRPr="001C14C6" w:rsidRDefault="001C14C6" w:rsidP="001C14C6">
            <w:pPr>
              <w:jc w:val="both"/>
              <w:rPr>
                <w:rFonts w:ascii="Times New Roman" w:hAnsi="Times New Roman" w:cs="Times New Roman"/>
                <w:sz w:val="24"/>
                <w:szCs w:val="24"/>
                <w:lang w:val="fr-FR"/>
              </w:rPr>
            </w:pPr>
          </w:p>
          <w:p w14:paraId="5175752D" w14:textId="77777777" w:rsidR="001C14C6" w:rsidRPr="001C14C6" w:rsidRDefault="001C14C6" w:rsidP="001C14C6">
            <w:pPr>
              <w:jc w:val="both"/>
              <w:rPr>
                <w:rFonts w:ascii="Times New Roman" w:hAnsi="Times New Roman" w:cs="Times New Roman"/>
                <w:sz w:val="24"/>
                <w:szCs w:val="24"/>
                <w:lang w:val="fr-FR"/>
              </w:rPr>
            </w:pPr>
          </w:p>
          <w:p w14:paraId="221D19CA" w14:textId="77777777" w:rsidR="001C14C6" w:rsidRPr="0034743D" w:rsidRDefault="001C14C6" w:rsidP="001C14C6">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26604061" w14:textId="77777777" w:rsidR="001C14C6" w:rsidRPr="00D250F1" w:rsidRDefault="001C14C6" w:rsidP="001C14C6">
            <w:pPr>
              <w:jc w:val="both"/>
              <w:rPr>
                <w:rFonts w:ascii="Times New Roman" w:hAnsi="Times New Roman" w:cs="Times New Roman"/>
                <w:sz w:val="24"/>
                <w:szCs w:val="24"/>
                <w:lang w:val="it-CH"/>
              </w:rPr>
            </w:pPr>
          </w:p>
        </w:tc>
        <w:tc>
          <w:tcPr>
            <w:tcW w:w="3145" w:type="dxa"/>
          </w:tcPr>
          <w:p w14:paraId="5592888D" w14:textId="77777777" w:rsidR="001C14C6" w:rsidRDefault="001C14C6" w:rsidP="001C14C6">
            <w:pPr>
              <w:jc w:val="both"/>
              <w:rPr>
                <w:rFonts w:ascii="Times New Roman" w:eastAsia="Times New Roman" w:hAnsi="Times New Roman" w:cs="Times New Roman"/>
                <w:bCs/>
                <w:sz w:val="24"/>
                <w:szCs w:val="24"/>
                <w:lang w:val="ro-RO"/>
              </w:rPr>
            </w:pPr>
          </w:p>
        </w:tc>
      </w:tr>
      <w:tr w:rsidR="001C14C6" w:rsidRPr="00D6489A" w14:paraId="1F7B86AC" w14:textId="77777777" w:rsidTr="00926D2B">
        <w:tc>
          <w:tcPr>
            <w:tcW w:w="687" w:type="dxa"/>
          </w:tcPr>
          <w:p w14:paraId="715A7FFB" w14:textId="77777777" w:rsidR="001C14C6" w:rsidRPr="0034743D" w:rsidRDefault="001C14C6" w:rsidP="001C14C6">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37ECAC3B" w14:textId="3DD4AAC9" w:rsidR="001C14C6" w:rsidRPr="00DE6741" w:rsidRDefault="001C14C6" w:rsidP="00DE6741">
            <w:pPr>
              <w:jc w:val="both"/>
              <w:rPr>
                <w:rFonts w:ascii="Times New Roman" w:hAnsi="Times New Roman" w:cs="Times New Roman"/>
                <w:sz w:val="24"/>
                <w:szCs w:val="24"/>
                <w:lang w:val="ro-RO"/>
              </w:rPr>
            </w:pPr>
          </w:p>
        </w:tc>
        <w:tc>
          <w:tcPr>
            <w:tcW w:w="2765" w:type="dxa"/>
          </w:tcPr>
          <w:p w14:paraId="0D982A94" w14:textId="77777777" w:rsidR="001C14C6" w:rsidRPr="00DE6741" w:rsidRDefault="001C14C6" w:rsidP="001C14C6">
            <w:pPr>
              <w:jc w:val="both"/>
              <w:rPr>
                <w:rFonts w:ascii="Times New Roman" w:hAnsi="Times New Roman" w:cs="Times New Roman"/>
                <w:sz w:val="24"/>
                <w:szCs w:val="24"/>
                <w:lang w:val="ro-RO"/>
              </w:rPr>
            </w:pPr>
          </w:p>
        </w:tc>
        <w:tc>
          <w:tcPr>
            <w:tcW w:w="5323" w:type="dxa"/>
          </w:tcPr>
          <w:p w14:paraId="2C891E51" w14:textId="77777777" w:rsidR="001C14C6" w:rsidRPr="00DE6741" w:rsidRDefault="001C14C6" w:rsidP="001C14C6">
            <w:pPr>
              <w:jc w:val="both"/>
              <w:rPr>
                <w:rFonts w:ascii="Times New Roman" w:hAnsi="Times New Roman" w:cs="Times New Roman"/>
                <w:sz w:val="24"/>
                <w:szCs w:val="24"/>
                <w:lang w:val="ro-RO"/>
              </w:rPr>
            </w:pPr>
          </w:p>
          <w:p w14:paraId="235CCD17" w14:textId="3CA9B33C" w:rsidR="001C14C6" w:rsidRPr="001C14C6" w:rsidRDefault="001C14C6" w:rsidP="001C14C6">
            <w:pPr>
              <w:jc w:val="both"/>
              <w:rPr>
                <w:rFonts w:ascii="Times New Roman" w:hAnsi="Times New Roman" w:cs="Times New Roman"/>
                <w:b/>
                <w:sz w:val="24"/>
                <w:szCs w:val="24"/>
                <w:lang w:val="it-CH"/>
              </w:rPr>
            </w:pPr>
            <w:r w:rsidRPr="00DE6741">
              <w:rPr>
                <w:rFonts w:ascii="Times New Roman" w:hAnsi="Times New Roman" w:cs="Times New Roman"/>
                <w:b/>
                <w:sz w:val="24"/>
                <w:szCs w:val="24"/>
                <w:lang w:val="ro-RO"/>
              </w:rPr>
              <w:t xml:space="preserve"> </w:t>
            </w:r>
            <w:r w:rsidRPr="001C14C6">
              <w:rPr>
                <w:rFonts w:ascii="Times New Roman" w:hAnsi="Times New Roman" w:cs="Times New Roman"/>
                <w:b/>
                <w:sz w:val="24"/>
                <w:szCs w:val="24"/>
                <w:lang w:val="it-CH"/>
              </w:rPr>
              <w:t>La articolul 154 alineatul (1), după litera d) se introduce două no</w:t>
            </w:r>
            <w:r>
              <w:rPr>
                <w:rFonts w:ascii="Times New Roman" w:hAnsi="Times New Roman" w:cs="Times New Roman"/>
                <w:b/>
                <w:sz w:val="24"/>
                <w:szCs w:val="24"/>
                <w:lang w:val="it-CH"/>
              </w:rPr>
              <w:t>i litere</w:t>
            </w:r>
            <w:r w:rsidRPr="001C14C6">
              <w:rPr>
                <w:rFonts w:ascii="Times New Roman" w:hAnsi="Times New Roman" w:cs="Times New Roman"/>
                <w:b/>
                <w:sz w:val="24"/>
                <w:szCs w:val="24"/>
                <w:lang w:val="it-CH"/>
              </w:rPr>
              <w:t>, lit. d</w:t>
            </w:r>
            <w:r w:rsidRPr="001C14C6">
              <w:rPr>
                <w:rFonts w:ascii="Times New Roman" w:hAnsi="Times New Roman" w:cs="Times New Roman"/>
                <w:b/>
                <w:sz w:val="24"/>
                <w:szCs w:val="24"/>
                <w:vertAlign w:val="superscript"/>
                <w:lang w:val="it-CH"/>
              </w:rPr>
              <w:t>1</w:t>
            </w:r>
            <w:r w:rsidRPr="001C14C6">
              <w:rPr>
                <w:rFonts w:ascii="Times New Roman" w:hAnsi="Times New Roman" w:cs="Times New Roman"/>
                <w:b/>
                <w:sz w:val="24"/>
                <w:szCs w:val="24"/>
                <w:lang w:val="it-CH"/>
              </w:rPr>
              <w:t>)</w:t>
            </w:r>
            <w:r>
              <w:rPr>
                <w:rFonts w:ascii="Times New Roman" w:hAnsi="Times New Roman" w:cs="Times New Roman"/>
                <w:b/>
                <w:sz w:val="24"/>
                <w:szCs w:val="24"/>
                <w:lang w:val="it-CH"/>
              </w:rPr>
              <w:t xml:space="preserve"> și </w:t>
            </w:r>
            <w:r w:rsidRPr="001C14C6">
              <w:rPr>
                <w:rFonts w:ascii="Times New Roman" w:hAnsi="Times New Roman" w:cs="Times New Roman"/>
                <w:b/>
                <w:sz w:val="24"/>
                <w:szCs w:val="24"/>
                <w:lang w:val="it-CH"/>
              </w:rPr>
              <w:t>d</w:t>
            </w:r>
            <w:r w:rsidRPr="001C14C6">
              <w:rPr>
                <w:rFonts w:ascii="Times New Roman" w:hAnsi="Times New Roman" w:cs="Times New Roman"/>
                <w:b/>
                <w:sz w:val="24"/>
                <w:szCs w:val="24"/>
                <w:vertAlign w:val="superscript"/>
                <w:lang w:val="it-CH"/>
              </w:rPr>
              <w:t>2</w:t>
            </w:r>
            <w:r w:rsidRPr="001C14C6">
              <w:rPr>
                <w:rFonts w:ascii="Times New Roman" w:hAnsi="Times New Roman" w:cs="Times New Roman"/>
                <w:b/>
                <w:sz w:val="24"/>
                <w:szCs w:val="24"/>
                <w:lang w:val="it-CH"/>
              </w:rPr>
              <w:t xml:space="preserve">),  cu următorul cuprins: </w:t>
            </w:r>
          </w:p>
          <w:p w14:paraId="592098DC" w14:textId="77777777" w:rsidR="00DE6741" w:rsidRDefault="001C14C6" w:rsidP="001C14C6">
            <w:pPr>
              <w:jc w:val="both"/>
              <w:rPr>
                <w:rFonts w:ascii="Times New Roman" w:hAnsi="Times New Roman" w:cs="Times New Roman"/>
                <w:sz w:val="24"/>
                <w:szCs w:val="24"/>
                <w:lang w:val="it-CH"/>
              </w:rPr>
            </w:pPr>
            <w:r w:rsidRPr="00DE6741">
              <w:rPr>
                <w:rFonts w:ascii="Times New Roman" w:hAnsi="Times New Roman" w:cs="Times New Roman"/>
                <w:sz w:val="24"/>
                <w:szCs w:val="24"/>
                <w:lang w:val="it-CH"/>
              </w:rPr>
              <w:t>“d</w:t>
            </w:r>
            <w:r w:rsidRPr="00DE6741">
              <w:rPr>
                <w:rFonts w:ascii="Times New Roman" w:hAnsi="Times New Roman" w:cs="Times New Roman"/>
                <w:sz w:val="24"/>
                <w:szCs w:val="24"/>
                <w:vertAlign w:val="superscript"/>
                <w:lang w:val="it-CH"/>
              </w:rPr>
              <w:t>1</w:t>
            </w:r>
            <w:r w:rsidRPr="00DE6741">
              <w:rPr>
                <w:rFonts w:ascii="Times New Roman" w:hAnsi="Times New Roman" w:cs="Times New Roman"/>
                <w:sz w:val="24"/>
                <w:szCs w:val="24"/>
                <w:lang w:val="it-CH"/>
              </w:rPr>
              <w:t>) persoanele ale căror drepturi sunt stabilite prin Legea nr. 44/1994 privind veteranii de război, precum şi unele drepturi ale invalizilor şi văduvelor de război, republicată, cu modificările şi completările ulterioare,  pentru drepturile băneşti acordate de această lege</w:t>
            </w:r>
            <w:r w:rsidR="00DE6741">
              <w:rPr>
                <w:rFonts w:ascii="Times New Roman" w:hAnsi="Times New Roman" w:cs="Times New Roman"/>
                <w:sz w:val="24"/>
                <w:szCs w:val="24"/>
                <w:lang w:val="it-CH"/>
              </w:rPr>
              <w:t xml:space="preserve">, </w:t>
            </w:r>
            <w:r w:rsidR="00DE6741" w:rsidRPr="00DE6741">
              <w:rPr>
                <w:rFonts w:ascii="Times New Roman" w:hAnsi="Times New Roman" w:cs="Times New Roman"/>
                <w:sz w:val="24"/>
                <w:szCs w:val="24"/>
                <w:lang w:val="ro-RO"/>
              </w:rPr>
              <w:t xml:space="preserve">persoanele ale căror drepturi sunt stabilite prin Decretul-lege nr. </w:t>
            </w:r>
            <w:hyperlink r:id="rId8" w:anchor="/dokument/16777679" w:history="1">
              <w:r w:rsidR="00DE6741" w:rsidRPr="00DE6741">
                <w:rPr>
                  <w:rStyle w:val="Hyperlink"/>
                  <w:rFonts w:ascii="Times New Roman" w:hAnsi="Times New Roman" w:cs="Times New Roman"/>
                  <w:sz w:val="24"/>
                  <w:szCs w:val="24"/>
                  <w:lang w:val="ro-RO"/>
                </w:rPr>
                <w:t>118/1990</w:t>
              </w:r>
            </w:hyperlink>
            <w:r w:rsidR="00DE6741" w:rsidRPr="00DE6741">
              <w:rPr>
                <w:rFonts w:ascii="Times New Roman" w:hAnsi="Times New Roman" w:cs="Times New Roman"/>
                <w:sz w:val="24"/>
                <w:szCs w:val="24"/>
                <w:lang w:val="ro-RO"/>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 prin Legea nr. </w:t>
            </w:r>
            <w:r w:rsidR="00DE6741">
              <w:fldChar w:fldCharType="begin"/>
            </w:r>
            <w:r w:rsidR="00DE6741" w:rsidRPr="00823DA7">
              <w:rPr>
                <w:lang w:val="it-CH"/>
              </w:rPr>
              <w:instrText>HYPERLINK "https://sintact.ro/" \l "/dokument/16779162"</w:instrText>
            </w:r>
            <w:r w:rsidR="00DE6741">
              <w:fldChar w:fldCharType="separate"/>
            </w:r>
            <w:r w:rsidR="00DE6741" w:rsidRPr="00DE6741">
              <w:rPr>
                <w:rStyle w:val="Hyperlink"/>
                <w:rFonts w:ascii="Times New Roman" w:hAnsi="Times New Roman" w:cs="Times New Roman"/>
                <w:sz w:val="24"/>
                <w:szCs w:val="24"/>
                <w:lang w:val="ro-RO"/>
              </w:rPr>
              <w:t>51/1993</w:t>
            </w:r>
            <w:r w:rsidR="00DE6741">
              <w:fldChar w:fldCharType="end"/>
            </w:r>
            <w:r w:rsidR="00DE6741" w:rsidRPr="00DE6741">
              <w:rPr>
                <w:rFonts w:ascii="Times New Roman" w:hAnsi="Times New Roman" w:cs="Times New Roman"/>
                <w:sz w:val="24"/>
                <w:szCs w:val="24"/>
                <w:lang w:val="ro-RO"/>
              </w:rPr>
              <w:t xml:space="preserve"> privind acordarea unor drepturi magistraţilor care au fost înlăturaţi din justiţie pentru considerente politice în perioada anilor 1945-1989, cu modificările ulterioare, prin Ordonanţa</w:t>
            </w:r>
            <w:r w:rsidR="00DE6741">
              <w:rPr>
                <w:rFonts w:ascii="Times New Roman" w:hAnsi="Times New Roman" w:cs="Times New Roman"/>
                <w:sz w:val="24"/>
                <w:szCs w:val="24"/>
                <w:lang w:val="it-CH"/>
              </w:rPr>
              <w:t xml:space="preserve"> </w:t>
            </w:r>
            <w:r w:rsidR="00DE6741" w:rsidRPr="00DE6741">
              <w:rPr>
                <w:rFonts w:ascii="Times New Roman" w:hAnsi="Times New Roman" w:cs="Times New Roman"/>
                <w:sz w:val="24"/>
                <w:szCs w:val="24"/>
                <w:lang w:val="ro-RO"/>
              </w:rPr>
              <w:t xml:space="preserve">Guvernului nr. </w:t>
            </w:r>
            <w:hyperlink r:id="rId9" w:anchor="/dokument/16808271" w:history="1">
              <w:r w:rsidR="00DE6741" w:rsidRPr="00DE6741">
                <w:rPr>
                  <w:rStyle w:val="Hyperlink"/>
                  <w:rFonts w:ascii="Times New Roman" w:hAnsi="Times New Roman" w:cs="Times New Roman"/>
                  <w:sz w:val="24"/>
                  <w:szCs w:val="24"/>
                  <w:lang w:val="ro-RO"/>
                </w:rPr>
                <w:t>105/1999</w:t>
              </w:r>
            </w:hyperlink>
            <w:r w:rsidR="00DE6741" w:rsidRPr="00DE6741">
              <w:rPr>
                <w:rFonts w:ascii="Times New Roman" w:hAnsi="Times New Roman" w:cs="Times New Roman"/>
                <w:sz w:val="24"/>
                <w:szCs w:val="24"/>
                <w:lang w:val="ro-RO"/>
              </w:rPr>
              <w:t xml:space="preserve"> privind acordarea unor drepturi persoanelor persecutate de către regimurile instaurate în România cu începere de la 6 septembrie 1940 până la 6 martie 1945 din motive etnice, aprobată cu modificări şi completări prin Legea nr. </w:t>
            </w:r>
            <w:r w:rsidR="00DE6741">
              <w:fldChar w:fldCharType="begin"/>
            </w:r>
            <w:r w:rsidR="00DE6741" w:rsidRPr="00823DA7">
              <w:rPr>
                <w:lang w:val="it-CH"/>
              </w:rPr>
              <w:instrText>HYPERLINK "https://sintact.ro/" \l "/dokument/16823851"</w:instrText>
            </w:r>
            <w:r w:rsidR="00DE6741">
              <w:fldChar w:fldCharType="separate"/>
            </w:r>
            <w:r w:rsidR="00DE6741" w:rsidRPr="00DE6741">
              <w:rPr>
                <w:rStyle w:val="Hyperlink"/>
                <w:rFonts w:ascii="Times New Roman" w:hAnsi="Times New Roman" w:cs="Times New Roman"/>
                <w:sz w:val="24"/>
                <w:szCs w:val="24"/>
                <w:lang w:val="ro-RO"/>
              </w:rPr>
              <w:t>189/2000</w:t>
            </w:r>
            <w:r w:rsidR="00DE6741">
              <w:fldChar w:fldCharType="end"/>
            </w:r>
            <w:r w:rsidR="00DE6741" w:rsidRPr="00DE6741">
              <w:rPr>
                <w:rFonts w:ascii="Times New Roman" w:hAnsi="Times New Roman" w:cs="Times New Roman"/>
                <w:sz w:val="24"/>
                <w:szCs w:val="24"/>
                <w:lang w:val="ro-RO"/>
              </w:rPr>
              <w:t>, cu modificările şi completările ulterioare</w:t>
            </w:r>
            <w:r w:rsidR="00DE6741">
              <w:rPr>
                <w:rFonts w:ascii="Times New Roman" w:hAnsi="Times New Roman" w:cs="Times New Roman"/>
                <w:sz w:val="24"/>
                <w:szCs w:val="24"/>
                <w:lang w:val="ro-RO"/>
              </w:rPr>
              <w:t xml:space="preserve">, </w:t>
            </w:r>
            <w:r w:rsidR="00DE6741" w:rsidRPr="00DE6741">
              <w:rPr>
                <w:rFonts w:ascii="Times New Roman" w:hAnsi="Times New Roman" w:cs="Times New Roman"/>
                <w:sz w:val="24"/>
                <w:szCs w:val="24"/>
                <w:lang w:val="it-CH"/>
              </w:rPr>
              <w:t>pentru drepturile băneşti acordate de această lege</w:t>
            </w:r>
            <w:r w:rsidR="00DE6741">
              <w:rPr>
                <w:rFonts w:ascii="Times New Roman" w:hAnsi="Times New Roman" w:cs="Times New Roman"/>
                <w:sz w:val="24"/>
                <w:szCs w:val="24"/>
                <w:lang w:val="it-CH"/>
              </w:rPr>
              <w:t>.</w:t>
            </w:r>
            <w:r w:rsidRPr="00DE6741">
              <w:rPr>
                <w:rFonts w:ascii="Times New Roman" w:hAnsi="Times New Roman" w:cs="Times New Roman"/>
                <w:sz w:val="24"/>
                <w:szCs w:val="24"/>
                <w:lang w:val="it-CH"/>
              </w:rPr>
              <w:t xml:space="preserve"> </w:t>
            </w:r>
          </w:p>
          <w:p w14:paraId="4850AE42" w14:textId="7294FFA7" w:rsidR="001C14C6" w:rsidRPr="00DE6741" w:rsidRDefault="001C14C6" w:rsidP="001C14C6">
            <w:pPr>
              <w:jc w:val="both"/>
              <w:rPr>
                <w:rFonts w:ascii="Times New Roman" w:hAnsi="Times New Roman" w:cs="Times New Roman"/>
                <w:sz w:val="24"/>
                <w:szCs w:val="24"/>
                <w:lang w:val="it-CH"/>
              </w:rPr>
            </w:pPr>
            <w:r w:rsidRPr="00DE6741">
              <w:rPr>
                <w:rFonts w:ascii="Times New Roman" w:hAnsi="Times New Roman" w:cs="Times New Roman"/>
                <w:sz w:val="24"/>
                <w:szCs w:val="24"/>
                <w:lang w:val="it-CH"/>
              </w:rPr>
              <w:t>De aceste prevederi nu beneficiază urmașii acestor categorii de persoane;</w:t>
            </w:r>
          </w:p>
          <w:p w14:paraId="3A349FA8" w14:textId="53E3D654" w:rsidR="001C14C6" w:rsidRPr="00823DA7" w:rsidRDefault="00B57BD8" w:rsidP="001C14C6">
            <w:pPr>
              <w:jc w:val="both"/>
              <w:rPr>
                <w:rFonts w:ascii="Times New Roman" w:hAnsi="Times New Roman" w:cs="Times New Roman"/>
                <w:sz w:val="24"/>
                <w:szCs w:val="24"/>
                <w:lang w:val="it-CH"/>
              </w:rPr>
            </w:pPr>
            <w:r w:rsidRPr="00823DA7">
              <w:rPr>
                <w:rFonts w:ascii="Times New Roman" w:hAnsi="Times New Roman" w:cs="Times New Roman"/>
                <w:b/>
                <w:sz w:val="24"/>
                <w:szCs w:val="24"/>
                <w:lang w:val="it-CH"/>
              </w:rPr>
              <w:lastRenderedPageBreak/>
              <w:t>d</w:t>
            </w:r>
            <w:r w:rsidRPr="00823DA7">
              <w:rPr>
                <w:rFonts w:ascii="Times New Roman" w:hAnsi="Times New Roman" w:cs="Times New Roman"/>
                <w:b/>
                <w:sz w:val="24"/>
                <w:szCs w:val="24"/>
                <w:vertAlign w:val="superscript"/>
                <w:lang w:val="it-CH"/>
              </w:rPr>
              <w:t>2</w:t>
            </w:r>
            <w:r w:rsidRPr="00823DA7">
              <w:rPr>
                <w:rFonts w:ascii="Times New Roman" w:hAnsi="Times New Roman" w:cs="Times New Roman"/>
                <w:b/>
                <w:sz w:val="24"/>
                <w:szCs w:val="24"/>
                <w:lang w:val="it-CH"/>
              </w:rPr>
              <w:t xml:space="preserve">) </w:t>
            </w:r>
            <w:r w:rsidR="001C14C6" w:rsidRPr="00823DA7">
              <w:rPr>
                <w:rFonts w:ascii="Times New Roman" w:hAnsi="Times New Roman" w:cs="Times New Roman"/>
                <w:color w:val="333333"/>
                <w:sz w:val="24"/>
                <w:szCs w:val="24"/>
                <w:lang w:val="it-CH"/>
              </w:rPr>
              <w:t>personalul monahal al cultelor recunoscute</w:t>
            </w:r>
            <w:r w:rsidRPr="00823DA7">
              <w:rPr>
                <w:rFonts w:ascii="Times New Roman" w:hAnsi="Times New Roman" w:cs="Times New Roman"/>
                <w:color w:val="333333"/>
                <w:sz w:val="24"/>
                <w:szCs w:val="24"/>
                <w:lang w:val="it-CH"/>
              </w:rPr>
              <w:t xml:space="preserve"> (călugări/călugărițe)</w:t>
            </w:r>
            <w:r w:rsidR="001C14C6" w:rsidRPr="00823DA7">
              <w:rPr>
                <w:rFonts w:ascii="Times New Roman" w:hAnsi="Times New Roman" w:cs="Times New Roman"/>
                <w:color w:val="333333"/>
                <w:sz w:val="24"/>
                <w:szCs w:val="24"/>
                <w:lang w:val="it-CH"/>
              </w:rPr>
              <w:t>, aflat în evidenţa Secretariatului de Stat pentru Culte</w:t>
            </w:r>
            <w:r w:rsidR="001C14C6" w:rsidRPr="00823DA7">
              <w:rPr>
                <w:rFonts w:ascii="Times New Roman" w:hAnsi="Times New Roman" w:cs="Times New Roman"/>
                <w:sz w:val="24"/>
                <w:szCs w:val="24"/>
                <w:lang w:val="it-CH"/>
              </w:rPr>
              <w:t>”</w:t>
            </w:r>
          </w:p>
          <w:p w14:paraId="0FDDC1A2" w14:textId="77777777" w:rsidR="001C14C6" w:rsidRPr="0034743D" w:rsidRDefault="001C14C6" w:rsidP="001C14C6">
            <w:pPr>
              <w:jc w:val="both"/>
              <w:rPr>
                <w:rFonts w:ascii="Times New Roman" w:eastAsia="Times New Roman" w:hAnsi="Times New Roman" w:cs="Times New Roman"/>
                <w:sz w:val="24"/>
                <w:szCs w:val="24"/>
                <w:lang w:val="ro-RO"/>
              </w:rPr>
            </w:pPr>
          </w:p>
          <w:p w14:paraId="21A62CC2" w14:textId="7C1A6B4F" w:rsidR="001C14C6" w:rsidRPr="00B57BD8" w:rsidRDefault="001C14C6" w:rsidP="001C14C6">
            <w:pPr>
              <w:jc w:val="both"/>
              <w:rPr>
                <w:rFonts w:ascii="Times New Roman" w:hAnsi="Times New Roman" w:cs="Times New Roman"/>
                <w:sz w:val="24"/>
                <w:szCs w:val="24"/>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r w:rsidRPr="00B57BD8">
              <w:rPr>
                <w:rFonts w:ascii="Times New Roman" w:hAnsi="Times New Roman" w:cs="Times New Roman"/>
                <w:sz w:val="24"/>
                <w:szCs w:val="24"/>
              </w:rPr>
              <w:t xml:space="preserve"> </w:t>
            </w:r>
          </w:p>
        </w:tc>
        <w:tc>
          <w:tcPr>
            <w:tcW w:w="3145" w:type="dxa"/>
          </w:tcPr>
          <w:p w14:paraId="573AEEA6" w14:textId="77777777" w:rsidR="001C14C6" w:rsidRPr="0034743D" w:rsidRDefault="001C14C6" w:rsidP="001C14C6">
            <w:pPr>
              <w:jc w:val="both"/>
              <w:rPr>
                <w:rFonts w:ascii="Times New Roman" w:eastAsia="Times New Roman" w:hAnsi="Times New Roman" w:cs="Times New Roman"/>
                <w:bCs/>
                <w:sz w:val="24"/>
                <w:szCs w:val="24"/>
                <w:lang w:val="ro-RO"/>
              </w:rPr>
            </w:pPr>
          </w:p>
          <w:p w14:paraId="0AE24C2C" w14:textId="6FCD3EEE" w:rsidR="001C14C6" w:rsidRPr="0034743D" w:rsidRDefault="001C14C6" w:rsidP="001C14C6">
            <w:pPr>
              <w:jc w:val="both"/>
              <w:rPr>
                <w:rFonts w:ascii="Times New Roman" w:eastAsia="Times New Roman" w:hAnsi="Times New Roman" w:cs="Times New Roman"/>
                <w:bCs/>
                <w:i/>
                <w:iCs/>
                <w:sz w:val="24"/>
                <w:szCs w:val="24"/>
                <w:lang w:val="ro-RO"/>
              </w:rPr>
            </w:pPr>
            <w:r w:rsidRPr="0034743D">
              <w:rPr>
                <w:rFonts w:ascii="Times New Roman" w:eastAsia="Times New Roman" w:hAnsi="Times New Roman" w:cs="Times New Roman"/>
                <w:bCs/>
                <w:i/>
                <w:iCs/>
                <w:sz w:val="24"/>
                <w:szCs w:val="24"/>
                <w:lang w:val="ro-RO"/>
              </w:rPr>
              <w:t>Lit.d)</w:t>
            </w:r>
            <w:r w:rsidR="004A32EE">
              <w:rPr>
                <w:rFonts w:ascii="Times New Roman" w:eastAsia="Times New Roman" w:hAnsi="Times New Roman" w:cs="Times New Roman"/>
                <w:bCs/>
                <w:i/>
                <w:iCs/>
                <w:sz w:val="24"/>
                <w:szCs w:val="24"/>
                <w:lang w:val="ro-RO"/>
              </w:rPr>
              <w:t xml:space="preserve"> și o)</w:t>
            </w:r>
            <w:r w:rsidRPr="0034743D">
              <w:rPr>
                <w:rFonts w:ascii="Times New Roman" w:eastAsia="Times New Roman" w:hAnsi="Times New Roman" w:cs="Times New Roman"/>
                <w:bCs/>
                <w:i/>
                <w:iCs/>
                <w:sz w:val="24"/>
                <w:szCs w:val="24"/>
                <w:lang w:val="ro-RO"/>
              </w:rPr>
              <w:t xml:space="preserve"> a</w:t>
            </w:r>
            <w:r w:rsidR="004A32EE">
              <w:rPr>
                <w:rFonts w:ascii="Times New Roman" w:eastAsia="Times New Roman" w:hAnsi="Times New Roman" w:cs="Times New Roman"/>
                <w:bCs/>
                <w:i/>
                <w:iCs/>
                <w:sz w:val="24"/>
                <w:szCs w:val="24"/>
                <w:lang w:val="ro-RO"/>
              </w:rPr>
              <w:t>u</w:t>
            </w:r>
            <w:r w:rsidRPr="0034743D">
              <w:rPr>
                <w:rFonts w:ascii="Times New Roman" w:eastAsia="Times New Roman" w:hAnsi="Times New Roman" w:cs="Times New Roman"/>
                <w:bCs/>
                <w:i/>
                <w:iCs/>
                <w:sz w:val="24"/>
                <w:szCs w:val="24"/>
                <w:lang w:val="ro-RO"/>
              </w:rPr>
              <w:t xml:space="preserve"> fost abrogat</w:t>
            </w:r>
            <w:r w:rsidR="004A32EE">
              <w:rPr>
                <w:rFonts w:ascii="Times New Roman" w:eastAsia="Times New Roman" w:hAnsi="Times New Roman" w:cs="Times New Roman"/>
                <w:bCs/>
                <w:i/>
                <w:iCs/>
                <w:sz w:val="24"/>
                <w:szCs w:val="24"/>
                <w:lang w:val="ro-RO"/>
              </w:rPr>
              <w:t>e</w:t>
            </w:r>
            <w:r w:rsidRPr="0034743D">
              <w:rPr>
                <w:rFonts w:ascii="Times New Roman" w:eastAsia="Times New Roman" w:hAnsi="Times New Roman" w:cs="Times New Roman"/>
                <w:bCs/>
                <w:i/>
                <w:iCs/>
                <w:sz w:val="24"/>
                <w:szCs w:val="24"/>
                <w:lang w:val="ro-RO"/>
              </w:rPr>
              <w:t xml:space="preserve"> prin Legea nr.141/2025, categoriile respective nemaifiind exceptate de la plata CASS.</w:t>
            </w:r>
          </w:p>
          <w:p w14:paraId="2690DCBF" w14:textId="77777777" w:rsidR="001C14C6" w:rsidRPr="0034743D" w:rsidRDefault="001C14C6" w:rsidP="001C14C6">
            <w:pPr>
              <w:jc w:val="both"/>
              <w:rPr>
                <w:rFonts w:ascii="Times New Roman" w:eastAsia="Times New Roman" w:hAnsi="Times New Roman" w:cs="Times New Roman"/>
                <w:bCs/>
                <w:i/>
                <w:iCs/>
                <w:sz w:val="24"/>
                <w:szCs w:val="24"/>
                <w:lang w:val="ro-RO"/>
              </w:rPr>
            </w:pPr>
          </w:p>
          <w:p w14:paraId="7F0FE2C4" w14:textId="6608E0A5" w:rsidR="001C14C6" w:rsidRDefault="001C14C6" w:rsidP="001C14C6">
            <w:pPr>
              <w:jc w:val="both"/>
              <w:rPr>
                <w:rFonts w:ascii="Times New Roman" w:eastAsia="Times New Roman" w:hAnsi="Times New Roman" w:cs="Times New Roman"/>
                <w:bCs/>
                <w:sz w:val="24"/>
                <w:szCs w:val="24"/>
                <w:lang w:val="ro-RO"/>
              </w:rPr>
            </w:pPr>
            <w:r w:rsidRPr="0034743D">
              <w:rPr>
                <w:rFonts w:ascii="Times New Roman" w:eastAsia="Times New Roman" w:hAnsi="Times New Roman" w:cs="Times New Roman"/>
                <w:bCs/>
                <w:i/>
                <w:iCs/>
                <w:sz w:val="24"/>
                <w:szCs w:val="24"/>
                <w:lang w:val="ro-RO"/>
              </w:rPr>
              <w:t>Prin amendament se reintroduc ca persoane exceptate doar veteranii, invalizii de război şi văduvele de război</w:t>
            </w:r>
            <w:r w:rsidR="00B57BD8">
              <w:rPr>
                <w:rFonts w:ascii="Times New Roman" w:eastAsia="Times New Roman" w:hAnsi="Times New Roman" w:cs="Times New Roman"/>
                <w:bCs/>
                <w:i/>
                <w:iCs/>
                <w:sz w:val="24"/>
                <w:szCs w:val="24"/>
                <w:lang w:val="ro-RO"/>
              </w:rPr>
              <w:t xml:space="preserve"> și călugării/călugărițele.</w:t>
            </w:r>
          </w:p>
        </w:tc>
      </w:tr>
      <w:tr w:rsidR="00112DB2" w:rsidRPr="00D6489A" w14:paraId="65A9968D" w14:textId="77777777" w:rsidTr="00926D2B">
        <w:tc>
          <w:tcPr>
            <w:tcW w:w="687" w:type="dxa"/>
          </w:tcPr>
          <w:p w14:paraId="7BC2AB15" w14:textId="77777777" w:rsidR="00112DB2" w:rsidRPr="0034743D" w:rsidRDefault="00112DB2" w:rsidP="00FE419C">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5181C4EF" w14:textId="77777777" w:rsidR="00112DB2" w:rsidRDefault="00112DB2" w:rsidP="00FE419C">
            <w:pPr>
              <w:jc w:val="both"/>
              <w:rPr>
                <w:rFonts w:ascii="Times New Roman" w:hAnsi="Times New Roman" w:cs="Times New Roman"/>
                <w:sz w:val="24"/>
                <w:szCs w:val="24"/>
                <w:lang w:val="ro-RO"/>
              </w:rPr>
            </w:pPr>
            <w:r>
              <w:rPr>
                <w:rFonts w:ascii="Times New Roman" w:hAnsi="Times New Roman" w:cs="Times New Roman"/>
                <w:sz w:val="24"/>
                <w:szCs w:val="24"/>
                <w:lang w:val="ro-RO"/>
              </w:rPr>
              <w:t>Art. 154</w:t>
            </w:r>
          </w:p>
          <w:p w14:paraId="5521D2CD" w14:textId="42198785" w:rsidR="00112DB2" w:rsidRPr="00C401C6" w:rsidRDefault="00112DB2" w:rsidP="00FE419C">
            <w:pPr>
              <w:jc w:val="both"/>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65" w:type="dxa"/>
          </w:tcPr>
          <w:p w14:paraId="762A4B1F" w14:textId="4460EAF0" w:rsidR="00112DB2" w:rsidRPr="00C401C6" w:rsidRDefault="00112DB2" w:rsidP="00FE419C">
            <w:pPr>
              <w:jc w:val="both"/>
              <w:rPr>
                <w:rFonts w:ascii="Times New Roman" w:hAnsi="Times New Roman" w:cs="Times New Roman"/>
                <w:sz w:val="24"/>
                <w:szCs w:val="24"/>
                <w:lang w:val="ro-RO"/>
              </w:rPr>
            </w:pPr>
          </w:p>
        </w:tc>
        <w:tc>
          <w:tcPr>
            <w:tcW w:w="5323" w:type="dxa"/>
          </w:tcPr>
          <w:p w14:paraId="18589742" w14:textId="77777777" w:rsidR="00112DB2" w:rsidRPr="000F25C6" w:rsidRDefault="00112DB2" w:rsidP="00407AF8">
            <w:pPr>
              <w:jc w:val="both"/>
              <w:rPr>
                <w:rFonts w:ascii="Times New Roman" w:hAnsi="Times New Roman" w:cs="Times New Roman"/>
                <w:b/>
                <w:sz w:val="24"/>
                <w:szCs w:val="24"/>
                <w:lang w:val="ro-RO"/>
              </w:rPr>
            </w:pPr>
            <w:r w:rsidRPr="000F25C6">
              <w:rPr>
                <w:rFonts w:ascii="Times New Roman" w:hAnsi="Times New Roman" w:cs="Times New Roman"/>
                <w:b/>
                <w:sz w:val="24"/>
                <w:szCs w:val="24"/>
                <w:lang w:val="ro-RO"/>
              </w:rPr>
              <w:t>2. La articolul 154 alineatul (1), după litera g) se introduce o nouă literă, lit. g</w:t>
            </w:r>
            <w:r w:rsidRPr="000F25C6">
              <w:rPr>
                <w:rFonts w:ascii="Times New Roman" w:hAnsi="Times New Roman" w:cs="Times New Roman"/>
                <w:b/>
                <w:sz w:val="24"/>
                <w:szCs w:val="24"/>
                <w:vertAlign w:val="superscript"/>
                <w:lang w:val="ro-RO"/>
              </w:rPr>
              <w:t>1</w:t>
            </w:r>
            <w:r w:rsidRPr="000F25C6">
              <w:rPr>
                <w:rFonts w:ascii="Times New Roman" w:hAnsi="Times New Roman" w:cs="Times New Roman"/>
                <w:b/>
                <w:sz w:val="24"/>
                <w:szCs w:val="24"/>
                <w:lang w:val="ro-RO"/>
              </w:rPr>
              <w:t>), cu următorul cuprins:</w:t>
            </w:r>
          </w:p>
          <w:p w14:paraId="19AF8B1B" w14:textId="77777777" w:rsidR="00112DB2" w:rsidRDefault="00112DB2" w:rsidP="00407AF8">
            <w:pPr>
              <w:jc w:val="both"/>
              <w:rPr>
                <w:rFonts w:ascii="Times New Roman" w:hAnsi="Times New Roman" w:cs="Times New Roman"/>
                <w:bCs/>
                <w:sz w:val="24"/>
                <w:szCs w:val="24"/>
                <w:lang w:val="ro-RO"/>
              </w:rPr>
            </w:pPr>
            <w:r w:rsidRPr="000F25C6">
              <w:rPr>
                <w:rFonts w:ascii="Times New Roman" w:hAnsi="Times New Roman" w:cs="Times New Roman"/>
                <w:bCs/>
                <w:sz w:val="24"/>
                <w:szCs w:val="24"/>
                <w:lang w:val="ro-RO"/>
              </w:rPr>
              <w:t>“g</w:t>
            </w:r>
            <w:r w:rsidRPr="000F25C6">
              <w:rPr>
                <w:rFonts w:ascii="Times New Roman" w:hAnsi="Times New Roman" w:cs="Times New Roman"/>
                <w:bCs/>
                <w:sz w:val="24"/>
                <w:szCs w:val="24"/>
                <w:vertAlign w:val="superscript"/>
                <w:lang w:val="ro-RO"/>
              </w:rPr>
              <w:t>1</w:t>
            </w:r>
            <w:r w:rsidRPr="000F25C6">
              <w:rPr>
                <w:rFonts w:ascii="Times New Roman" w:hAnsi="Times New Roman" w:cs="Times New Roman"/>
                <w:bCs/>
                <w:sz w:val="24"/>
                <w:szCs w:val="24"/>
                <w:lang w:val="ro-RO"/>
              </w:rPr>
              <w:t>) persoanele care se află în concediu de acomodare, potrivit Legii nr. 273/2004 privind procedura adopţiei, republicată, cu modificările şi completările ulterioare, în concediu pentru creşterea copilului potrivit prevederilor art. 2 şi art. 31 din Ordonanţa de urgenţă a Guvernului nr. 111/2010 privind concediul şi indemnizaţia lunară pentru creşterea copiilor, aprobată cu modificări prin Legea nr. 132/2011, cu modificările şi completările ulterioare, pentru drepturile băneşti acordate de aceste legi;”</w:t>
            </w:r>
          </w:p>
          <w:p w14:paraId="29142D65" w14:textId="061E37DD" w:rsidR="00112DB2" w:rsidRPr="000F25C6" w:rsidRDefault="00112DB2" w:rsidP="00407AF8">
            <w:pPr>
              <w:jc w:val="both"/>
              <w:rPr>
                <w:rFonts w:ascii="Times New Roman" w:hAnsi="Times New Roman" w:cs="Times New Roman"/>
                <w:bCs/>
                <w:sz w:val="24"/>
                <w:szCs w:val="24"/>
                <w:lang w:val="ro-RO"/>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p>
          <w:p w14:paraId="4F90E643" w14:textId="77777777" w:rsidR="00112DB2" w:rsidRPr="00D6489A" w:rsidRDefault="00112DB2" w:rsidP="00D6489A">
            <w:pPr>
              <w:jc w:val="both"/>
              <w:rPr>
                <w:rFonts w:ascii="Times New Roman" w:hAnsi="Times New Roman" w:cs="Times New Roman"/>
                <w:b/>
                <w:sz w:val="24"/>
                <w:szCs w:val="24"/>
                <w:lang w:val="ro-RO"/>
              </w:rPr>
            </w:pPr>
          </w:p>
        </w:tc>
        <w:tc>
          <w:tcPr>
            <w:tcW w:w="3145" w:type="dxa"/>
          </w:tcPr>
          <w:p w14:paraId="414301EC" w14:textId="6E82F39D" w:rsidR="004A32EE" w:rsidRPr="004A32EE" w:rsidRDefault="004A32EE" w:rsidP="004A32EE">
            <w:pPr>
              <w:pStyle w:val="ListParagraph"/>
              <w:spacing w:after="160" w:line="259" w:lineRule="auto"/>
              <w:ind w:left="-142"/>
              <w:jc w:val="both"/>
              <w:rPr>
                <w:rFonts w:ascii="Times New Roman" w:hAnsi="Times New Roman" w:cs="Times New Roman"/>
                <w:bCs/>
                <w:sz w:val="24"/>
                <w:szCs w:val="24"/>
                <w:lang w:val="ro-RO"/>
              </w:rPr>
            </w:pPr>
            <w:r>
              <w:rPr>
                <w:rFonts w:ascii="Times New Roman" w:hAnsi="Times New Roman" w:cs="Times New Roman"/>
                <w:bCs/>
                <w:sz w:val="24"/>
                <w:szCs w:val="24"/>
                <w:lang w:val="ro-RO"/>
              </w:rPr>
              <w:t>Dorim p</w:t>
            </w:r>
            <w:r w:rsidRPr="004A32EE">
              <w:rPr>
                <w:rFonts w:ascii="Times New Roman" w:hAnsi="Times New Roman" w:cs="Times New Roman"/>
                <w:bCs/>
                <w:sz w:val="24"/>
                <w:szCs w:val="24"/>
                <w:lang w:val="ro-RO"/>
              </w:rPr>
              <w:t xml:space="preserve">rotejarea mamelor </w:t>
            </w:r>
            <w:r>
              <w:rPr>
                <w:rFonts w:ascii="Times New Roman" w:hAnsi="Times New Roman" w:cs="Times New Roman"/>
                <w:bCs/>
                <w:sz w:val="24"/>
                <w:szCs w:val="24"/>
                <w:lang w:val="ro-RO"/>
              </w:rPr>
              <w:t xml:space="preserve">si de aceea propunem </w:t>
            </w:r>
            <w:r w:rsidRPr="004A32EE">
              <w:rPr>
                <w:rFonts w:ascii="Times New Roman" w:hAnsi="Times New Roman" w:cs="Times New Roman"/>
                <w:bCs/>
                <w:sz w:val="24"/>
                <w:szCs w:val="24"/>
                <w:lang w:val="ro-RO"/>
              </w:rPr>
              <w:t>scutirea de la plat</w:t>
            </w:r>
            <w:r>
              <w:rPr>
                <w:rFonts w:ascii="Times New Roman" w:hAnsi="Times New Roman" w:cs="Times New Roman"/>
                <w:bCs/>
                <w:sz w:val="24"/>
                <w:szCs w:val="24"/>
                <w:lang w:val="ro-RO"/>
              </w:rPr>
              <w:t>ă</w:t>
            </w:r>
            <w:r w:rsidRPr="004A32EE">
              <w:rPr>
                <w:rFonts w:ascii="Times New Roman" w:hAnsi="Times New Roman" w:cs="Times New Roman"/>
                <w:bCs/>
                <w:sz w:val="24"/>
                <w:szCs w:val="24"/>
                <w:lang w:val="ro-RO"/>
              </w:rPr>
              <w:t xml:space="preserve"> a CASS introdusă pentru indemnizația de creștere a copilului</w:t>
            </w:r>
          </w:p>
          <w:p w14:paraId="04DE77E1" w14:textId="77777777" w:rsidR="00112DB2" w:rsidRPr="004A32EE" w:rsidRDefault="00112DB2" w:rsidP="00FE419C">
            <w:pPr>
              <w:jc w:val="both"/>
              <w:rPr>
                <w:rFonts w:ascii="Times New Roman" w:hAnsi="Times New Roman" w:cs="Times New Roman"/>
                <w:bCs/>
                <w:sz w:val="24"/>
                <w:szCs w:val="24"/>
                <w:lang w:val="ro-RO"/>
              </w:rPr>
            </w:pPr>
          </w:p>
        </w:tc>
      </w:tr>
      <w:tr w:rsidR="00B57BD8" w:rsidRPr="00D6489A" w14:paraId="5BBD3E76" w14:textId="77777777" w:rsidTr="00926D2B">
        <w:tc>
          <w:tcPr>
            <w:tcW w:w="687" w:type="dxa"/>
          </w:tcPr>
          <w:p w14:paraId="733D9D24" w14:textId="77777777" w:rsidR="00B57BD8" w:rsidRPr="0034743D" w:rsidRDefault="00B57BD8" w:rsidP="00B57BD8">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4D8A8529" w14:textId="77777777" w:rsidR="00B57BD8" w:rsidRPr="0034743D" w:rsidRDefault="00B57BD8" w:rsidP="00B57BD8">
            <w:pPr>
              <w:rPr>
                <w:rFonts w:ascii="Times New Roman" w:eastAsia="Times New Roman" w:hAnsi="Times New Roman" w:cs="Times New Roman"/>
                <w:color w:val="333333"/>
                <w:sz w:val="24"/>
                <w:szCs w:val="24"/>
                <w:shd w:val="clear" w:color="auto" w:fill="FFFFFF"/>
              </w:rPr>
            </w:pPr>
            <w:r w:rsidRPr="00BB039C">
              <w:rPr>
                <w:rFonts w:ascii="Times New Roman" w:eastAsia="Times New Roman" w:hAnsi="Times New Roman" w:cs="Times New Roman"/>
                <w:color w:val="333333"/>
                <w:sz w:val="24"/>
                <w:szCs w:val="24"/>
                <w:shd w:val="clear" w:color="auto" w:fill="FFFFFF"/>
              </w:rPr>
              <w:t xml:space="preserve">Art. 155: </w:t>
            </w:r>
            <w:proofErr w:type="spellStart"/>
            <w:r w:rsidRPr="00BB039C">
              <w:rPr>
                <w:rFonts w:ascii="Times New Roman" w:eastAsia="Times New Roman" w:hAnsi="Times New Roman" w:cs="Times New Roman"/>
                <w:color w:val="333333"/>
                <w:sz w:val="24"/>
                <w:szCs w:val="24"/>
                <w:shd w:val="clear" w:color="auto" w:fill="FFFFFF"/>
              </w:rPr>
              <w:t>Categorii</w:t>
            </w:r>
            <w:proofErr w:type="spellEnd"/>
            <w:r w:rsidRPr="00BB039C">
              <w:rPr>
                <w:rFonts w:ascii="Times New Roman" w:eastAsia="Times New Roman" w:hAnsi="Times New Roman" w:cs="Times New Roman"/>
                <w:color w:val="333333"/>
                <w:sz w:val="24"/>
                <w:szCs w:val="24"/>
                <w:shd w:val="clear" w:color="auto" w:fill="FFFFFF"/>
              </w:rPr>
              <w:t xml:space="preserve"> de </w:t>
            </w:r>
            <w:proofErr w:type="spellStart"/>
            <w:r w:rsidRPr="00BB039C">
              <w:rPr>
                <w:rFonts w:ascii="Times New Roman" w:eastAsia="Times New Roman" w:hAnsi="Times New Roman" w:cs="Times New Roman"/>
                <w:color w:val="333333"/>
                <w:sz w:val="24"/>
                <w:szCs w:val="24"/>
                <w:shd w:val="clear" w:color="auto" w:fill="FFFFFF"/>
              </w:rPr>
              <w:t>venituri</w:t>
            </w:r>
            <w:proofErr w:type="spellEnd"/>
            <w:r w:rsidRPr="00BB039C">
              <w:rPr>
                <w:rFonts w:ascii="Times New Roman" w:eastAsia="Times New Roman" w:hAnsi="Times New Roman" w:cs="Times New Roman"/>
                <w:color w:val="333333"/>
                <w:sz w:val="24"/>
                <w:szCs w:val="24"/>
                <w:shd w:val="clear" w:color="auto" w:fill="FFFFFF"/>
              </w:rPr>
              <w:t xml:space="preserve"> </w:t>
            </w:r>
            <w:proofErr w:type="spellStart"/>
            <w:r w:rsidRPr="00BB039C">
              <w:rPr>
                <w:rFonts w:ascii="Times New Roman" w:eastAsia="Times New Roman" w:hAnsi="Times New Roman" w:cs="Times New Roman"/>
                <w:color w:val="333333"/>
                <w:sz w:val="24"/>
                <w:szCs w:val="24"/>
                <w:shd w:val="clear" w:color="auto" w:fill="FFFFFF"/>
              </w:rPr>
              <w:t>supuse</w:t>
            </w:r>
            <w:proofErr w:type="spellEnd"/>
            <w:r w:rsidRPr="00BB039C">
              <w:rPr>
                <w:rFonts w:ascii="Times New Roman" w:eastAsia="Times New Roman" w:hAnsi="Times New Roman" w:cs="Times New Roman"/>
                <w:color w:val="333333"/>
                <w:sz w:val="24"/>
                <w:szCs w:val="24"/>
                <w:shd w:val="clear" w:color="auto" w:fill="FFFFFF"/>
              </w:rPr>
              <w:t xml:space="preserve"> </w:t>
            </w:r>
            <w:proofErr w:type="spellStart"/>
            <w:r w:rsidRPr="00BB039C">
              <w:rPr>
                <w:rFonts w:ascii="Times New Roman" w:eastAsia="Times New Roman" w:hAnsi="Times New Roman" w:cs="Times New Roman"/>
                <w:color w:val="333333"/>
                <w:sz w:val="24"/>
                <w:szCs w:val="24"/>
                <w:shd w:val="clear" w:color="auto" w:fill="FFFFFF"/>
              </w:rPr>
              <w:t>contribuţiei</w:t>
            </w:r>
            <w:proofErr w:type="spellEnd"/>
            <w:r w:rsidRPr="00BB039C">
              <w:rPr>
                <w:rFonts w:ascii="Times New Roman" w:eastAsia="Times New Roman" w:hAnsi="Times New Roman" w:cs="Times New Roman"/>
                <w:color w:val="333333"/>
                <w:sz w:val="24"/>
                <w:szCs w:val="24"/>
                <w:shd w:val="clear" w:color="auto" w:fill="FFFFFF"/>
              </w:rPr>
              <w:t xml:space="preserve"> de </w:t>
            </w:r>
            <w:proofErr w:type="spellStart"/>
            <w:r w:rsidRPr="00BB039C">
              <w:rPr>
                <w:rFonts w:ascii="Times New Roman" w:eastAsia="Times New Roman" w:hAnsi="Times New Roman" w:cs="Times New Roman"/>
                <w:color w:val="333333"/>
                <w:sz w:val="24"/>
                <w:szCs w:val="24"/>
                <w:shd w:val="clear" w:color="auto" w:fill="FFFFFF"/>
              </w:rPr>
              <w:t>asigurări</w:t>
            </w:r>
            <w:proofErr w:type="spellEnd"/>
            <w:r w:rsidRPr="00BB039C">
              <w:rPr>
                <w:rFonts w:ascii="Times New Roman" w:eastAsia="Times New Roman" w:hAnsi="Times New Roman" w:cs="Times New Roman"/>
                <w:color w:val="333333"/>
                <w:sz w:val="24"/>
                <w:szCs w:val="24"/>
                <w:shd w:val="clear" w:color="auto" w:fill="FFFFFF"/>
              </w:rPr>
              <w:t xml:space="preserve"> </w:t>
            </w:r>
            <w:proofErr w:type="spellStart"/>
            <w:r w:rsidRPr="00BB039C">
              <w:rPr>
                <w:rFonts w:ascii="Times New Roman" w:eastAsia="Times New Roman" w:hAnsi="Times New Roman" w:cs="Times New Roman"/>
                <w:color w:val="333333"/>
                <w:sz w:val="24"/>
                <w:szCs w:val="24"/>
                <w:shd w:val="clear" w:color="auto" w:fill="FFFFFF"/>
              </w:rPr>
              <w:t>sociale</w:t>
            </w:r>
            <w:proofErr w:type="spellEnd"/>
            <w:r w:rsidRPr="00BB039C">
              <w:rPr>
                <w:rFonts w:ascii="Times New Roman" w:eastAsia="Times New Roman" w:hAnsi="Times New Roman" w:cs="Times New Roman"/>
                <w:color w:val="333333"/>
                <w:sz w:val="24"/>
                <w:szCs w:val="24"/>
                <w:shd w:val="clear" w:color="auto" w:fill="FFFFFF"/>
              </w:rPr>
              <w:t xml:space="preserve"> de </w:t>
            </w:r>
            <w:proofErr w:type="spellStart"/>
            <w:r w:rsidRPr="00BB039C">
              <w:rPr>
                <w:rFonts w:ascii="Times New Roman" w:eastAsia="Times New Roman" w:hAnsi="Times New Roman" w:cs="Times New Roman"/>
                <w:color w:val="333333"/>
                <w:sz w:val="24"/>
                <w:szCs w:val="24"/>
                <w:shd w:val="clear" w:color="auto" w:fill="FFFFFF"/>
              </w:rPr>
              <w:t>sănătate</w:t>
            </w:r>
            <w:proofErr w:type="spellEnd"/>
            <w:r w:rsidRPr="00BB039C">
              <w:rPr>
                <w:rFonts w:ascii="Times New Roman" w:eastAsia="Times New Roman" w:hAnsi="Times New Roman" w:cs="Times New Roman"/>
                <w:color w:val="333333"/>
                <w:sz w:val="24"/>
                <w:szCs w:val="24"/>
                <w:shd w:val="clear" w:color="auto" w:fill="FFFFFF"/>
              </w:rPr>
              <w:t xml:space="preserve"> </w:t>
            </w:r>
          </w:p>
          <w:p w14:paraId="5623464B" w14:textId="77777777" w:rsidR="00B57BD8" w:rsidRPr="00BB039C" w:rsidRDefault="00B57BD8" w:rsidP="00B57BD8">
            <w:pPr>
              <w:rPr>
                <w:rFonts w:ascii="Times New Roman" w:eastAsia="Times New Roman" w:hAnsi="Times New Roman" w:cs="Times New Roman"/>
                <w:sz w:val="24"/>
                <w:szCs w:val="24"/>
              </w:rPr>
            </w:pPr>
          </w:p>
          <w:p w14:paraId="224C8144" w14:textId="77777777" w:rsidR="00B57BD8" w:rsidRDefault="00B57BD8" w:rsidP="00B57BD8">
            <w:pPr>
              <w:shd w:val="clear" w:color="auto" w:fill="FFFFFF"/>
              <w:rPr>
                <w:rFonts w:ascii="Times New Roman" w:eastAsia="Times New Roman" w:hAnsi="Times New Roman" w:cs="Times New Roman"/>
                <w:color w:val="333333"/>
                <w:sz w:val="24"/>
                <w:szCs w:val="24"/>
              </w:rPr>
            </w:pPr>
            <w:r w:rsidRPr="00BB039C">
              <w:rPr>
                <w:rFonts w:ascii="Times New Roman" w:eastAsia="Times New Roman" w:hAnsi="Times New Roman" w:cs="Times New Roman"/>
                <w:color w:val="333333"/>
                <w:sz w:val="24"/>
                <w:szCs w:val="24"/>
              </w:rPr>
              <w:t>(1)</w:t>
            </w:r>
            <w:r w:rsidRPr="0034743D">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Contribuabilii</w:t>
            </w:r>
            <w:proofErr w:type="spellEnd"/>
            <w:r w:rsidRPr="00BB039C">
              <w:rPr>
                <w:rFonts w:ascii="Times New Roman" w:eastAsia="Times New Roman" w:hAnsi="Times New Roman" w:cs="Times New Roman"/>
                <w:color w:val="333333"/>
                <w:sz w:val="24"/>
                <w:szCs w:val="24"/>
              </w:rPr>
              <w:t xml:space="preserve"> la </w:t>
            </w:r>
            <w:proofErr w:type="spellStart"/>
            <w:r w:rsidRPr="00BB039C">
              <w:rPr>
                <w:rFonts w:ascii="Times New Roman" w:eastAsia="Times New Roman" w:hAnsi="Times New Roman" w:cs="Times New Roman"/>
                <w:color w:val="333333"/>
                <w:sz w:val="24"/>
                <w:szCs w:val="24"/>
              </w:rPr>
              <w:t>sistemul</w:t>
            </w:r>
            <w:proofErr w:type="spellEnd"/>
            <w:r w:rsidRPr="00BB039C">
              <w:rPr>
                <w:rFonts w:ascii="Times New Roman" w:eastAsia="Times New Roman" w:hAnsi="Times New Roman" w:cs="Times New Roman"/>
                <w:color w:val="333333"/>
                <w:sz w:val="24"/>
                <w:szCs w:val="24"/>
              </w:rPr>
              <w:t xml:space="preserve"> de </w:t>
            </w:r>
            <w:proofErr w:type="spellStart"/>
            <w:r w:rsidRPr="00BB039C">
              <w:rPr>
                <w:rFonts w:ascii="Times New Roman" w:eastAsia="Times New Roman" w:hAnsi="Times New Roman" w:cs="Times New Roman"/>
                <w:color w:val="333333"/>
                <w:sz w:val="24"/>
                <w:szCs w:val="24"/>
              </w:rPr>
              <w:t>asigurări</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sociale</w:t>
            </w:r>
            <w:proofErr w:type="spellEnd"/>
            <w:r w:rsidRPr="00BB039C">
              <w:rPr>
                <w:rFonts w:ascii="Times New Roman" w:eastAsia="Times New Roman" w:hAnsi="Times New Roman" w:cs="Times New Roman"/>
                <w:color w:val="333333"/>
                <w:sz w:val="24"/>
                <w:szCs w:val="24"/>
              </w:rPr>
              <w:t xml:space="preserve"> de </w:t>
            </w:r>
            <w:proofErr w:type="spellStart"/>
            <w:r w:rsidRPr="00BB039C">
              <w:rPr>
                <w:rFonts w:ascii="Times New Roman" w:eastAsia="Times New Roman" w:hAnsi="Times New Roman" w:cs="Times New Roman"/>
                <w:color w:val="333333"/>
                <w:sz w:val="24"/>
                <w:szCs w:val="24"/>
              </w:rPr>
              <w:t>sănătate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prevăzuţi</w:t>
            </w:r>
            <w:proofErr w:type="spellEnd"/>
            <w:r w:rsidRPr="00BB039C">
              <w:rPr>
                <w:rFonts w:ascii="Times New Roman" w:eastAsia="Times New Roman" w:hAnsi="Times New Roman" w:cs="Times New Roman"/>
                <w:color w:val="333333"/>
                <w:sz w:val="24"/>
                <w:szCs w:val="24"/>
              </w:rPr>
              <w:t xml:space="preserve"> la art. 153 </w:t>
            </w:r>
            <w:proofErr w:type="spellStart"/>
            <w:r w:rsidRPr="00BB039C">
              <w:rPr>
                <w:rFonts w:ascii="Times New Roman" w:eastAsia="Times New Roman" w:hAnsi="Times New Roman" w:cs="Times New Roman"/>
                <w:color w:val="333333"/>
                <w:sz w:val="24"/>
                <w:szCs w:val="24"/>
              </w:rPr>
              <w:t>alin</w:t>
            </w:r>
            <w:proofErr w:type="spellEnd"/>
            <w:r w:rsidRPr="00BB039C">
              <w:rPr>
                <w:rFonts w:ascii="Times New Roman" w:eastAsia="Times New Roman" w:hAnsi="Times New Roman" w:cs="Times New Roman"/>
                <w:color w:val="333333"/>
                <w:sz w:val="24"/>
                <w:szCs w:val="24"/>
              </w:rPr>
              <w:t xml:space="preserve">. (1) lit. a)-d), </w:t>
            </w:r>
            <w:proofErr w:type="spellStart"/>
            <w:r w:rsidRPr="00BB039C">
              <w:rPr>
                <w:rFonts w:ascii="Times New Roman" w:eastAsia="Times New Roman" w:hAnsi="Times New Roman" w:cs="Times New Roman"/>
                <w:color w:val="333333"/>
                <w:sz w:val="24"/>
                <w:szCs w:val="24"/>
              </w:rPr>
              <w:t>datorează</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după</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caz</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contribuţia</w:t>
            </w:r>
            <w:proofErr w:type="spellEnd"/>
            <w:r w:rsidRPr="00BB039C">
              <w:rPr>
                <w:rFonts w:ascii="Times New Roman" w:eastAsia="Times New Roman" w:hAnsi="Times New Roman" w:cs="Times New Roman"/>
                <w:color w:val="333333"/>
                <w:sz w:val="24"/>
                <w:szCs w:val="24"/>
              </w:rPr>
              <w:t xml:space="preserve"> de </w:t>
            </w:r>
            <w:proofErr w:type="spellStart"/>
            <w:r w:rsidRPr="00BB039C">
              <w:rPr>
                <w:rFonts w:ascii="Times New Roman" w:eastAsia="Times New Roman" w:hAnsi="Times New Roman" w:cs="Times New Roman"/>
                <w:color w:val="333333"/>
                <w:sz w:val="24"/>
                <w:szCs w:val="24"/>
              </w:rPr>
              <w:t>asigurări</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sociale</w:t>
            </w:r>
            <w:proofErr w:type="spellEnd"/>
            <w:r w:rsidRPr="00BB039C">
              <w:rPr>
                <w:rFonts w:ascii="Times New Roman" w:eastAsia="Times New Roman" w:hAnsi="Times New Roman" w:cs="Times New Roman"/>
                <w:color w:val="333333"/>
                <w:sz w:val="24"/>
                <w:szCs w:val="24"/>
              </w:rPr>
              <w:t xml:space="preserve"> de </w:t>
            </w:r>
            <w:proofErr w:type="spellStart"/>
            <w:r w:rsidRPr="00BB039C">
              <w:rPr>
                <w:rFonts w:ascii="Times New Roman" w:eastAsia="Times New Roman" w:hAnsi="Times New Roman" w:cs="Times New Roman"/>
                <w:color w:val="333333"/>
                <w:sz w:val="24"/>
                <w:szCs w:val="24"/>
              </w:rPr>
              <w:t>sănătate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pentru</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veniturile</w:t>
            </w:r>
            <w:proofErr w:type="spellEnd"/>
            <w:r w:rsidRPr="00BB039C">
              <w:rPr>
                <w:rFonts w:ascii="Times New Roman" w:eastAsia="Times New Roman" w:hAnsi="Times New Roman" w:cs="Times New Roman"/>
                <w:color w:val="333333"/>
                <w:sz w:val="24"/>
                <w:szCs w:val="24"/>
              </w:rPr>
              <w:t xml:space="preserve"> din </w:t>
            </w:r>
            <w:proofErr w:type="spellStart"/>
            <w:r w:rsidRPr="00BB039C">
              <w:rPr>
                <w:rFonts w:ascii="Times New Roman" w:eastAsia="Times New Roman" w:hAnsi="Times New Roman" w:cs="Times New Roman"/>
                <w:color w:val="333333"/>
                <w:sz w:val="24"/>
                <w:szCs w:val="24"/>
              </w:rPr>
              <w:t>România</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şi</w:t>
            </w:r>
            <w:proofErr w:type="spellEnd"/>
            <w:r w:rsidRPr="00BB039C">
              <w:rPr>
                <w:rFonts w:ascii="Times New Roman" w:eastAsia="Times New Roman" w:hAnsi="Times New Roman" w:cs="Times New Roman"/>
                <w:color w:val="333333"/>
                <w:sz w:val="24"/>
                <w:szCs w:val="24"/>
              </w:rPr>
              <w:t xml:space="preserve"> din afara </w:t>
            </w:r>
            <w:proofErr w:type="spellStart"/>
            <w:r w:rsidRPr="00BB039C">
              <w:rPr>
                <w:rFonts w:ascii="Times New Roman" w:eastAsia="Times New Roman" w:hAnsi="Times New Roman" w:cs="Times New Roman"/>
                <w:color w:val="333333"/>
                <w:sz w:val="24"/>
                <w:szCs w:val="24"/>
              </w:rPr>
              <w:lastRenderedPageBreak/>
              <w:t>României</w:t>
            </w:r>
            <w:proofErr w:type="spellEnd"/>
            <w:r w:rsidRPr="00BB039C">
              <w:rPr>
                <w:rFonts w:ascii="Times New Roman" w:eastAsia="Times New Roman" w:hAnsi="Times New Roman" w:cs="Times New Roman"/>
                <w:color w:val="333333"/>
                <w:sz w:val="24"/>
                <w:szCs w:val="24"/>
              </w:rPr>
              <w:t xml:space="preserve">, cu </w:t>
            </w:r>
            <w:proofErr w:type="spellStart"/>
            <w:r w:rsidRPr="00BB039C">
              <w:rPr>
                <w:rFonts w:ascii="Times New Roman" w:eastAsia="Times New Roman" w:hAnsi="Times New Roman" w:cs="Times New Roman"/>
                <w:color w:val="333333"/>
                <w:sz w:val="24"/>
                <w:szCs w:val="24"/>
              </w:rPr>
              <w:t>respectarea</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legislaţiei</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europene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aplicabile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în</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domeniul</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securităţii</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sociale</w:t>
            </w:r>
            <w:proofErr w:type="spellEnd"/>
            <w:r w:rsidRPr="00BB039C">
              <w:rPr>
                <w:rFonts w:ascii="Times New Roman" w:eastAsia="Times New Roman" w:hAnsi="Times New Roman" w:cs="Times New Roman"/>
                <w:color w:val="333333"/>
                <w:sz w:val="24"/>
                <w:szCs w:val="24"/>
              </w:rPr>
              <w:t xml:space="preserve">, precum </w:t>
            </w:r>
            <w:proofErr w:type="spellStart"/>
            <w:r w:rsidRPr="00BB039C">
              <w:rPr>
                <w:rFonts w:ascii="Times New Roman" w:eastAsia="Times New Roman" w:hAnsi="Times New Roman" w:cs="Times New Roman"/>
                <w:color w:val="333333"/>
                <w:sz w:val="24"/>
                <w:szCs w:val="24"/>
              </w:rPr>
              <w:t>şi</w:t>
            </w:r>
            <w:proofErr w:type="spellEnd"/>
            <w:r w:rsidRPr="00BB039C">
              <w:rPr>
                <w:rFonts w:ascii="Times New Roman" w:eastAsia="Times New Roman" w:hAnsi="Times New Roman" w:cs="Times New Roman"/>
                <w:color w:val="333333"/>
                <w:sz w:val="24"/>
                <w:szCs w:val="24"/>
              </w:rPr>
              <w:t xml:space="preserve"> a </w:t>
            </w:r>
            <w:proofErr w:type="spellStart"/>
            <w:r w:rsidRPr="00BB039C">
              <w:rPr>
                <w:rFonts w:ascii="Times New Roman" w:eastAsia="Times New Roman" w:hAnsi="Times New Roman" w:cs="Times New Roman"/>
                <w:color w:val="333333"/>
                <w:sz w:val="24"/>
                <w:szCs w:val="24"/>
              </w:rPr>
              <w:t>acordurilor</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privind</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sistemele</w:t>
            </w:r>
            <w:proofErr w:type="spellEnd"/>
            <w:r w:rsidRPr="00BB039C">
              <w:rPr>
                <w:rFonts w:ascii="Times New Roman" w:eastAsia="Times New Roman" w:hAnsi="Times New Roman" w:cs="Times New Roman"/>
                <w:color w:val="333333"/>
                <w:sz w:val="24"/>
                <w:szCs w:val="24"/>
              </w:rPr>
              <w:t xml:space="preserve"> de </w:t>
            </w:r>
            <w:proofErr w:type="spellStart"/>
            <w:r w:rsidRPr="00BB039C">
              <w:rPr>
                <w:rFonts w:ascii="Times New Roman" w:eastAsia="Times New Roman" w:hAnsi="Times New Roman" w:cs="Times New Roman"/>
                <w:color w:val="333333"/>
                <w:sz w:val="24"/>
                <w:szCs w:val="24"/>
              </w:rPr>
              <w:t>securitate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socială</w:t>
            </w:r>
            <w:proofErr w:type="spellEnd"/>
            <w:r w:rsidRPr="00BB039C">
              <w:rPr>
                <w:rFonts w:ascii="Times New Roman" w:eastAsia="Times New Roman" w:hAnsi="Times New Roman" w:cs="Times New Roman"/>
                <w:color w:val="333333"/>
                <w:sz w:val="24"/>
                <w:szCs w:val="24"/>
              </w:rPr>
              <w:t xml:space="preserve"> la care </w:t>
            </w:r>
            <w:proofErr w:type="spellStart"/>
            <w:r w:rsidRPr="00BB039C">
              <w:rPr>
                <w:rFonts w:ascii="Times New Roman" w:eastAsia="Times New Roman" w:hAnsi="Times New Roman" w:cs="Times New Roman"/>
                <w:color w:val="333333"/>
                <w:sz w:val="24"/>
                <w:szCs w:val="24"/>
              </w:rPr>
              <w:t>România</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este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parte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pentru</w:t>
            </w:r>
            <w:proofErr w:type="spellEnd"/>
            <w:r w:rsidRPr="00BB039C">
              <w:rPr>
                <w:rFonts w:ascii="Times New Roman" w:eastAsia="Times New Roman" w:hAnsi="Times New Roman" w:cs="Times New Roman"/>
                <w:color w:val="333333"/>
                <w:sz w:val="24"/>
                <w:szCs w:val="24"/>
              </w:rPr>
              <w:t xml:space="preserve"> care </w:t>
            </w:r>
            <w:proofErr w:type="spellStart"/>
            <w:r w:rsidRPr="00BB039C">
              <w:rPr>
                <w:rFonts w:ascii="Times New Roman" w:eastAsia="Times New Roman" w:hAnsi="Times New Roman" w:cs="Times New Roman"/>
                <w:color w:val="333333"/>
                <w:sz w:val="24"/>
                <w:szCs w:val="24"/>
              </w:rPr>
              <w:t>există</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obligaţia</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declarării</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în</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România</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realizate</w:t>
            </w:r>
            <w:proofErr w:type="spellEnd"/>
            <w:r w:rsidRPr="00BB039C">
              <w:rPr>
                <w:rFonts w:ascii="Times New Roman" w:eastAsia="Times New Roman" w:hAnsi="Times New Roman" w:cs="Times New Roman"/>
                <w:color w:val="333333"/>
                <w:sz w:val="24"/>
                <w:szCs w:val="24"/>
              </w:rPr>
              <w:t xml:space="preserve"> din </w:t>
            </w:r>
            <w:proofErr w:type="spellStart"/>
            <w:r w:rsidRPr="00BB039C">
              <w:rPr>
                <w:rFonts w:ascii="Times New Roman" w:eastAsia="Times New Roman" w:hAnsi="Times New Roman" w:cs="Times New Roman"/>
                <w:color w:val="333333"/>
                <w:sz w:val="24"/>
                <w:szCs w:val="24"/>
              </w:rPr>
              <w:t>următoarele</w:t>
            </w:r>
            <w:proofErr w:type="spellEnd"/>
            <w:r w:rsidRPr="00BB039C">
              <w:rPr>
                <w:rFonts w:ascii="Times New Roman" w:eastAsia="Times New Roman" w:hAnsi="Times New Roman" w:cs="Times New Roman"/>
                <w:color w:val="333333"/>
                <w:sz w:val="24"/>
                <w:szCs w:val="24"/>
              </w:rPr>
              <w:t xml:space="preserve"> </w:t>
            </w:r>
            <w:proofErr w:type="spellStart"/>
            <w:r w:rsidRPr="00BB039C">
              <w:rPr>
                <w:rFonts w:ascii="Times New Roman" w:eastAsia="Times New Roman" w:hAnsi="Times New Roman" w:cs="Times New Roman"/>
                <w:color w:val="333333"/>
                <w:sz w:val="24"/>
                <w:szCs w:val="24"/>
              </w:rPr>
              <w:t>categorii</w:t>
            </w:r>
            <w:proofErr w:type="spellEnd"/>
            <w:r w:rsidRPr="00BB039C">
              <w:rPr>
                <w:rFonts w:ascii="Times New Roman" w:eastAsia="Times New Roman" w:hAnsi="Times New Roman" w:cs="Times New Roman"/>
                <w:color w:val="333333"/>
                <w:sz w:val="24"/>
                <w:szCs w:val="24"/>
              </w:rPr>
              <w:t xml:space="preserve"> de </w:t>
            </w:r>
            <w:proofErr w:type="spellStart"/>
            <w:r w:rsidRPr="00BB039C">
              <w:rPr>
                <w:rFonts w:ascii="Times New Roman" w:eastAsia="Times New Roman" w:hAnsi="Times New Roman" w:cs="Times New Roman"/>
                <w:color w:val="333333"/>
                <w:sz w:val="24"/>
                <w:szCs w:val="24"/>
              </w:rPr>
              <w:t>venituri</w:t>
            </w:r>
            <w:proofErr w:type="spellEnd"/>
            <w:r w:rsidRPr="00BB039C">
              <w:rPr>
                <w:rFonts w:ascii="Times New Roman" w:eastAsia="Times New Roman" w:hAnsi="Times New Roman" w:cs="Times New Roman"/>
                <w:color w:val="333333"/>
                <w:sz w:val="24"/>
                <w:szCs w:val="24"/>
              </w:rPr>
              <w:t>:</w:t>
            </w:r>
          </w:p>
          <w:p w14:paraId="6C07D542" w14:textId="77777777" w:rsidR="00B57BD8" w:rsidRPr="0034743D" w:rsidRDefault="00B57BD8" w:rsidP="00B57BD8">
            <w:pPr>
              <w:shd w:val="clear" w:color="auto" w:fill="FFFFFF"/>
              <w:rPr>
                <w:rFonts w:ascii="Times New Roman" w:eastAsia="Times New Roman" w:hAnsi="Times New Roman" w:cs="Times New Roman"/>
                <w:color w:val="333333"/>
                <w:sz w:val="24"/>
                <w:szCs w:val="24"/>
              </w:rPr>
            </w:pPr>
          </w:p>
          <w:p w14:paraId="038D30BA" w14:textId="77777777" w:rsidR="00B57BD8" w:rsidRPr="00BB039C" w:rsidRDefault="00B57BD8" w:rsidP="00B57BD8">
            <w:pPr>
              <w:shd w:val="clear" w:color="auto" w:fill="FFFFFF"/>
              <w:jc w:val="both"/>
              <w:rPr>
                <w:rFonts w:ascii="Times New Roman" w:eastAsia="Times New Roman" w:hAnsi="Times New Roman" w:cs="Times New Roman"/>
                <w:color w:val="333333"/>
                <w:sz w:val="24"/>
                <w:szCs w:val="24"/>
              </w:rPr>
            </w:pPr>
            <w:r w:rsidRPr="0034743D">
              <w:rPr>
                <w:rFonts w:ascii="Times New Roman" w:eastAsia="Times New Roman" w:hAnsi="Times New Roman" w:cs="Times New Roman"/>
                <w:color w:val="333333"/>
                <w:sz w:val="24"/>
                <w:szCs w:val="24"/>
              </w:rPr>
              <w:t xml:space="preserve">k) </w:t>
            </w:r>
            <w:proofErr w:type="spellStart"/>
            <w:r w:rsidRPr="0034743D">
              <w:rPr>
                <w:rFonts w:ascii="Times New Roman" w:eastAsia="Times New Roman" w:hAnsi="Times New Roman" w:cs="Times New Roman"/>
                <w:color w:val="333333"/>
                <w:sz w:val="24"/>
                <w:szCs w:val="24"/>
              </w:rPr>
              <w:t>indemnizaţii</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lunare</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acordate</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potrivit</w:t>
            </w:r>
            <w:proofErr w:type="spellEnd"/>
            <w:r w:rsidRPr="0034743D">
              <w:rPr>
                <w:rFonts w:ascii="Times New Roman" w:eastAsia="Times New Roman" w:hAnsi="Times New Roman" w:cs="Times New Roman"/>
                <w:color w:val="333333"/>
                <w:sz w:val="24"/>
                <w:szCs w:val="24"/>
              </w:rPr>
              <w:t xml:space="preserve"> art. 50 </w:t>
            </w:r>
            <w:proofErr w:type="spellStart"/>
            <w:r w:rsidRPr="0034743D">
              <w:rPr>
                <w:rFonts w:ascii="Times New Roman" w:eastAsia="Times New Roman" w:hAnsi="Times New Roman" w:cs="Times New Roman"/>
                <w:color w:val="333333"/>
                <w:sz w:val="24"/>
                <w:szCs w:val="24"/>
              </w:rPr>
              <w:t>alin</w:t>
            </w:r>
            <w:proofErr w:type="spellEnd"/>
            <w:r w:rsidRPr="0034743D">
              <w:rPr>
                <w:rFonts w:ascii="Times New Roman" w:eastAsia="Times New Roman" w:hAnsi="Times New Roman" w:cs="Times New Roman"/>
                <w:color w:val="333333"/>
                <w:sz w:val="24"/>
                <w:szCs w:val="24"/>
              </w:rPr>
              <w:t xml:space="preserve">. (1) din </w:t>
            </w:r>
            <w:proofErr w:type="spellStart"/>
            <w:r w:rsidRPr="0034743D">
              <w:rPr>
                <w:rFonts w:ascii="Times New Roman" w:eastAsia="Times New Roman" w:hAnsi="Times New Roman" w:cs="Times New Roman"/>
                <w:color w:val="333333"/>
                <w:sz w:val="24"/>
                <w:szCs w:val="24"/>
              </w:rPr>
              <w:t>Legea</w:t>
            </w:r>
            <w:proofErr w:type="spellEnd"/>
            <w:r w:rsidRPr="0034743D">
              <w:rPr>
                <w:rFonts w:ascii="Times New Roman" w:eastAsia="Times New Roman" w:hAnsi="Times New Roman" w:cs="Times New Roman"/>
                <w:color w:val="333333"/>
                <w:sz w:val="24"/>
                <w:szCs w:val="24"/>
              </w:rPr>
              <w:t xml:space="preserve"> nr. 273/2004, </w:t>
            </w:r>
            <w:proofErr w:type="spellStart"/>
            <w:r w:rsidRPr="0034743D">
              <w:rPr>
                <w:rFonts w:ascii="Times New Roman" w:eastAsia="Times New Roman" w:hAnsi="Times New Roman" w:cs="Times New Roman"/>
                <w:color w:val="333333"/>
                <w:sz w:val="24"/>
                <w:szCs w:val="24"/>
              </w:rPr>
              <w:t>republicată</w:t>
            </w:r>
            <w:proofErr w:type="spellEnd"/>
            <w:r w:rsidRPr="0034743D">
              <w:rPr>
                <w:rFonts w:ascii="Times New Roman" w:eastAsia="Times New Roman" w:hAnsi="Times New Roman" w:cs="Times New Roman"/>
                <w:color w:val="333333"/>
                <w:sz w:val="24"/>
                <w:szCs w:val="24"/>
              </w:rPr>
              <w:t xml:space="preserve">, cu </w:t>
            </w:r>
            <w:proofErr w:type="spellStart"/>
            <w:r w:rsidRPr="0034743D">
              <w:rPr>
                <w:rFonts w:ascii="Times New Roman" w:eastAsia="Times New Roman" w:hAnsi="Times New Roman" w:cs="Times New Roman"/>
                <w:color w:val="333333"/>
                <w:sz w:val="24"/>
                <w:szCs w:val="24"/>
              </w:rPr>
              <w:t>modificările</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şi</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completările</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ulterioare</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respectiv</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potrivit</w:t>
            </w:r>
            <w:proofErr w:type="spellEnd"/>
            <w:r w:rsidRPr="0034743D">
              <w:rPr>
                <w:rFonts w:ascii="Times New Roman" w:eastAsia="Times New Roman" w:hAnsi="Times New Roman" w:cs="Times New Roman"/>
                <w:color w:val="333333"/>
                <w:sz w:val="24"/>
                <w:szCs w:val="24"/>
              </w:rPr>
              <w:t xml:space="preserve"> art. 2 </w:t>
            </w:r>
            <w:proofErr w:type="spellStart"/>
            <w:r w:rsidRPr="0034743D">
              <w:rPr>
                <w:rFonts w:ascii="Times New Roman" w:eastAsia="Times New Roman" w:hAnsi="Times New Roman" w:cs="Times New Roman"/>
                <w:color w:val="333333"/>
                <w:sz w:val="24"/>
                <w:szCs w:val="24"/>
              </w:rPr>
              <w:t>alin</w:t>
            </w:r>
            <w:proofErr w:type="spellEnd"/>
            <w:r w:rsidRPr="0034743D">
              <w:rPr>
                <w:rFonts w:ascii="Times New Roman" w:eastAsia="Times New Roman" w:hAnsi="Times New Roman" w:cs="Times New Roman"/>
                <w:color w:val="333333"/>
                <w:sz w:val="24"/>
                <w:szCs w:val="24"/>
              </w:rPr>
              <w:t xml:space="preserve">. (1) </w:t>
            </w:r>
            <w:proofErr w:type="spellStart"/>
            <w:r w:rsidRPr="0034743D">
              <w:rPr>
                <w:rFonts w:ascii="Times New Roman" w:eastAsia="Times New Roman" w:hAnsi="Times New Roman" w:cs="Times New Roman"/>
                <w:color w:val="333333"/>
                <w:sz w:val="24"/>
                <w:szCs w:val="24"/>
              </w:rPr>
              <w:t>şi</w:t>
            </w:r>
            <w:proofErr w:type="spellEnd"/>
            <w:r w:rsidRPr="0034743D">
              <w:rPr>
                <w:rFonts w:ascii="Times New Roman" w:eastAsia="Times New Roman" w:hAnsi="Times New Roman" w:cs="Times New Roman"/>
                <w:color w:val="333333"/>
                <w:sz w:val="24"/>
                <w:szCs w:val="24"/>
              </w:rPr>
              <w:t xml:space="preserve"> art. 31 </w:t>
            </w:r>
            <w:proofErr w:type="spellStart"/>
            <w:r w:rsidRPr="0034743D">
              <w:rPr>
                <w:rFonts w:ascii="Times New Roman" w:eastAsia="Times New Roman" w:hAnsi="Times New Roman" w:cs="Times New Roman"/>
                <w:color w:val="333333"/>
                <w:sz w:val="24"/>
                <w:szCs w:val="24"/>
              </w:rPr>
              <w:t>alin</w:t>
            </w:r>
            <w:proofErr w:type="spellEnd"/>
            <w:r w:rsidRPr="0034743D">
              <w:rPr>
                <w:rFonts w:ascii="Times New Roman" w:eastAsia="Times New Roman" w:hAnsi="Times New Roman" w:cs="Times New Roman"/>
                <w:color w:val="333333"/>
                <w:sz w:val="24"/>
                <w:szCs w:val="24"/>
              </w:rPr>
              <w:t xml:space="preserve">. (2) din </w:t>
            </w:r>
            <w:proofErr w:type="spellStart"/>
            <w:r w:rsidRPr="0034743D">
              <w:rPr>
                <w:rFonts w:ascii="Times New Roman" w:eastAsia="Times New Roman" w:hAnsi="Times New Roman" w:cs="Times New Roman"/>
                <w:color w:val="333333"/>
                <w:sz w:val="24"/>
                <w:szCs w:val="24"/>
              </w:rPr>
              <w:t>Ordonanţa</w:t>
            </w:r>
            <w:proofErr w:type="spellEnd"/>
            <w:r w:rsidRPr="0034743D">
              <w:rPr>
                <w:rFonts w:ascii="Times New Roman" w:eastAsia="Times New Roman" w:hAnsi="Times New Roman" w:cs="Times New Roman"/>
                <w:color w:val="333333"/>
                <w:sz w:val="24"/>
                <w:szCs w:val="24"/>
              </w:rPr>
              <w:t xml:space="preserve"> de </w:t>
            </w:r>
            <w:proofErr w:type="spellStart"/>
            <w:r w:rsidRPr="0034743D">
              <w:rPr>
                <w:rFonts w:ascii="Times New Roman" w:eastAsia="Times New Roman" w:hAnsi="Times New Roman" w:cs="Times New Roman"/>
                <w:color w:val="333333"/>
                <w:sz w:val="24"/>
                <w:szCs w:val="24"/>
              </w:rPr>
              <w:t>urgenţă</w:t>
            </w:r>
            <w:proofErr w:type="spellEnd"/>
            <w:r w:rsidRPr="0034743D">
              <w:rPr>
                <w:rFonts w:ascii="Times New Roman" w:eastAsia="Times New Roman" w:hAnsi="Times New Roman" w:cs="Times New Roman"/>
                <w:color w:val="333333"/>
                <w:sz w:val="24"/>
                <w:szCs w:val="24"/>
              </w:rPr>
              <w:t xml:space="preserve"> a Guvernului nr. 111/2010, </w:t>
            </w:r>
            <w:proofErr w:type="spellStart"/>
            <w:r w:rsidRPr="0034743D">
              <w:rPr>
                <w:rFonts w:ascii="Times New Roman" w:eastAsia="Times New Roman" w:hAnsi="Times New Roman" w:cs="Times New Roman"/>
                <w:color w:val="333333"/>
                <w:sz w:val="24"/>
                <w:szCs w:val="24"/>
              </w:rPr>
              <w:t>aprobată</w:t>
            </w:r>
            <w:proofErr w:type="spellEnd"/>
            <w:r w:rsidRPr="0034743D">
              <w:rPr>
                <w:rFonts w:ascii="Times New Roman" w:eastAsia="Times New Roman" w:hAnsi="Times New Roman" w:cs="Times New Roman"/>
                <w:color w:val="333333"/>
                <w:sz w:val="24"/>
                <w:szCs w:val="24"/>
              </w:rPr>
              <w:t xml:space="preserve"> cu </w:t>
            </w:r>
            <w:proofErr w:type="spellStart"/>
            <w:r w:rsidRPr="0034743D">
              <w:rPr>
                <w:rFonts w:ascii="Times New Roman" w:eastAsia="Times New Roman" w:hAnsi="Times New Roman" w:cs="Times New Roman"/>
                <w:color w:val="333333"/>
                <w:sz w:val="24"/>
                <w:szCs w:val="24"/>
              </w:rPr>
              <w:t>modificări</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prin</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legea</w:t>
            </w:r>
            <w:proofErr w:type="spellEnd"/>
            <w:r w:rsidRPr="0034743D">
              <w:rPr>
                <w:rFonts w:ascii="Times New Roman" w:eastAsia="Times New Roman" w:hAnsi="Times New Roman" w:cs="Times New Roman"/>
                <w:color w:val="333333"/>
                <w:sz w:val="24"/>
                <w:szCs w:val="24"/>
              </w:rPr>
              <w:t xml:space="preserve"> nr. 132/2011, cu </w:t>
            </w:r>
            <w:proofErr w:type="spellStart"/>
            <w:r w:rsidRPr="0034743D">
              <w:rPr>
                <w:rFonts w:ascii="Times New Roman" w:eastAsia="Times New Roman" w:hAnsi="Times New Roman" w:cs="Times New Roman"/>
                <w:color w:val="333333"/>
                <w:sz w:val="24"/>
                <w:szCs w:val="24"/>
              </w:rPr>
              <w:t>modificările</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şi</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completările</w:t>
            </w:r>
            <w:proofErr w:type="spellEnd"/>
            <w:r w:rsidRPr="0034743D">
              <w:rPr>
                <w:rFonts w:ascii="Times New Roman" w:eastAsia="Times New Roman" w:hAnsi="Times New Roman" w:cs="Times New Roman"/>
                <w:color w:val="333333"/>
                <w:sz w:val="24"/>
                <w:szCs w:val="24"/>
              </w:rPr>
              <w:t xml:space="preserve"> </w:t>
            </w:r>
            <w:proofErr w:type="spellStart"/>
            <w:r w:rsidRPr="0034743D">
              <w:rPr>
                <w:rFonts w:ascii="Times New Roman" w:eastAsia="Times New Roman" w:hAnsi="Times New Roman" w:cs="Times New Roman"/>
                <w:color w:val="333333"/>
                <w:sz w:val="24"/>
                <w:szCs w:val="24"/>
              </w:rPr>
              <w:t>ulterioare</w:t>
            </w:r>
            <w:proofErr w:type="spellEnd"/>
          </w:p>
          <w:p w14:paraId="1DC27421" w14:textId="77777777" w:rsidR="00B57BD8" w:rsidRDefault="00B57BD8" w:rsidP="00B57BD8">
            <w:pPr>
              <w:jc w:val="both"/>
              <w:rPr>
                <w:rFonts w:ascii="Times New Roman" w:hAnsi="Times New Roman" w:cs="Times New Roman"/>
                <w:sz w:val="24"/>
                <w:szCs w:val="24"/>
                <w:lang w:val="ro-RO"/>
              </w:rPr>
            </w:pPr>
          </w:p>
        </w:tc>
        <w:tc>
          <w:tcPr>
            <w:tcW w:w="2765" w:type="dxa"/>
          </w:tcPr>
          <w:p w14:paraId="47EDC7D1" w14:textId="77777777" w:rsidR="00B57BD8" w:rsidRPr="00C401C6" w:rsidRDefault="00B57BD8" w:rsidP="00B57BD8">
            <w:pPr>
              <w:jc w:val="both"/>
              <w:rPr>
                <w:rFonts w:ascii="Times New Roman" w:hAnsi="Times New Roman" w:cs="Times New Roman"/>
                <w:sz w:val="24"/>
                <w:szCs w:val="24"/>
                <w:lang w:val="ro-RO"/>
              </w:rPr>
            </w:pPr>
          </w:p>
        </w:tc>
        <w:tc>
          <w:tcPr>
            <w:tcW w:w="5323" w:type="dxa"/>
          </w:tcPr>
          <w:p w14:paraId="49A8E498" w14:textId="77777777" w:rsidR="00B57BD8" w:rsidRPr="0034743D" w:rsidRDefault="00B57BD8" w:rsidP="00B57BD8">
            <w:pPr>
              <w:rPr>
                <w:rFonts w:ascii="Times New Roman" w:eastAsia="Times New Roman" w:hAnsi="Times New Roman" w:cs="Times New Roman"/>
                <w:color w:val="333333"/>
                <w:sz w:val="24"/>
                <w:szCs w:val="24"/>
                <w:shd w:val="clear" w:color="auto" w:fill="FFFFFF"/>
              </w:rPr>
            </w:pPr>
          </w:p>
          <w:p w14:paraId="124AD5B9" w14:textId="3382D5E0" w:rsidR="00B57BD8" w:rsidRPr="004D3F28" w:rsidRDefault="00B57BD8" w:rsidP="00B57BD8">
            <w:pPr>
              <w:jc w:val="both"/>
              <w:rPr>
                <w:rFonts w:ascii="Times New Roman" w:hAnsi="Times New Roman" w:cs="Times New Roman"/>
                <w:b/>
                <w:sz w:val="24"/>
                <w:szCs w:val="24"/>
                <w:lang w:val="it-CH"/>
              </w:rPr>
            </w:pPr>
            <w:r w:rsidRPr="004D3F28">
              <w:rPr>
                <w:rFonts w:ascii="Times New Roman" w:hAnsi="Times New Roman" w:cs="Times New Roman"/>
                <w:b/>
                <w:sz w:val="24"/>
                <w:szCs w:val="24"/>
                <w:lang w:val="it-CH"/>
              </w:rPr>
              <w:t>La articolul 15</w:t>
            </w:r>
            <w:r>
              <w:rPr>
                <w:rFonts w:ascii="Times New Roman" w:hAnsi="Times New Roman" w:cs="Times New Roman"/>
                <w:b/>
                <w:sz w:val="24"/>
                <w:szCs w:val="24"/>
                <w:lang w:val="it-CH"/>
              </w:rPr>
              <w:t>5</w:t>
            </w:r>
            <w:r w:rsidRPr="004D3F28">
              <w:rPr>
                <w:rFonts w:ascii="Times New Roman" w:hAnsi="Times New Roman" w:cs="Times New Roman"/>
                <w:b/>
                <w:sz w:val="24"/>
                <w:szCs w:val="24"/>
                <w:lang w:val="it-CH"/>
              </w:rPr>
              <w:t xml:space="preserve"> alineatul (1), litera k) se abrogă.</w:t>
            </w:r>
          </w:p>
          <w:p w14:paraId="5BF5DA32" w14:textId="77777777" w:rsidR="00B57BD8" w:rsidRPr="0034743D" w:rsidRDefault="00B57BD8" w:rsidP="00B57BD8">
            <w:pPr>
              <w:jc w:val="both"/>
              <w:rPr>
                <w:rFonts w:ascii="Times New Roman" w:eastAsia="Times New Roman" w:hAnsi="Times New Roman" w:cs="Times New Roman"/>
                <w:bCs/>
                <w:i/>
                <w:sz w:val="24"/>
                <w:szCs w:val="24"/>
                <w:lang w:val="ro-RO"/>
              </w:rPr>
            </w:pPr>
          </w:p>
          <w:p w14:paraId="36D7A490" w14:textId="77777777" w:rsidR="00B57BD8" w:rsidRPr="000F25C6" w:rsidRDefault="00B57BD8" w:rsidP="00B57BD8">
            <w:pPr>
              <w:jc w:val="both"/>
              <w:rPr>
                <w:rFonts w:ascii="Times New Roman" w:hAnsi="Times New Roman" w:cs="Times New Roman"/>
                <w:bCs/>
                <w:sz w:val="24"/>
                <w:szCs w:val="24"/>
                <w:lang w:val="ro-RO"/>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p>
          <w:p w14:paraId="08176EC0" w14:textId="77777777" w:rsidR="00B57BD8" w:rsidRPr="000F25C6" w:rsidRDefault="00B57BD8" w:rsidP="00B57BD8">
            <w:pPr>
              <w:shd w:val="clear" w:color="auto" w:fill="FFFFFF"/>
              <w:jc w:val="both"/>
              <w:rPr>
                <w:rFonts w:ascii="Times New Roman" w:hAnsi="Times New Roman" w:cs="Times New Roman"/>
                <w:b/>
                <w:sz w:val="24"/>
                <w:szCs w:val="24"/>
                <w:lang w:val="ro-RO"/>
              </w:rPr>
            </w:pPr>
          </w:p>
        </w:tc>
        <w:tc>
          <w:tcPr>
            <w:tcW w:w="3145" w:type="dxa"/>
          </w:tcPr>
          <w:p w14:paraId="6A9CCA06" w14:textId="77777777" w:rsidR="00B57BD8" w:rsidRPr="0034743D" w:rsidRDefault="00B57BD8" w:rsidP="00B57BD8">
            <w:pPr>
              <w:jc w:val="both"/>
              <w:rPr>
                <w:rFonts w:ascii="Times New Roman" w:hAnsi="Times New Roman" w:cs="Times New Roman"/>
                <w:b/>
                <w:sz w:val="24"/>
                <w:szCs w:val="24"/>
              </w:rPr>
            </w:pPr>
          </w:p>
          <w:p w14:paraId="06007CB7" w14:textId="77777777" w:rsidR="00B57BD8" w:rsidRPr="0034743D" w:rsidRDefault="00B57BD8" w:rsidP="00B57BD8">
            <w:pPr>
              <w:jc w:val="both"/>
              <w:rPr>
                <w:rFonts w:ascii="Times New Roman" w:eastAsia="Times New Roman" w:hAnsi="Times New Roman" w:cs="Times New Roman"/>
                <w:bCs/>
                <w:sz w:val="24"/>
                <w:szCs w:val="24"/>
                <w:lang w:val="ro-RO"/>
              </w:rPr>
            </w:pPr>
          </w:p>
        </w:tc>
      </w:tr>
      <w:tr w:rsidR="004A32EE" w:rsidRPr="00823DA7" w14:paraId="5F15CE59" w14:textId="77777777" w:rsidTr="00926D2B">
        <w:tc>
          <w:tcPr>
            <w:tcW w:w="687" w:type="dxa"/>
          </w:tcPr>
          <w:p w14:paraId="14CDAFAC" w14:textId="77777777" w:rsidR="004A32EE" w:rsidRPr="0034743D" w:rsidRDefault="004A32EE" w:rsidP="004A32EE">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7877AE1C" w14:textId="77777777" w:rsidR="004A32EE" w:rsidRPr="00823DA7" w:rsidRDefault="004A32EE" w:rsidP="004A32EE">
            <w:pPr>
              <w:rPr>
                <w:rFonts w:ascii="Times New Roman" w:eastAsia="Times New Roman" w:hAnsi="Times New Roman" w:cs="Times New Roman"/>
                <w:color w:val="333333"/>
                <w:sz w:val="24"/>
                <w:szCs w:val="24"/>
                <w:shd w:val="clear" w:color="auto" w:fill="F8D8A6"/>
                <w:lang w:val="ro-RO"/>
              </w:rPr>
            </w:pPr>
            <w:r w:rsidRPr="004A32EE">
              <w:rPr>
                <w:rFonts w:ascii="Times New Roman" w:eastAsia="Times New Roman" w:hAnsi="Times New Roman" w:cs="Times New Roman"/>
                <w:color w:val="333333"/>
                <w:sz w:val="24"/>
                <w:szCs w:val="24"/>
                <w:lang w:val="ro-RO"/>
              </w:rPr>
              <w:t>Art. 157</w:t>
            </w:r>
            <w:r w:rsidRPr="004A32EE">
              <w:rPr>
                <w:rFonts w:ascii="Times New Roman" w:eastAsia="Times New Roman" w:hAnsi="Times New Roman" w:cs="Times New Roman"/>
                <w:color w:val="333333"/>
                <w:sz w:val="24"/>
                <w:szCs w:val="24"/>
                <w:vertAlign w:val="superscript"/>
                <w:lang w:val="ro-RO"/>
              </w:rPr>
              <w:t>7</w:t>
            </w:r>
            <w:r w:rsidRPr="004A32EE">
              <w:rPr>
                <w:rFonts w:ascii="Times New Roman" w:eastAsia="Times New Roman" w:hAnsi="Times New Roman" w:cs="Times New Roman"/>
                <w:color w:val="333333"/>
                <w:sz w:val="24"/>
                <w:szCs w:val="24"/>
                <w:lang w:val="ro-RO"/>
              </w:rPr>
              <w:t xml:space="preserve">: Baza lunară de calcul al contribuţiei de asigurări sociale de sănătate datorate pentru persoanele </w:t>
            </w:r>
            <w:r w:rsidRPr="004A32EE">
              <w:rPr>
                <w:rFonts w:ascii="Times New Roman" w:eastAsia="Times New Roman" w:hAnsi="Times New Roman" w:cs="Times New Roman"/>
                <w:color w:val="333333"/>
                <w:sz w:val="24"/>
                <w:szCs w:val="24"/>
                <w:lang w:val="ro-RO"/>
              </w:rPr>
              <w:lastRenderedPageBreak/>
              <w:t xml:space="preserve">fizice care realizează venituri din cele prevăzute la art. 155 alin. </w:t>
            </w:r>
            <w:r w:rsidRPr="00823DA7">
              <w:rPr>
                <w:rFonts w:ascii="Times New Roman" w:eastAsia="Times New Roman" w:hAnsi="Times New Roman" w:cs="Times New Roman"/>
                <w:color w:val="333333"/>
                <w:sz w:val="24"/>
                <w:szCs w:val="24"/>
                <w:lang w:val="ro-RO"/>
              </w:rPr>
              <w:t>(1) lit. k)</w:t>
            </w:r>
            <w:r w:rsidRPr="00823DA7">
              <w:rPr>
                <w:rFonts w:ascii="Times New Roman" w:eastAsia="Times New Roman" w:hAnsi="Times New Roman" w:cs="Times New Roman"/>
                <w:color w:val="333333"/>
                <w:sz w:val="24"/>
                <w:szCs w:val="24"/>
                <w:shd w:val="clear" w:color="auto" w:fill="F8D8A6"/>
                <w:lang w:val="ro-RO"/>
              </w:rPr>
              <w:t xml:space="preserve"> </w:t>
            </w:r>
          </w:p>
          <w:p w14:paraId="225F53C5" w14:textId="77777777" w:rsidR="004A32EE" w:rsidRPr="00823DA7" w:rsidRDefault="004A32EE" w:rsidP="004A32EE">
            <w:pPr>
              <w:rPr>
                <w:rFonts w:ascii="Times New Roman" w:eastAsia="Times New Roman" w:hAnsi="Times New Roman" w:cs="Times New Roman"/>
                <w:sz w:val="24"/>
                <w:szCs w:val="24"/>
                <w:lang w:val="ro-RO"/>
              </w:rPr>
            </w:pPr>
          </w:p>
          <w:p w14:paraId="3E1D801D" w14:textId="77777777" w:rsidR="004A32EE" w:rsidRPr="004D3F28" w:rsidRDefault="004A32EE" w:rsidP="004A32EE">
            <w:pPr>
              <w:jc w:val="both"/>
              <w:rPr>
                <w:rFonts w:ascii="Times New Roman" w:eastAsia="Times New Roman" w:hAnsi="Times New Roman" w:cs="Times New Roman"/>
                <w:sz w:val="24"/>
                <w:szCs w:val="24"/>
                <w:lang w:val="pt-PT"/>
              </w:rPr>
            </w:pPr>
            <w:r w:rsidRPr="00823DA7">
              <w:rPr>
                <w:rFonts w:ascii="Times New Roman" w:eastAsia="Times New Roman" w:hAnsi="Times New Roman" w:cs="Times New Roman"/>
                <w:sz w:val="24"/>
                <w:szCs w:val="24"/>
                <w:lang w:val="ro-RO"/>
              </w:rPr>
              <w:t xml:space="preserve">Baza lunară de calcul al contribuţiei de asigurări sociale de sănătate datorate de persoanele fizice care realizează venituri din indemnizaţii de natura celor prevăzute la art. 155 alin. </w:t>
            </w:r>
            <w:r w:rsidRPr="004D3F28">
              <w:rPr>
                <w:rFonts w:ascii="Times New Roman" w:eastAsia="Times New Roman" w:hAnsi="Times New Roman" w:cs="Times New Roman"/>
                <w:sz w:val="24"/>
                <w:szCs w:val="24"/>
                <w:lang w:val="pt-PT"/>
              </w:rPr>
              <w:t>(1) lit. k) o reprezintă cuantumul indemnizaţiei de care acestea beneficiază conform legii.</w:t>
            </w:r>
          </w:p>
          <w:p w14:paraId="31D91A26" w14:textId="77777777" w:rsidR="004A32EE" w:rsidRPr="004A32EE" w:rsidRDefault="004A32EE" w:rsidP="004A32EE">
            <w:pPr>
              <w:rPr>
                <w:rFonts w:ascii="Times New Roman" w:eastAsia="Times New Roman" w:hAnsi="Times New Roman" w:cs="Times New Roman"/>
                <w:color w:val="333333"/>
                <w:sz w:val="24"/>
                <w:szCs w:val="24"/>
                <w:shd w:val="clear" w:color="auto" w:fill="FFFFFF"/>
                <w:lang w:val="pt-PT"/>
              </w:rPr>
            </w:pPr>
          </w:p>
        </w:tc>
        <w:tc>
          <w:tcPr>
            <w:tcW w:w="2765" w:type="dxa"/>
          </w:tcPr>
          <w:p w14:paraId="07BB1DB8" w14:textId="6555240E" w:rsidR="004A32EE" w:rsidRPr="00C401C6" w:rsidRDefault="004A32EE" w:rsidP="004A32EE">
            <w:pPr>
              <w:jc w:val="both"/>
              <w:rPr>
                <w:rFonts w:ascii="Times New Roman" w:hAnsi="Times New Roman" w:cs="Times New Roman"/>
                <w:sz w:val="24"/>
                <w:szCs w:val="24"/>
                <w:lang w:val="ro-RO"/>
              </w:rPr>
            </w:pPr>
          </w:p>
          <w:p w14:paraId="70CCF446" w14:textId="4B22B7D6" w:rsidR="004A32EE" w:rsidRPr="00C401C6" w:rsidRDefault="004A32EE" w:rsidP="004A32EE">
            <w:pPr>
              <w:jc w:val="both"/>
              <w:rPr>
                <w:rFonts w:ascii="Times New Roman" w:hAnsi="Times New Roman" w:cs="Times New Roman"/>
                <w:sz w:val="24"/>
                <w:szCs w:val="24"/>
                <w:lang w:val="ro-RO"/>
              </w:rPr>
            </w:pPr>
          </w:p>
        </w:tc>
        <w:tc>
          <w:tcPr>
            <w:tcW w:w="5323" w:type="dxa"/>
          </w:tcPr>
          <w:p w14:paraId="6651C21D" w14:textId="77777777" w:rsidR="004A32EE" w:rsidRPr="004D3F28" w:rsidRDefault="004A32EE" w:rsidP="004A32EE">
            <w:pPr>
              <w:jc w:val="both"/>
              <w:rPr>
                <w:rFonts w:ascii="Times New Roman" w:hAnsi="Times New Roman" w:cs="Times New Roman"/>
                <w:b/>
                <w:sz w:val="24"/>
                <w:szCs w:val="24"/>
                <w:lang w:val="it-CH"/>
              </w:rPr>
            </w:pPr>
            <w:r w:rsidRPr="004D3F28">
              <w:rPr>
                <w:rFonts w:ascii="Times New Roman" w:hAnsi="Times New Roman" w:cs="Times New Roman"/>
                <w:b/>
                <w:sz w:val="24"/>
                <w:szCs w:val="24"/>
                <w:lang w:val="it-CH"/>
              </w:rPr>
              <w:t>Articolul 157</w:t>
            </w:r>
            <w:r w:rsidRPr="004D3F28">
              <w:rPr>
                <w:rFonts w:ascii="Times New Roman" w:hAnsi="Times New Roman" w:cs="Times New Roman"/>
                <w:b/>
                <w:sz w:val="24"/>
                <w:szCs w:val="24"/>
                <w:vertAlign w:val="superscript"/>
                <w:lang w:val="it-CH"/>
              </w:rPr>
              <w:t>7</w:t>
            </w:r>
            <w:r w:rsidRPr="004D3F28">
              <w:rPr>
                <w:rFonts w:ascii="Times New Roman" w:hAnsi="Times New Roman" w:cs="Times New Roman"/>
                <w:b/>
                <w:sz w:val="24"/>
                <w:szCs w:val="24"/>
                <w:lang w:val="it-CH"/>
              </w:rPr>
              <w:t xml:space="preserve"> se abrogă.</w:t>
            </w:r>
          </w:p>
          <w:p w14:paraId="6990B85C" w14:textId="77777777" w:rsidR="004A32EE" w:rsidRPr="004D3F28" w:rsidRDefault="004A32EE" w:rsidP="004A32EE">
            <w:pPr>
              <w:jc w:val="both"/>
              <w:rPr>
                <w:rFonts w:ascii="Times New Roman" w:hAnsi="Times New Roman" w:cs="Times New Roman"/>
                <w:b/>
                <w:sz w:val="24"/>
                <w:szCs w:val="24"/>
                <w:lang w:val="it-CH"/>
              </w:rPr>
            </w:pPr>
          </w:p>
          <w:p w14:paraId="736CB06D" w14:textId="77777777" w:rsidR="004A32EE" w:rsidRPr="000F25C6" w:rsidRDefault="004A32EE" w:rsidP="004A32EE">
            <w:pPr>
              <w:jc w:val="both"/>
              <w:rPr>
                <w:rFonts w:ascii="Times New Roman" w:hAnsi="Times New Roman" w:cs="Times New Roman"/>
                <w:bCs/>
                <w:sz w:val="24"/>
                <w:szCs w:val="24"/>
                <w:lang w:val="ro-RO"/>
              </w:rPr>
            </w:pPr>
            <w:r>
              <w:rPr>
                <w:rFonts w:ascii="Times New Roman" w:hAnsi="Times New Roman" w:cs="Times New Roman"/>
                <w:i/>
                <w:iCs/>
                <w:sz w:val="24"/>
                <w:szCs w:val="24"/>
              </w:rPr>
              <w:t xml:space="preserve">Autor: </w:t>
            </w:r>
            <w:proofErr w:type="spellStart"/>
            <w:r w:rsidRPr="00FE419C">
              <w:rPr>
                <w:rFonts w:ascii="Times New Roman" w:hAnsi="Times New Roman" w:cs="Times New Roman"/>
                <w:i/>
                <w:iCs/>
                <w:sz w:val="24"/>
                <w:szCs w:val="24"/>
              </w:rPr>
              <w:t>Grup</w:t>
            </w:r>
            <w:proofErr w:type="spellEnd"/>
            <w:r w:rsidRPr="00FE419C">
              <w:rPr>
                <w:rFonts w:ascii="Times New Roman" w:hAnsi="Times New Roman" w:cs="Times New Roman"/>
                <w:i/>
                <w:iCs/>
                <w:sz w:val="24"/>
                <w:szCs w:val="24"/>
              </w:rPr>
              <w:t xml:space="preserve"> PSD</w:t>
            </w:r>
          </w:p>
          <w:p w14:paraId="01C424C8" w14:textId="5E0C1BBE" w:rsidR="004A32EE" w:rsidRPr="004A32EE" w:rsidRDefault="004A32EE" w:rsidP="004A32EE">
            <w:pPr>
              <w:rPr>
                <w:rFonts w:ascii="Times New Roman" w:eastAsia="Times New Roman" w:hAnsi="Times New Roman" w:cs="Times New Roman"/>
                <w:color w:val="333333"/>
                <w:sz w:val="24"/>
                <w:szCs w:val="24"/>
                <w:shd w:val="clear" w:color="auto" w:fill="FFFFFF"/>
                <w:lang w:val="it-CH"/>
              </w:rPr>
            </w:pPr>
          </w:p>
        </w:tc>
        <w:tc>
          <w:tcPr>
            <w:tcW w:w="3145" w:type="dxa"/>
          </w:tcPr>
          <w:p w14:paraId="5CC3D02A" w14:textId="119138F2" w:rsidR="004A32EE" w:rsidRPr="004A32EE" w:rsidRDefault="004A32EE" w:rsidP="004A32EE">
            <w:pPr>
              <w:jc w:val="both"/>
              <w:rPr>
                <w:rFonts w:ascii="Times New Roman" w:hAnsi="Times New Roman" w:cs="Times New Roman"/>
                <w:b/>
                <w:sz w:val="24"/>
                <w:szCs w:val="24"/>
                <w:lang w:val="it-CH"/>
              </w:rPr>
            </w:pPr>
            <w:r w:rsidRPr="0034743D">
              <w:rPr>
                <w:rFonts w:ascii="Times New Roman" w:eastAsia="Times New Roman" w:hAnsi="Times New Roman" w:cs="Times New Roman"/>
                <w:bCs/>
                <w:sz w:val="24"/>
                <w:szCs w:val="24"/>
                <w:lang w:val="ro-MD"/>
              </w:rPr>
              <w:t>Corelare cu modificările propuse anterior</w:t>
            </w:r>
          </w:p>
        </w:tc>
      </w:tr>
      <w:tr w:rsidR="00681F55" w:rsidRPr="00D6489A" w14:paraId="32CEA964" w14:textId="77777777" w:rsidTr="00926D2B">
        <w:tc>
          <w:tcPr>
            <w:tcW w:w="687" w:type="dxa"/>
          </w:tcPr>
          <w:p w14:paraId="5BBC7558" w14:textId="77777777" w:rsidR="00681F55" w:rsidRPr="0034743D" w:rsidRDefault="00681F55" w:rsidP="00681F55">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67EE8543" w14:textId="77777777" w:rsidR="00681F55" w:rsidRPr="004A32EE" w:rsidRDefault="00681F55" w:rsidP="00681F55">
            <w:pPr>
              <w:rPr>
                <w:rFonts w:ascii="Times New Roman" w:eastAsia="Times New Roman" w:hAnsi="Times New Roman" w:cs="Times New Roman"/>
                <w:color w:val="333333"/>
                <w:sz w:val="24"/>
                <w:szCs w:val="24"/>
                <w:lang w:val="ro-RO"/>
              </w:rPr>
            </w:pPr>
          </w:p>
        </w:tc>
        <w:tc>
          <w:tcPr>
            <w:tcW w:w="2765" w:type="dxa"/>
          </w:tcPr>
          <w:p w14:paraId="447B4271" w14:textId="77777777" w:rsidR="00681F55" w:rsidRPr="00C401C6" w:rsidRDefault="00681F55" w:rsidP="00681F55">
            <w:pPr>
              <w:jc w:val="both"/>
              <w:rPr>
                <w:rFonts w:ascii="Times New Roman" w:hAnsi="Times New Roman" w:cs="Times New Roman"/>
                <w:sz w:val="24"/>
                <w:szCs w:val="24"/>
                <w:lang w:val="ro-RO"/>
              </w:rPr>
            </w:pPr>
          </w:p>
        </w:tc>
        <w:tc>
          <w:tcPr>
            <w:tcW w:w="5323" w:type="dxa"/>
          </w:tcPr>
          <w:p w14:paraId="397F4C12" w14:textId="77777777" w:rsidR="00681F55" w:rsidRPr="004D3F28" w:rsidRDefault="00681F55" w:rsidP="00681F55">
            <w:pPr>
              <w:jc w:val="both"/>
              <w:rPr>
                <w:rFonts w:ascii="Times New Roman" w:hAnsi="Times New Roman" w:cs="Times New Roman"/>
                <w:bCs/>
                <w:sz w:val="24"/>
                <w:szCs w:val="24"/>
                <w:lang w:val="it-CH"/>
              </w:rPr>
            </w:pPr>
          </w:p>
          <w:p w14:paraId="63961652" w14:textId="6A0B9643" w:rsidR="00681F55" w:rsidRPr="004D3F28" w:rsidRDefault="00681F55" w:rsidP="00681F55">
            <w:pPr>
              <w:jc w:val="both"/>
              <w:rPr>
                <w:rFonts w:ascii="Times New Roman" w:hAnsi="Times New Roman" w:cs="Times New Roman"/>
                <w:b/>
                <w:sz w:val="24"/>
                <w:szCs w:val="24"/>
                <w:lang w:val="it-CH"/>
              </w:rPr>
            </w:pPr>
            <w:r w:rsidRPr="004D3F28">
              <w:rPr>
                <w:rFonts w:ascii="Times New Roman" w:hAnsi="Times New Roman" w:cs="Times New Roman"/>
                <w:b/>
                <w:sz w:val="24"/>
                <w:szCs w:val="24"/>
                <w:lang w:val="it-CH"/>
              </w:rPr>
              <w:t>După articolul 157</w:t>
            </w:r>
            <w:r w:rsidRPr="004D3F28">
              <w:rPr>
                <w:rFonts w:ascii="Times New Roman" w:hAnsi="Times New Roman" w:cs="Times New Roman"/>
                <w:b/>
                <w:sz w:val="24"/>
                <w:szCs w:val="24"/>
                <w:vertAlign w:val="superscript"/>
                <w:lang w:val="it-CH"/>
              </w:rPr>
              <w:t>9</w:t>
            </w:r>
            <w:r w:rsidRPr="004D3F28">
              <w:rPr>
                <w:rFonts w:ascii="Times New Roman" w:hAnsi="Times New Roman" w:cs="Times New Roman"/>
                <w:b/>
                <w:sz w:val="24"/>
                <w:szCs w:val="24"/>
                <w:lang w:val="it-CH"/>
              </w:rPr>
              <w:t xml:space="preserve"> se introduce un nou articol, art.157</w:t>
            </w:r>
            <w:r w:rsidRPr="004D3F28">
              <w:rPr>
                <w:rFonts w:ascii="Times New Roman" w:hAnsi="Times New Roman" w:cs="Times New Roman"/>
                <w:b/>
                <w:sz w:val="24"/>
                <w:szCs w:val="24"/>
                <w:vertAlign w:val="superscript"/>
                <w:lang w:val="it-CH"/>
              </w:rPr>
              <w:t>10</w:t>
            </w:r>
            <w:r w:rsidRPr="004D3F28">
              <w:rPr>
                <w:rFonts w:ascii="Times New Roman" w:hAnsi="Times New Roman" w:cs="Times New Roman"/>
                <w:b/>
                <w:sz w:val="24"/>
                <w:szCs w:val="24"/>
                <w:lang w:val="it-CH"/>
              </w:rPr>
              <w:t>, cu următorul cuprins:</w:t>
            </w:r>
          </w:p>
          <w:p w14:paraId="0FE32215" w14:textId="77777777" w:rsidR="00681F55" w:rsidRPr="004D3F28" w:rsidRDefault="00681F55" w:rsidP="00681F55">
            <w:pPr>
              <w:jc w:val="both"/>
              <w:rPr>
                <w:rFonts w:ascii="Times New Roman" w:hAnsi="Times New Roman" w:cs="Times New Roman"/>
                <w:bCs/>
                <w:sz w:val="24"/>
                <w:szCs w:val="24"/>
                <w:lang w:val="it-CH"/>
              </w:rPr>
            </w:pPr>
            <w:r w:rsidRPr="004D3F28">
              <w:rPr>
                <w:rFonts w:ascii="Times New Roman" w:hAnsi="Times New Roman" w:cs="Times New Roman"/>
                <w:bCs/>
                <w:sz w:val="24"/>
                <w:szCs w:val="24"/>
                <w:lang w:val="it-CH"/>
              </w:rPr>
              <w:t>Art. 157</w:t>
            </w:r>
            <w:r w:rsidRPr="004D3F28">
              <w:rPr>
                <w:rFonts w:ascii="Times New Roman" w:hAnsi="Times New Roman" w:cs="Times New Roman"/>
                <w:bCs/>
                <w:sz w:val="24"/>
                <w:szCs w:val="24"/>
                <w:vertAlign w:val="superscript"/>
                <w:lang w:val="it-CH"/>
              </w:rPr>
              <w:t>10</w:t>
            </w:r>
            <w:r w:rsidRPr="004D3F28">
              <w:rPr>
                <w:rFonts w:ascii="Times New Roman" w:hAnsi="Times New Roman" w:cs="Times New Roman"/>
                <w:bCs/>
                <w:sz w:val="24"/>
                <w:szCs w:val="24"/>
                <w:lang w:val="it-CH"/>
              </w:rPr>
              <w:t>: Baza de calcul al contribuţiei de asigurări sociale de sănătate datorată pentru persoanele fizice care beneficiază de indemnizaţie lunară pe perioada concediului de acomodare, precum şi pentru persoanele fizice care beneficiază de indemnizaţie pentru creşterea copilului</w:t>
            </w:r>
          </w:p>
          <w:p w14:paraId="179F2E63" w14:textId="77777777" w:rsidR="00681F55" w:rsidRPr="004D3F28" w:rsidRDefault="00681F55" w:rsidP="00681F55">
            <w:pPr>
              <w:jc w:val="both"/>
              <w:rPr>
                <w:rFonts w:ascii="Times New Roman" w:hAnsi="Times New Roman" w:cs="Times New Roman"/>
                <w:bCs/>
                <w:sz w:val="24"/>
                <w:szCs w:val="24"/>
                <w:lang w:val="it-CH"/>
              </w:rPr>
            </w:pPr>
          </w:p>
          <w:p w14:paraId="50C34CA1" w14:textId="77777777" w:rsidR="00681F55" w:rsidRPr="004D3F28" w:rsidRDefault="00681F55" w:rsidP="00681F55">
            <w:pPr>
              <w:jc w:val="both"/>
              <w:rPr>
                <w:rFonts w:ascii="Times New Roman" w:hAnsi="Times New Roman" w:cs="Times New Roman"/>
                <w:bCs/>
                <w:sz w:val="24"/>
                <w:szCs w:val="24"/>
                <w:lang w:val="it-CH"/>
              </w:rPr>
            </w:pPr>
            <w:r w:rsidRPr="004D3F28">
              <w:rPr>
                <w:rFonts w:ascii="Times New Roman" w:hAnsi="Times New Roman" w:cs="Times New Roman"/>
                <w:bCs/>
                <w:sz w:val="24"/>
                <w:szCs w:val="24"/>
                <w:lang w:val="it-CH"/>
              </w:rPr>
              <w:t>(1)</w:t>
            </w:r>
            <w:r w:rsidRPr="004D3F28">
              <w:rPr>
                <w:rFonts w:ascii="Times New Roman" w:hAnsi="Times New Roman" w:cs="Times New Roman"/>
                <w:bCs/>
                <w:sz w:val="24"/>
                <w:szCs w:val="24"/>
                <w:lang w:val="it-CH"/>
              </w:rPr>
              <w:tab/>
              <w:t>Pentru persoanele fizice care beneficiază de indemnizaţie lunară pe perioada concediului de acomodare potrivit Legii nr. 273/2004, republicată, cu modificările şi completările ulterioare, baza lunară de calcul al contribuţiei de asigurări sociale de sănătate o reprezintă indemnizaţia lunară. Contribuţia se suportă de la bugetul de stat.</w:t>
            </w:r>
          </w:p>
          <w:p w14:paraId="6F5F8CF5" w14:textId="77777777" w:rsidR="00681F55" w:rsidRPr="004D3F28" w:rsidRDefault="00681F55" w:rsidP="00681F55">
            <w:pPr>
              <w:jc w:val="both"/>
              <w:rPr>
                <w:rFonts w:ascii="Times New Roman" w:hAnsi="Times New Roman" w:cs="Times New Roman"/>
                <w:bCs/>
                <w:sz w:val="24"/>
                <w:szCs w:val="24"/>
                <w:lang w:val="it-CH"/>
              </w:rPr>
            </w:pPr>
          </w:p>
          <w:p w14:paraId="3FAF965B" w14:textId="77777777" w:rsidR="00681F55" w:rsidRPr="004D3F28" w:rsidRDefault="00681F55" w:rsidP="00681F55">
            <w:pPr>
              <w:jc w:val="both"/>
              <w:rPr>
                <w:rFonts w:ascii="Times New Roman" w:hAnsi="Times New Roman" w:cs="Times New Roman"/>
                <w:bCs/>
                <w:sz w:val="24"/>
                <w:szCs w:val="24"/>
                <w:lang w:val="it-CH"/>
              </w:rPr>
            </w:pPr>
            <w:r w:rsidRPr="004D3F28">
              <w:rPr>
                <w:rFonts w:ascii="Times New Roman" w:hAnsi="Times New Roman" w:cs="Times New Roman"/>
                <w:bCs/>
                <w:sz w:val="24"/>
                <w:szCs w:val="24"/>
                <w:lang w:val="it-CH"/>
              </w:rPr>
              <w:lastRenderedPageBreak/>
              <w:t>(2)</w:t>
            </w:r>
            <w:r w:rsidRPr="004D3F28">
              <w:rPr>
                <w:rFonts w:ascii="Times New Roman" w:hAnsi="Times New Roman" w:cs="Times New Roman"/>
                <w:bCs/>
                <w:sz w:val="24"/>
                <w:szCs w:val="24"/>
                <w:lang w:val="it-CH"/>
              </w:rPr>
              <w:tab/>
              <w:t>Pentru persoanele fizice care beneficiază de indemnizaţie pentru creşterea copilului potrivit Ordonanţei de urgenţă a Guvernului nr. 111/2010, aprobată cu modificări prin Legea nr. 132/2011, cu modificările şi completările ulterioare, baza lunară de calcul al contribuţiei de asigurări sociale de sănătate o reprezintă indemnizaţia pentru creşterea copilului. Contribuţia se suportă de la bugetul de stat.</w:t>
            </w:r>
          </w:p>
          <w:p w14:paraId="4E27E492" w14:textId="77777777" w:rsidR="00681F55" w:rsidRPr="004D3F28" w:rsidRDefault="00681F55" w:rsidP="00681F55">
            <w:pPr>
              <w:jc w:val="both"/>
              <w:rPr>
                <w:rFonts w:ascii="Times New Roman" w:hAnsi="Times New Roman" w:cs="Times New Roman"/>
                <w:bCs/>
                <w:sz w:val="24"/>
                <w:szCs w:val="24"/>
                <w:lang w:val="it-CH"/>
              </w:rPr>
            </w:pPr>
          </w:p>
          <w:p w14:paraId="6B7881C3" w14:textId="77777777" w:rsidR="00681F55" w:rsidRPr="004D3F28" w:rsidRDefault="00681F55" w:rsidP="00681F55">
            <w:pPr>
              <w:jc w:val="both"/>
              <w:rPr>
                <w:rFonts w:ascii="Times New Roman" w:hAnsi="Times New Roman" w:cs="Times New Roman"/>
                <w:bCs/>
                <w:sz w:val="24"/>
                <w:szCs w:val="24"/>
                <w:lang w:val="it-CH"/>
              </w:rPr>
            </w:pPr>
            <w:r w:rsidRPr="004D3F28">
              <w:rPr>
                <w:rFonts w:ascii="Times New Roman" w:hAnsi="Times New Roman" w:cs="Times New Roman"/>
                <w:bCs/>
                <w:sz w:val="24"/>
                <w:szCs w:val="24"/>
                <w:lang w:val="it-CH"/>
              </w:rPr>
              <w:t>(3) În situaţia în care veniturile bază de calcul prevăzute la alin. (1) şi (2) depăşesc valoarea a de 5 ori câştigul salarial mediu brut prevăzut la art. 143 alin. (2), contribuţia individuală de asigurări sociale de sănătate se calculează în limita acestui plafon.”</w:t>
            </w:r>
          </w:p>
          <w:p w14:paraId="0917160C" w14:textId="77777777" w:rsidR="00681F55" w:rsidRPr="004D3F28" w:rsidRDefault="00681F55" w:rsidP="00681F55">
            <w:pPr>
              <w:jc w:val="both"/>
              <w:rPr>
                <w:rFonts w:ascii="Times New Roman" w:hAnsi="Times New Roman" w:cs="Times New Roman"/>
                <w:b/>
                <w:sz w:val="24"/>
                <w:szCs w:val="24"/>
                <w:lang w:val="it-CH"/>
              </w:rPr>
            </w:pPr>
          </w:p>
          <w:p w14:paraId="4BABD044" w14:textId="77777777" w:rsidR="005C63BC" w:rsidRPr="0034743D" w:rsidRDefault="005C63BC" w:rsidP="005C63BC">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47B0C07E" w14:textId="0573EF31" w:rsidR="00681F55" w:rsidRPr="004D3F28" w:rsidRDefault="00681F55" w:rsidP="00681F55">
            <w:pPr>
              <w:jc w:val="both"/>
              <w:rPr>
                <w:rFonts w:ascii="Times New Roman" w:hAnsi="Times New Roman" w:cs="Times New Roman"/>
                <w:b/>
                <w:sz w:val="24"/>
                <w:szCs w:val="24"/>
                <w:lang w:val="it-CH"/>
              </w:rPr>
            </w:pPr>
          </w:p>
        </w:tc>
        <w:tc>
          <w:tcPr>
            <w:tcW w:w="3145" w:type="dxa"/>
          </w:tcPr>
          <w:p w14:paraId="2D72DA62" w14:textId="77777777" w:rsidR="00681F55" w:rsidRPr="0034743D" w:rsidRDefault="00681F55" w:rsidP="00681F55">
            <w:pPr>
              <w:jc w:val="both"/>
              <w:rPr>
                <w:rFonts w:ascii="Times New Roman" w:eastAsia="Times New Roman" w:hAnsi="Times New Roman" w:cs="Times New Roman"/>
                <w:bCs/>
                <w:color w:val="EE0000"/>
                <w:sz w:val="24"/>
                <w:szCs w:val="24"/>
                <w:lang w:val="ro-MD"/>
              </w:rPr>
            </w:pPr>
          </w:p>
          <w:p w14:paraId="28380AE2" w14:textId="77777777" w:rsidR="00681F55" w:rsidRPr="0034743D" w:rsidRDefault="00681F55" w:rsidP="00681F55">
            <w:pPr>
              <w:jc w:val="both"/>
              <w:rPr>
                <w:rFonts w:ascii="Times New Roman" w:eastAsia="Times New Roman" w:hAnsi="Times New Roman" w:cs="Times New Roman"/>
                <w:bCs/>
                <w:color w:val="EE0000"/>
                <w:sz w:val="24"/>
                <w:szCs w:val="24"/>
                <w:lang w:val="ro-MD"/>
              </w:rPr>
            </w:pPr>
          </w:p>
          <w:p w14:paraId="62D57AA3" w14:textId="599085D8" w:rsidR="00681F55" w:rsidRPr="0034743D" w:rsidRDefault="00681F55" w:rsidP="00681F55">
            <w:pPr>
              <w:jc w:val="both"/>
              <w:rPr>
                <w:rFonts w:ascii="Times New Roman" w:eastAsia="Times New Roman" w:hAnsi="Times New Roman" w:cs="Times New Roman"/>
                <w:bCs/>
                <w:sz w:val="24"/>
                <w:szCs w:val="24"/>
                <w:lang w:val="ro-MD"/>
              </w:rPr>
            </w:pPr>
            <w:r w:rsidRPr="00681F55">
              <w:rPr>
                <w:rFonts w:ascii="Times New Roman" w:eastAsia="Times New Roman" w:hAnsi="Times New Roman" w:cs="Times New Roman"/>
                <w:bCs/>
                <w:sz w:val="24"/>
                <w:szCs w:val="24"/>
                <w:lang w:val="ro-MD"/>
              </w:rPr>
              <w:t>Este necesară reintroducerea acestor prevederi, ca urmare a modificărilor propuse anterior</w:t>
            </w:r>
          </w:p>
        </w:tc>
      </w:tr>
      <w:tr w:rsidR="00720B83" w:rsidRPr="00D6489A" w14:paraId="71883D82" w14:textId="77777777" w:rsidTr="00926D2B">
        <w:tc>
          <w:tcPr>
            <w:tcW w:w="687" w:type="dxa"/>
          </w:tcPr>
          <w:p w14:paraId="5F5106CA" w14:textId="77777777" w:rsidR="00720B83" w:rsidRPr="0034743D" w:rsidRDefault="00720B83" w:rsidP="00681F55">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427E5637" w14:textId="57CFBEE2" w:rsidR="00720B83" w:rsidRPr="004A32EE" w:rsidRDefault="00720B83" w:rsidP="00720B83">
            <w:pPr>
              <w:rPr>
                <w:rFonts w:ascii="Times New Roman" w:eastAsia="Times New Roman" w:hAnsi="Times New Roman" w:cs="Times New Roman"/>
                <w:color w:val="333333"/>
                <w:sz w:val="24"/>
                <w:szCs w:val="24"/>
                <w:lang w:val="ro-RO"/>
              </w:rPr>
            </w:pPr>
            <w:r w:rsidRPr="00720B83">
              <w:rPr>
                <w:rFonts w:ascii="Times New Roman" w:eastAsia="Times New Roman" w:hAnsi="Times New Roman" w:cs="Times New Roman"/>
                <w:color w:val="333333"/>
                <w:sz w:val="24"/>
                <w:szCs w:val="24"/>
              </w:rPr>
              <w:t xml:space="preserve">Art. 297: Sfera de </w:t>
            </w:r>
            <w:proofErr w:type="spellStart"/>
            <w:r w:rsidRPr="00720B83">
              <w:rPr>
                <w:rFonts w:ascii="Times New Roman" w:eastAsia="Times New Roman" w:hAnsi="Times New Roman" w:cs="Times New Roman"/>
                <w:color w:val="333333"/>
                <w:sz w:val="24"/>
                <w:szCs w:val="24"/>
              </w:rPr>
              <w:t>aplicare</w:t>
            </w:r>
            <w:proofErr w:type="spellEnd"/>
            <w:r w:rsidRPr="00720B83">
              <w:rPr>
                <w:rFonts w:ascii="Times New Roman" w:eastAsia="Times New Roman" w:hAnsi="Times New Roman" w:cs="Times New Roman"/>
                <w:color w:val="333333"/>
                <w:sz w:val="24"/>
                <w:szCs w:val="24"/>
              </w:rPr>
              <w:t xml:space="preserve"> a </w:t>
            </w:r>
            <w:proofErr w:type="spellStart"/>
            <w:r w:rsidRPr="00720B83">
              <w:rPr>
                <w:rFonts w:ascii="Times New Roman" w:eastAsia="Times New Roman" w:hAnsi="Times New Roman" w:cs="Times New Roman"/>
                <w:color w:val="333333"/>
                <w:sz w:val="24"/>
                <w:szCs w:val="24"/>
              </w:rPr>
              <w:t>dreptului</w:t>
            </w:r>
            <w:proofErr w:type="spellEnd"/>
            <w:r w:rsidRPr="00720B83">
              <w:rPr>
                <w:rFonts w:ascii="Times New Roman" w:eastAsia="Times New Roman" w:hAnsi="Times New Roman" w:cs="Times New Roman"/>
                <w:color w:val="333333"/>
                <w:sz w:val="24"/>
                <w:szCs w:val="24"/>
              </w:rPr>
              <w:t xml:space="preserve"> de </w:t>
            </w:r>
            <w:proofErr w:type="spellStart"/>
            <w:r w:rsidRPr="00720B83">
              <w:rPr>
                <w:rFonts w:ascii="Times New Roman" w:eastAsia="Times New Roman" w:hAnsi="Times New Roman" w:cs="Times New Roman"/>
                <w:color w:val="333333"/>
                <w:sz w:val="24"/>
                <w:szCs w:val="24"/>
              </w:rPr>
              <w:t>deducere</w:t>
            </w:r>
            <w:proofErr w:type="spellEnd"/>
          </w:p>
        </w:tc>
        <w:tc>
          <w:tcPr>
            <w:tcW w:w="2765" w:type="dxa"/>
          </w:tcPr>
          <w:p w14:paraId="03BE45DD" w14:textId="77777777" w:rsidR="00720B83" w:rsidRPr="00C401C6" w:rsidRDefault="00720B83" w:rsidP="00681F55">
            <w:pPr>
              <w:jc w:val="both"/>
              <w:rPr>
                <w:rFonts w:ascii="Times New Roman" w:hAnsi="Times New Roman" w:cs="Times New Roman"/>
                <w:sz w:val="24"/>
                <w:szCs w:val="24"/>
                <w:lang w:val="ro-RO"/>
              </w:rPr>
            </w:pPr>
          </w:p>
        </w:tc>
        <w:tc>
          <w:tcPr>
            <w:tcW w:w="5323" w:type="dxa"/>
          </w:tcPr>
          <w:p w14:paraId="5C6E2590" w14:textId="5EE72E24" w:rsidR="00720B83" w:rsidRDefault="00720B83" w:rsidP="00681F55">
            <w:pPr>
              <w:jc w:val="both"/>
              <w:rPr>
                <w:rFonts w:ascii="Times New Roman" w:hAnsi="Times New Roman" w:cs="Times New Roman"/>
                <w:b/>
                <w:sz w:val="24"/>
                <w:szCs w:val="24"/>
                <w:lang w:val="it-CH"/>
              </w:rPr>
            </w:pPr>
            <w:r w:rsidRPr="001C14C6">
              <w:rPr>
                <w:rFonts w:ascii="Times New Roman" w:hAnsi="Times New Roman" w:cs="Times New Roman"/>
                <w:b/>
                <w:sz w:val="24"/>
                <w:szCs w:val="24"/>
                <w:lang w:val="it-CH"/>
              </w:rPr>
              <w:t xml:space="preserve">La articolul </w:t>
            </w:r>
            <w:r>
              <w:rPr>
                <w:rFonts w:ascii="Times New Roman" w:hAnsi="Times New Roman" w:cs="Times New Roman"/>
                <w:b/>
                <w:sz w:val="24"/>
                <w:szCs w:val="24"/>
                <w:lang w:val="it-CH"/>
              </w:rPr>
              <w:t xml:space="preserve">297, </w:t>
            </w:r>
            <w:r w:rsidRPr="001C14C6">
              <w:rPr>
                <w:rFonts w:ascii="Times New Roman" w:hAnsi="Times New Roman" w:cs="Times New Roman"/>
                <w:b/>
                <w:sz w:val="24"/>
                <w:szCs w:val="24"/>
                <w:lang w:val="it-CH"/>
              </w:rPr>
              <w:t xml:space="preserve"> alineatul (</w:t>
            </w:r>
            <w:r>
              <w:rPr>
                <w:rFonts w:ascii="Times New Roman" w:hAnsi="Times New Roman" w:cs="Times New Roman"/>
                <w:b/>
                <w:sz w:val="24"/>
                <w:szCs w:val="24"/>
                <w:lang w:val="it-CH"/>
              </w:rPr>
              <w:t>7</w:t>
            </w:r>
            <w:r w:rsidRPr="001C14C6">
              <w:rPr>
                <w:rFonts w:ascii="Times New Roman" w:hAnsi="Times New Roman" w:cs="Times New Roman"/>
                <w:b/>
                <w:sz w:val="24"/>
                <w:szCs w:val="24"/>
                <w:lang w:val="it-CH"/>
              </w:rPr>
              <w:t>),</w:t>
            </w:r>
            <w:r>
              <w:rPr>
                <w:rFonts w:ascii="Times New Roman" w:hAnsi="Times New Roman" w:cs="Times New Roman"/>
                <w:b/>
                <w:sz w:val="24"/>
                <w:szCs w:val="24"/>
                <w:lang w:val="it-CH"/>
              </w:rPr>
              <w:t xml:space="preserve"> după litera c) se introduce  o nouă literă, litera d) cu următorul cuprins:</w:t>
            </w:r>
          </w:p>
          <w:p w14:paraId="229C01D7" w14:textId="77777777" w:rsidR="00E12DC0" w:rsidRDefault="00E12DC0" w:rsidP="00681F55">
            <w:pPr>
              <w:jc w:val="both"/>
              <w:rPr>
                <w:rFonts w:ascii="Times New Roman" w:hAnsi="Times New Roman" w:cs="Times New Roman"/>
                <w:b/>
                <w:sz w:val="24"/>
                <w:szCs w:val="24"/>
                <w:lang w:val="it-CH"/>
              </w:rPr>
            </w:pPr>
          </w:p>
          <w:p w14:paraId="68A9D16E" w14:textId="6C5EDED9" w:rsidR="00720B83" w:rsidRPr="006B0C44" w:rsidRDefault="00720B83" w:rsidP="00E12DC0">
            <w:pPr>
              <w:jc w:val="both"/>
              <w:rPr>
                <w:rFonts w:ascii="Arial" w:hAnsi="Arial" w:cs="Arial"/>
                <w:b/>
                <w:bCs/>
                <w:i/>
                <w:iCs/>
                <w:sz w:val="28"/>
                <w:szCs w:val="28"/>
                <w:lang w:val="it-CH"/>
              </w:rPr>
            </w:pPr>
            <w:r>
              <w:rPr>
                <w:rFonts w:ascii="Times New Roman" w:hAnsi="Times New Roman" w:cs="Times New Roman"/>
                <w:b/>
                <w:sz w:val="24"/>
                <w:szCs w:val="24"/>
                <w:lang w:val="it-CH"/>
              </w:rPr>
              <w:t xml:space="preserve">d) </w:t>
            </w:r>
            <w:r w:rsidRPr="00720B83">
              <w:rPr>
                <w:rFonts w:ascii="Arial" w:hAnsi="Arial" w:cs="Arial"/>
                <w:i/>
                <w:iCs/>
                <w:sz w:val="28"/>
                <w:szCs w:val="28"/>
                <w:lang w:val="it-CH"/>
              </w:rPr>
              <w:t>taxa datorată sau achitată pentru achiziţiile de</w:t>
            </w:r>
            <w:r w:rsidR="00E12DC0">
              <w:rPr>
                <w:rFonts w:ascii="Arial" w:hAnsi="Arial" w:cs="Arial"/>
                <w:i/>
                <w:iCs/>
                <w:sz w:val="28"/>
                <w:szCs w:val="28"/>
                <w:lang w:val="it-CH"/>
              </w:rPr>
              <w:t xml:space="preserve"> </w:t>
            </w:r>
            <w:r w:rsidRPr="00720B83">
              <w:rPr>
                <w:rFonts w:ascii="Arial" w:hAnsi="Arial" w:cs="Arial"/>
                <w:i/>
                <w:iCs/>
                <w:sz w:val="28"/>
                <w:szCs w:val="28"/>
                <w:lang w:val="it-CH"/>
              </w:rPr>
              <w:t>articole de îmbrăcăminte, încălțăminte, produse cosmetice, parfumerie, îngrijire personală, bunuri de uz casnic, servicii turistice, cazare, masă, transport și agrement, articole de lux</w:t>
            </w:r>
            <w:r w:rsidR="00E12DC0">
              <w:rPr>
                <w:rFonts w:ascii="Arial" w:hAnsi="Arial" w:cs="Arial"/>
                <w:i/>
                <w:iCs/>
                <w:sz w:val="28"/>
                <w:szCs w:val="28"/>
                <w:lang w:val="it-CH"/>
              </w:rPr>
              <w:t xml:space="preserve">, </w:t>
            </w:r>
            <w:r w:rsidR="00E12DC0" w:rsidRPr="006B0C44">
              <w:rPr>
                <w:rFonts w:ascii="Arial" w:hAnsi="Arial" w:cs="Arial"/>
                <w:i/>
                <w:iCs/>
                <w:sz w:val="28"/>
                <w:szCs w:val="28"/>
                <w:lang w:val="it-CH"/>
              </w:rPr>
              <w:t>cu utilizare preponderent personală</w:t>
            </w:r>
            <w:r w:rsidR="006B0C44">
              <w:rPr>
                <w:rFonts w:ascii="Arial" w:hAnsi="Arial" w:cs="Arial"/>
                <w:i/>
                <w:iCs/>
                <w:sz w:val="28"/>
                <w:szCs w:val="28"/>
                <w:lang w:val="it-CH"/>
              </w:rPr>
              <w:t>.</w:t>
            </w:r>
            <w:r w:rsidRPr="006B0C44">
              <w:rPr>
                <w:rFonts w:ascii="Arial" w:hAnsi="Arial" w:cs="Arial"/>
                <w:b/>
                <w:bCs/>
                <w:i/>
                <w:iCs/>
                <w:sz w:val="28"/>
                <w:szCs w:val="28"/>
                <w:lang w:val="it-CH"/>
              </w:rPr>
              <w:t xml:space="preserve"> </w:t>
            </w:r>
          </w:p>
          <w:p w14:paraId="6C560818" w14:textId="77777777" w:rsidR="00E12DC0" w:rsidRDefault="00E12DC0" w:rsidP="00E12DC0">
            <w:pPr>
              <w:jc w:val="both"/>
              <w:rPr>
                <w:rFonts w:ascii="Arial" w:hAnsi="Arial" w:cs="Arial"/>
                <w:b/>
                <w:bCs/>
                <w:i/>
                <w:iCs/>
                <w:sz w:val="28"/>
                <w:szCs w:val="28"/>
                <w:lang w:val="it-CH"/>
              </w:rPr>
            </w:pPr>
          </w:p>
          <w:p w14:paraId="792B3A88" w14:textId="77777777" w:rsidR="00E12DC0" w:rsidRPr="0034743D" w:rsidRDefault="00E12DC0" w:rsidP="00E12DC0">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6FB7CC73" w14:textId="77777777" w:rsidR="00E12DC0" w:rsidRPr="00720B83" w:rsidRDefault="00E12DC0" w:rsidP="00E12DC0">
            <w:pPr>
              <w:jc w:val="both"/>
              <w:rPr>
                <w:rFonts w:ascii="Arial" w:hAnsi="Arial" w:cs="Arial"/>
                <w:b/>
                <w:bCs/>
                <w:sz w:val="28"/>
                <w:szCs w:val="28"/>
                <w:lang w:val="it-CH"/>
              </w:rPr>
            </w:pPr>
          </w:p>
          <w:p w14:paraId="358AE682" w14:textId="08A3DE09" w:rsidR="00720B83" w:rsidRPr="004D3F28" w:rsidRDefault="00720B83" w:rsidP="00681F55">
            <w:pPr>
              <w:jc w:val="both"/>
              <w:rPr>
                <w:rFonts w:ascii="Times New Roman" w:hAnsi="Times New Roman" w:cs="Times New Roman"/>
                <w:bCs/>
                <w:sz w:val="24"/>
                <w:szCs w:val="24"/>
                <w:lang w:val="it-CH"/>
              </w:rPr>
            </w:pPr>
            <w:r>
              <w:rPr>
                <w:rFonts w:ascii="Times New Roman" w:hAnsi="Times New Roman" w:cs="Times New Roman"/>
                <w:b/>
                <w:sz w:val="24"/>
                <w:szCs w:val="24"/>
                <w:lang w:val="it-CH"/>
              </w:rPr>
              <w:t xml:space="preserve"> </w:t>
            </w:r>
          </w:p>
        </w:tc>
        <w:tc>
          <w:tcPr>
            <w:tcW w:w="3145" w:type="dxa"/>
          </w:tcPr>
          <w:p w14:paraId="2CB9DE0C" w14:textId="77777777" w:rsidR="00720B83" w:rsidRPr="0034743D" w:rsidRDefault="00720B83" w:rsidP="00681F55">
            <w:pPr>
              <w:jc w:val="both"/>
              <w:rPr>
                <w:rFonts w:ascii="Times New Roman" w:eastAsia="Times New Roman" w:hAnsi="Times New Roman" w:cs="Times New Roman"/>
                <w:bCs/>
                <w:color w:val="EE0000"/>
                <w:sz w:val="24"/>
                <w:szCs w:val="24"/>
                <w:lang w:val="ro-MD"/>
              </w:rPr>
            </w:pPr>
          </w:p>
        </w:tc>
      </w:tr>
      <w:tr w:rsidR="00823DA7" w:rsidRPr="00823DA7" w14:paraId="17B23046" w14:textId="77777777" w:rsidTr="00926D2B">
        <w:tc>
          <w:tcPr>
            <w:tcW w:w="687" w:type="dxa"/>
          </w:tcPr>
          <w:p w14:paraId="6E4CBCAD" w14:textId="77777777" w:rsidR="00823DA7" w:rsidRPr="0034743D" w:rsidRDefault="00823DA7" w:rsidP="00681F55">
            <w:pPr>
              <w:pStyle w:val="ListParagraph"/>
              <w:numPr>
                <w:ilvl w:val="0"/>
                <w:numId w:val="20"/>
              </w:numPr>
              <w:ind w:left="0" w:firstLine="0"/>
              <w:rPr>
                <w:rFonts w:ascii="Times New Roman" w:eastAsia="Times New Roman" w:hAnsi="Times New Roman" w:cs="Times New Roman"/>
                <w:b/>
                <w:sz w:val="24"/>
                <w:szCs w:val="24"/>
                <w:lang w:val="ro-RO"/>
              </w:rPr>
            </w:pPr>
          </w:p>
        </w:tc>
        <w:tc>
          <w:tcPr>
            <w:tcW w:w="2470" w:type="dxa"/>
          </w:tcPr>
          <w:p w14:paraId="10EF1F0E" w14:textId="5703F868" w:rsidR="00823DA7" w:rsidRPr="00720B83" w:rsidRDefault="00823DA7" w:rsidP="00720B83">
            <w:pPr>
              <w:rPr>
                <w:rFonts w:ascii="Times New Roman" w:eastAsia="Times New Roman" w:hAnsi="Times New Roman" w:cs="Times New Roman"/>
                <w:color w:val="333333"/>
                <w:sz w:val="24"/>
                <w:szCs w:val="24"/>
              </w:rPr>
            </w:pPr>
            <w:r w:rsidRPr="00823DA7">
              <w:rPr>
                <w:rFonts w:ascii="Times New Roman" w:hAnsi="Times New Roman" w:cs="Times New Roman"/>
                <w:b/>
                <w:sz w:val="24"/>
                <w:szCs w:val="24"/>
                <w:lang w:val="it-CH"/>
              </w:rPr>
              <w:t>Titlul X</w:t>
            </w:r>
          </w:p>
        </w:tc>
        <w:tc>
          <w:tcPr>
            <w:tcW w:w="2765" w:type="dxa"/>
          </w:tcPr>
          <w:p w14:paraId="40870645" w14:textId="77777777" w:rsidR="00823DA7" w:rsidRPr="00C401C6" w:rsidRDefault="00823DA7" w:rsidP="00681F55">
            <w:pPr>
              <w:jc w:val="both"/>
              <w:rPr>
                <w:rFonts w:ascii="Times New Roman" w:hAnsi="Times New Roman" w:cs="Times New Roman"/>
                <w:sz w:val="24"/>
                <w:szCs w:val="24"/>
                <w:lang w:val="ro-RO"/>
              </w:rPr>
            </w:pPr>
          </w:p>
        </w:tc>
        <w:tc>
          <w:tcPr>
            <w:tcW w:w="5323" w:type="dxa"/>
          </w:tcPr>
          <w:p w14:paraId="1FAB576C" w14:textId="77777777" w:rsidR="00823DA7" w:rsidRP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La Titlul X din Legea nr. 227/2015 privind Codul fiscal, articolul 500^2 si 500^3, se modifică și se completează după cum urmează:</w:t>
            </w:r>
          </w:p>
          <w:p w14:paraId="0B459265" w14:textId="77777777" w:rsidR="00823DA7" w:rsidRPr="00823DA7" w:rsidRDefault="00823DA7" w:rsidP="00823DA7">
            <w:pPr>
              <w:jc w:val="both"/>
              <w:rPr>
                <w:rFonts w:ascii="Times New Roman" w:hAnsi="Times New Roman" w:cs="Times New Roman"/>
                <w:b/>
                <w:sz w:val="24"/>
                <w:szCs w:val="24"/>
                <w:lang w:val="it-CH"/>
              </w:rPr>
            </w:pPr>
          </w:p>
          <w:p w14:paraId="070DDD19" w14:textId="77777777" w:rsidR="00823DA7" w:rsidRP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Art. 500² - Impozitul special pe clădirile rezidențiale de valoare mare</w:t>
            </w:r>
          </w:p>
          <w:p w14:paraId="39E7C899" w14:textId="77777777" w:rsidR="00823DA7" w:rsidRP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Impozitul special pe bunurile imobile de valoare mare se calculează în funcție de încadrarea într-una dintre situațiile prevăzute mai jos, după cum urmează:</w:t>
            </w:r>
          </w:p>
          <w:p w14:paraId="0C07581F" w14:textId="77777777" w:rsidR="00823DA7" w:rsidRP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a) în cazul proprietăților reprezentând clădiri rezidențiale, prin aplicarea unei cote de 0,9% asupra diferenței dintre valoarea impozabilă a clădirii, comunicată de către organul fiscal local, și plafonul de 2.500.000 lei</w:t>
            </w:r>
          </w:p>
          <w:p w14:paraId="10CC5C21" w14:textId="77777777" w:rsidR="00823DA7" w:rsidRP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b) în cazul proprietăților reprezentând autoturisme, prin aplicarea unei cote de 0,9% asupra diferenței dintre valoarea de achiziție a autoturismului și plafonul de 375.000 lei</w:t>
            </w:r>
          </w:p>
          <w:p w14:paraId="0AF720AE" w14:textId="77777777" w:rsidR="00823DA7" w:rsidRPr="00823DA7" w:rsidRDefault="00823DA7" w:rsidP="00823DA7">
            <w:pPr>
              <w:jc w:val="both"/>
              <w:rPr>
                <w:rFonts w:ascii="Times New Roman" w:hAnsi="Times New Roman" w:cs="Times New Roman"/>
                <w:b/>
                <w:sz w:val="24"/>
                <w:szCs w:val="24"/>
                <w:lang w:val="it-CH"/>
              </w:rPr>
            </w:pPr>
          </w:p>
          <w:p w14:paraId="45AD59A6" w14:textId="77777777" w:rsidR="00823DA7" w:rsidRP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Art. 500³ – Declararea și plata</w:t>
            </w:r>
          </w:p>
          <w:p w14:paraId="2655161D" w14:textId="77777777" w:rsidR="00823DA7" w:rsidRP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(1) Impozitul prevăzut la art. 500¹ și art. 500² se declară și se plătește la organul fiscal central competent, prin completarea și depunerea formularului 216.</w:t>
            </w:r>
          </w:p>
          <w:p w14:paraId="1732614D" w14:textId="77777777" w:rsidR="00823DA7" w:rsidRDefault="00823DA7" w:rsidP="00823DA7">
            <w:pPr>
              <w:jc w:val="both"/>
              <w:rPr>
                <w:rFonts w:ascii="Times New Roman" w:hAnsi="Times New Roman" w:cs="Times New Roman"/>
                <w:b/>
                <w:sz w:val="24"/>
                <w:szCs w:val="24"/>
                <w:lang w:val="it-CH"/>
              </w:rPr>
            </w:pPr>
            <w:r w:rsidRPr="00823DA7">
              <w:rPr>
                <w:rFonts w:ascii="Times New Roman" w:hAnsi="Times New Roman" w:cs="Times New Roman"/>
                <w:b/>
                <w:sz w:val="24"/>
                <w:szCs w:val="24"/>
                <w:lang w:val="it-CH"/>
              </w:rPr>
              <w:t>(2) Procedura de declarare, termenul de depunere și instrucțiunile de completare se stabilesc prin ordin al președintelui Agenției Naționale de Administrare Fiscală.</w:t>
            </w:r>
          </w:p>
          <w:p w14:paraId="553367C8" w14:textId="77777777" w:rsidR="00823DA7" w:rsidRDefault="00823DA7" w:rsidP="00823DA7">
            <w:pPr>
              <w:jc w:val="both"/>
              <w:rPr>
                <w:rFonts w:ascii="Times New Roman" w:hAnsi="Times New Roman" w:cs="Times New Roman"/>
                <w:b/>
                <w:sz w:val="24"/>
                <w:szCs w:val="24"/>
                <w:lang w:val="it-CH"/>
              </w:rPr>
            </w:pPr>
          </w:p>
          <w:p w14:paraId="30214A29" w14:textId="77777777" w:rsidR="00823DA7" w:rsidRPr="0034743D" w:rsidRDefault="00823DA7" w:rsidP="00823DA7">
            <w:pPr>
              <w:jc w:val="both"/>
              <w:rPr>
                <w:rFonts w:ascii="Times New Roman" w:eastAsia="Times New Roman" w:hAnsi="Times New Roman" w:cs="Times New Roman"/>
                <w:i/>
                <w:sz w:val="24"/>
                <w:szCs w:val="24"/>
                <w:lang w:val="ro-RO"/>
              </w:rPr>
            </w:pPr>
            <w:r w:rsidRPr="0034743D">
              <w:rPr>
                <w:rFonts w:ascii="Times New Roman" w:eastAsia="Times New Roman" w:hAnsi="Times New Roman" w:cs="Times New Roman"/>
                <w:i/>
                <w:sz w:val="24"/>
                <w:szCs w:val="24"/>
                <w:lang w:val="ro-RO"/>
              </w:rPr>
              <w:t xml:space="preserve">Autori: </w:t>
            </w:r>
            <w:r>
              <w:rPr>
                <w:rFonts w:ascii="Times New Roman" w:eastAsia="Times New Roman" w:hAnsi="Times New Roman" w:cs="Times New Roman"/>
                <w:i/>
                <w:sz w:val="24"/>
                <w:szCs w:val="24"/>
                <w:lang w:val="ro-RO"/>
              </w:rPr>
              <w:t>Grup PSD</w:t>
            </w:r>
          </w:p>
          <w:p w14:paraId="17086906" w14:textId="293E2416" w:rsidR="00823DA7" w:rsidRPr="001C14C6" w:rsidRDefault="00823DA7" w:rsidP="00823DA7">
            <w:pPr>
              <w:jc w:val="both"/>
              <w:rPr>
                <w:rFonts w:ascii="Times New Roman" w:hAnsi="Times New Roman" w:cs="Times New Roman"/>
                <w:b/>
                <w:sz w:val="24"/>
                <w:szCs w:val="24"/>
                <w:lang w:val="it-CH"/>
              </w:rPr>
            </w:pPr>
          </w:p>
        </w:tc>
        <w:tc>
          <w:tcPr>
            <w:tcW w:w="3145" w:type="dxa"/>
          </w:tcPr>
          <w:p w14:paraId="38B1CA7F" w14:textId="77777777" w:rsidR="00823DA7" w:rsidRPr="0034743D" w:rsidRDefault="00823DA7" w:rsidP="00681F55">
            <w:pPr>
              <w:jc w:val="both"/>
              <w:rPr>
                <w:rFonts w:ascii="Times New Roman" w:eastAsia="Times New Roman" w:hAnsi="Times New Roman" w:cs="Times New Roman"/>
                <w:bCs/>
                <w:color w:val="EE0000"/>
                <w:sz w:val="24"/>
                <w:szCs w:val="24"/>
                <w:lang w:val="ro-MD"/>
              </w:rPr>
            </w:pPr>
          </w:p>
        </w:tc>
      </w:tr>
    </w:tbl>
    <w:p w14:paraId="19627773" w14:textId="77777777" w:rsidR="00B07934" w:rsidRDefault="00B07934" w:rsidP="00B07934">
      <w:pPr>
        <w:jc w:val="both"/>
        <w:rPr>
          <w:rFonts w:ascii="Times New Roman" w:eastAsia="Times New Roman" w:hAnsi="Times New Roman" w:cs="Times New Roman"/>
          <w:sz w:val="24"/>
          <w:szCs w:val="24"/>
          <w:lang w:val="ro-RO"/>
        </w:rPr>
      </w:pPr>
    </w:p>
    <w:p w14:paraId="5FE9DEE6" w14:textId="77777777" w:rsidR="00823DA7" w:rsidRDefault="00823DA7" w:rsidP="00B07934">
      <w:pPr>
        <w:jc w:val="both"/>
        <w:rPr>
          <w:rFonts w:ascii="Times New Roman" w:eastAsia="Times New Roman" w:hAnsi="Times New Roman" w:cs="Times New Roman"/>
          <w:sz w:val="24"/>
          <w:szCs w:val="24"/>
          <w:lang w:val="ro-RO"/>
        </w:rPr>
      </w:pPr>
    </w:p>
    <w:p w14:paraId="1A61D4AB" w14:textId="4FFB39C1" w:rsidR="00823DA7" w:rsidRPr="00326712" w:rsidRDefault="00823DA7" w:rsidP="00823DA7">
      <w:pPr>
        <w:jc w:val="both"/>
        <w:rPr>
          <w:rFonts w:ascii="Times New Roman" w:eastAsia="Times New Roman" w:hAnsi="Times New Roman" w:cs="Times New Roman"/>
          <w:sz w:val="24"/>
          <w:szCs w:val="24"/>
          <w:lang w:val="ro-RO"/>
        </w:rPr>
      </w:pPr>
    </w:p>
    <w:sectPr w:rsidR="00823DA7" w:rsidRPr="00326712">
      <w:footerReference w:type="default" r:id="rId10"/>
      <w:pgSz w:w="15840" w:h="12240"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81B6" w14:textId="77777777" w:rsidR="00F41509" w:rsidRDefault="00F41509" w:rsidP="00157734">
      <w:pPr>
        <w:spacing w:after="0" w:line="240" w:lineRule="auto"/>
      </w:pPr>
      <w:r>
        <w:separator/>
      </w:r>
    </w:p>
  </w:endnote>
  <w:endnote w:type="continuationSeparator" w:id="0">
    <w:p w14:paraId="3F95A2C2" w14:textId="77777777" w:rsidR="00F41509" w:rsidRDefault="00F41509" w:rsidP="0015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727538"/>
      <w:docPartObj>
        <w:docPartGallery w:val="Page Numbers (Bottom of Page)"/>
        <w:docPartUnique/>
      </w:docPartObj>
    </w:sdtPr>
    <w:sdtEndPr>
      <w:rPr>
        <w:noProof/>
      </w:rPr>
    </w:sdtEndPr>
    <w:sdtContent>
      <w:p w14:paraId="77A14BD0" w14:textId="77777777" w:rsidR="00157734" w:rsidRDefault="00157734">
        <w:pPr>
          <w:pStyle w:val="Footer"/>
          <w:jc w:val="right"/>
        </w:pPr>
        <w:r>
          <w:fldChar w:fldCharType="begin"/>
        </w:r>
        <w:r>
          <w:instrText xml:space="preserve"> PAGE   \* MERGEFORMAT </w:instrText>
        </w:r>
        <w:r>
          <w:fldChar w:fldCharType="separate"/>
        </w:r>
        <w:r w:rsidR="00762149">
          <w:rPr>
            <w:noProof/>
          </w:rPr>
          <w:t>1</w:t>
        </w:r>
        <w:r>
          <w:rPr>
            <w:noProof/>
          </w:rPr>
          <w:fldChar w:fldCharType="end"/>
        </w:r>
      </w:p>
    </w:sdtContent>
  </w:sdt>
  <w:p w14:paraId="01E66885" w14:textId="77777777" w:rsidR="00157734" w:rsidRDefault="00157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CEB3" w14:textId="77777777" w:rsidR="00F41509" w:rsidRDefault="00F41509" w:rsidP="00157734">
      <w:pPr>
        <w:spacing w:after="0" w:line="240" w:lineRule="auto"/>
      </w:pPr>
      <w:r>
        <w:separator/>
      </w:r>
    </w:p>
  </w:footnote>
  <w:footnote w:type="continuationSeparator" w:id="0">
    <w:p w14:paraId="30A8F404" w14:textId="77777777" w:rsidR="00F41509" w:rsidRDefault="00F41509" w:rsidP="00157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161"/>
    <w:multiLevelType w:val="hybridMultilevel"/>
    <w:tmpl w:val="7C3CA2A2"/>
    <w:lvl w:ilvl="0" w:tplc="0409000F">
      <w:start w:val="1"/>
      <w:numFmt w:val="decimal"/>
      <w:lvlText w:val="%1."/>
      <w:lvlJc w:val="left"/>
      <w:pPr>
        <w:ind w:left="78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55A79"/>
    <w:multiLevelType w:val="hybridMultilevel"/>
    <w:tmpl w:val="50E0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5729"/>
    <w:multiLevelType w:val="hybridMultilevel"/>
    <w:tmpl w:val="2E9C8462"/>
    <w:lvl w:ilvl="0" w:tplc="040827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58227E"/>
    <w:multiLevelType w:val="hybridMultilevel"/>
    <w:tmpl w:val="50E0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EEFC4"/>
    <w:multiLevelType w:val="hybridMultilevel"/>
    <w:tmpl w:val="1F13B2C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8B57F3"/>
    <w:multiLevelType w:val="multilevel"/>
    <w:tmpl w:val="E7124FD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1440" w:firstLine="720"/>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19172A96"/>
    <w:multiLevelType w:val="multilevel"/>
    <w:tmpl w:val="E7124FD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1440" w:firstLine="720"/>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1B91332A"/>
    <w:multiLevelType w:val="hybridMultilevel"/>
    <w:tmpl w:val="C8BC527A"/>
    <w:lvl w:ilvl="0" w:tplc="1E60A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555A4C"/>
    <w:multiLevelType w:val="hybridMultilevel"/>
    <w:tmpl w:val="7FA2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42890"/>
    <w:multiLevelType w:val="hybridMultilevel"/>
    <w:tmpl w:val="C66ED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B42D1"/>
    <w:multiLevelType w:val="hybridMultilevel"/>
    <w:tmpl w:val="C66ED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943CB"/>
    <w:multiLevelType w:val="hybridMultilevel"/>
    <w:tmpl w:val="2B909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3A32A9"/>
    <w:multiLevelType w:val="hybridMultilevel"/>
    <w:tmpl w:val="1270B6D4"/>
    <w:lvl w:ilvl="0" w:tplc="AC3E4C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06735E"/>
    <w:multiLevelType w:val="hybridMultilevel"/>
    <w:tmpl w:val="50E0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14596"/>
    <w:multiLevelType w:val="hybridMultilevel"/>
    <w:tmpl w:val="50E0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B3BDC"/>
    <w:multiLevelType w:val="hybridMultilevel"/>
    <w:tmpl w:val="D862C9E6"/>
    <w:lvl w:ilvl="0" w:tplc="49A01336">
      <w:start w:val="1"/>
      <w:numFmt w:val="decimal"/>
      <w:lvlText w:val="%1."/>
      <w:lvlJc w:val="left"/>
      <w:pPr>
        <w:ind w:left="1068" w:hanging="360"/>
      </w:pPr>
      <w:rPr>
        <w:rFonts w:ascii="Arial" w:eastAsia="Calibri" w:hAnsi="Arial" w:cs="Arial" w:hint="default"/>
        <w:b/>
        <w:bCs/>
        <w:i w:val="0"/>
        <w:caps w:val="0"/>
        <w:smallCaps w:val="0"/>
        <w:spacing w:val="0"/>
        <w:kern w:val="0"/>
        <w:sz w:val="24"/>
        <w:szCs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5F244249"/>
    <w:multiLevelType w:val="hybridMultilevel"/>
    <w:tmpl w:val="8CAA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077FF"/>
    <w:multiLevelType w:val="hybridMultilevel"/>
    <w:tmpl w:val="DB2A8746"/>
    <w:lvl w:ilvl="0" w:tplc="DF86B8F4">
      <w:start w:val="1"/>
      <w:numFmt w:val="decimal"/>
      <w:lvlText w:val="%1."/>
      <w:lvlJc w:val="left"/>
      <w:pPr>
        <w:ind w:left="720" w:hanging="360"/>
      </w:pPr>
      <w:rPr>
        <w:rFonts w:hint="default"/>
        <w:sz w:val="3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B252CBD"/>
    <w:multiLevelType w:val="hybridMultilevel"/>
    <w:tmpl w:val="24B6B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D2459"/>
    <w:multiLevelType w:val="hybridMultilevel"/>
    <w:tmpl w:val="5908EEEA"/>
    <w:lvl w:ilvl="0" w:tplc="78D2AA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1E0C7E"/>
    <w:multiLevelType w:val="multilevel"/>
    <w:tmpl w:val="CB32DB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1474D3"/>
    <w:multiLevelType w:val="hybridMultilevel"/>
    <w:tmpl w:val="B6BA8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299523">
    <w:abstractNumId w:val="20"/>
  </w:num>
  <w:num w:numId="2" w16cid:durableId="1533424624">
    <w:abstractNumId w:val="6"/>
  </w:num>
  <w:num w:numId="3" w16cid:durableId="969749022">
    <w:abstractNumId w:val="5"/>
  </w:num>
  <w:num w:numId="4" w16cid:durableId="1578512642">
    <w:abstractNumId w:val="7"/>
  </w:num>
  <w:num w:numId="5" w16cid:durableId="1378240008">
    <w:abstractNumId w:val="19"/>
  </w:num>
  <w:num w:numId="6" w16cid:durableId="783696168">
    <w:abstractNumId w:val="12"/>
  </w:num>
  <w:num w:numId="7" w16cid:durableId="1635519889">
    <w:abstractNumId w:val="4"/>
  </w:num>
  <w:num w:numId="8" w16cid:durableId="317803792">
    <w:abstractNumId w:val="2"/>
  </w:num>
  <w:num w:numId="9" w16cid:durableId="1460489265">
    <w:abstractNumId w:val="11"/>
  </w:num>
  <w:num w:numId="10" w16cid:durableId="1215048896">
    <w:abstractNumId w:val="8"/>
  </w:num>
  <w:num w:numId="11" w16cid:durableId="2020039848">
    <w:abstractNumId w:val="10"/>
  </w:num>
  <w:num w:numId="12" w16cid:durableId="464926979">
    <w:abstractNumId w:val="14"/>
  </w:num>
  <w:num w:numId="13" w16cid:durableId="816452874">
    <w:abstractNumId w:val="9"/>
  </w:num>
  <w:num w:numId="14" w16cid:durableId="1296567312">
    <w:abstractNumId w:val="13"/>
  </w:num>
  <w:num w:numId="15" w16cid:durableId="1396003655">
    <w:abstractNumId w:val="1"/>
  </w:num>
  <w:num w:numId="16" w16cid:durableId="1487475440">
    <w:abstractNumId w:val="3"/>
  </w:num>
  <w:num w:numId="17" w16cid:durableId="604193327">
    <w:abstractNumId w:val="16"/>
  </w:num>
  <w:num w:numId="18" w16cid:durableId="734205645">
    <w:abstractNumId w:val="15"/>
  </w:num>
  <w:num w:numId="19" w16cid:durableId="1147626095">
    <w:abstractNumId w:val="18"/>
  </w:num>
  <w:num w:numId="20" w16cid:durableId="1586650660">
    <w:abstractNumId w:val="0"/>
  </w:num>
  <w:num w:numId="21" w16cid:durableId="1456172331">
    <w:abstractNumId w:val="21"/>
  </w:num>
  <w:num w:numId="22" w16cid:durableId="21174349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56"/>
    <w:rsid w:val="000166DF"/>
    <w:rsid w:val="00033597"/>
    <w:rsid w:val="00042D05"/>
    <w:rsid w:val="00071FDE"/>
    <w:rsid w:val="00077DB8"/>
    <w:rsid w:val="000841B5"/>
    <w:rsid w:val="000B201A"/>
    <w:rsid w:val="000C216F"/>
    <w:rsid w:val="000C301F"/>
    <w:rsid w:val="00101254"/>
    <w:rsid w:val="00112DB2"/>
    <w:rsid w:val="00132709"/>
    <w:rsid w:val="001414B3"/>
    <w:rsid w:val="00144D0F"/>
    <w:rsid w:val="00157734"/>
    <w:rsid w:val="001653D5"/>
    <w:rsid w:val="001717C9"/>
    <w:rsid w:val="0017508C"/>
    <w:rsid w:val="00182A9E"/>
    <w:rsid w:val="001B0BE6"/>
    <w:rsid w:val="001C1198"/>
    <w:rsid w:val="001C14C6"/>
    <w:rsid w:val="001C5690"/>
    <w:rsid w:val="001E299C"/>
    <w:rsid w:val="00202FBF"/>
    <w:rsid w:val="002361F4"/>
    <w:rsid w:val="002446FF"/>
    <w:rsid w:val="0026151F"/>
    <w:rsid w:val="00267422"/>
    <w:rsid w:val="00271719"/>
    <w:rsid w:val="00297059"/>
    <w:rsid w:val="002A7B01"/>
    <w:rsid w:val="002D2876"/>
    <w:rsid w:val="002E5B3B"/>
    <w:rsid w:val="00310FCF"/>
    <w:rsid w:val="00326712"/>
    <w:rsid w:val="0033634A"/>
    <w:rsid w:val="00337916"/>
    <w:rsid w:val="0034743D"/>
    <w:rsid w:val="00352C95"/>
    <w:rsid w:val="00373D7C"/>
    <w:rsid w:val="00382306"/>
    <w:rsid w:val="003836FB"/>
    <w:rsid w:val="00397897"/>
    <w:rsid w:val="003B71EC"/>
    <w:rsid w:val="0040112F"/>
    <w:rsid w:val="00407AF8"/>
    <w:rsid w:val="00424D3F"/>
    <w:rsid w:val="00426B82"/>
    <w:rsid w:val="004501CE"/>
    <w:rsid w:val="00450E8E"/>
    <w:rsid w:val="00454BC3"/>
    <w:rsid w:val="004646EF"/>
    <w:rsid w:val="0046788F"/>
    <w:rsid w:val="004870CF"/>
    <w:rsid w:val="00496E3A"/>
    <w:rsid w:val="004A32EE"/>
    <w:rsid w:val="004B78D0"/>
    <w:rsid w:val="004E3077"/>
    <w:rsid w:val="00502DAD"/>
    <w:rsid w:val="0051402C"/>
    <w:rsid w:val="00530364"/>
    <w:rsid w:val="0053059D"/>
    <w:rsid w:val="00543A85"/>
    <w:rsid w:val="005A7B7C"/>
    <w:rsid w:val="005C63BC"/>
    <w:rsid w:val="005F19AC"/>
    <w:rsid w:val="005F4028"/>
    <w:rsid w:val="005F6500"/>
    <w:rsid w:val="005F7C1C"/>
    <w:rsid w:val="00605002"/>
    <w:rsid w:val="00611DF2"/>
    <w:rsid w:val="00617638"/>
    <w:rsid w:val="00660EB9"/>
    <w:rsid w:val="00660EE5"/>
    <w:rsid w:val="00681F55"/>
    <w:rsid w:val="006956EB"/>
    <w:rsid w:val="0069692C"/>
    <w:rsid w:val="006A305D"/>
    <w:rsid w:val="006A5B54"/>
    <w:rsid w:val="006B0C44"/>
    <w:rsid w:val="006B3D00"/>
    <w:rsid w:val="006E1DEE"/>
    <w:rsid w:val="007159DE"/>
    <w:rsid w:val="00720B83"/>
    <w:rsid w:val="00752556"/>
    <w:rsid w:val="00757CD0"/>
    <w:rsid w:val="00762149"/>
    <w:rsid w:val="007664E5"/>
    <w:rsid w:val="007946F0"/>
    <w:rsid w:val="00797EEA"/>
    <w:rsid w:val="007D7E52"/>
    <w:rsid w:val="0080484A"/>
    <w:rsid w:val="00816213"/>
    <w:rsid w:val="00816701"/>
    <w:rsid w:val="00823DA7"/>
    <w:rsid w:val="00825398"/>
    <w:rsid w:val="008446F7"/>
    <w:rsid w:val="008514F7"/>
    <w:rsid w:val="00855140"/>
    <w:rsid w:val="00856CEA"/>
    <w:rsid w:val="0087475C"/>
    <w:rsid w:val="00896227"/>
    <w:rsid w:val="008B16EE"/>
    <w:rsid w:val="008D12E2"/>
    <w:rsid w:val="008D44B8"/>
    <w:rsid w:val="008F1547"/>
    <w:rsid w:val="0090304C"/>
    <w:rsid w:val="00926D2B"/>
    <w:rsid w:val="009410C6"/>
    <w:rsid w:val="00941BE4"/>
    <w:rsid w:val="009441E1"/>
    <w:rsid w:val="00955EF9"/>
    <w:rsid w:val="0095743D"/>
    <w:rsid w:val="009A3358"/>
    <w:rsid w:val="009A6445"/>
    <w:rsid w:val="009C2608"/>
    <w:rsid w:val="009C71FE"/>
    <w:rsid w:val="009E6316"/>
    <w:rsid w:val="009F6E2F"/>
    <w:rsid w:val="00A06F71"/>
    <w:rsid w:val="00A23A35"/>
    <w:rsid w:val="00A432E2"/>
    <w:rsid w:val="00A441DC"/>
    <w:rsid w:val="00A56765"/>
    <w:rsid w:val="00A66ED4"/>
    <w:rsid w:val="00A9669D"/>
    <w:rsid w:val="00AA7130"/>
    <w:rsid w:val="00AB111A"/>
    <w:rsid w:val="00AC46F1"/>
    <w:rsid w:val="00AE49CF"/>
    <w:rsid w:val="00AE58B0"/>
    <w:rsid w:val="00B07934"/>
    <w:rsid w:val="00B145E2"/>
    <w:rsid w:val="00B25A6C"/>
    <w:rsid w:val="00B331FD"/>
    <w:rsid w:val="00B46C58"/>
    <w:rsid w:val="00B57BD8"/>
    <w:rsid w:val="00B6174D"/>
    <w:rsid w:val="00B825C3"/>
    <w:rsid w:val="00B966C1"/>
    <w:rsid w:val="00BB039C"/>
    <w:rsid w:val="00BC1AFC"/>
    <w:rsid w:val="00BD18D5"/>
    <w:rsid w:val="00BF5C93"/>
    <w:rsid w:val="00C14C98"/>
    <w:rsid w:val="00C258D7"/>
    <w:rsid w:val="00C30204"/>
    <w:rsid w:val="00C401C6"/>
    <w:rsid w:val="00C46890"/>
    <w:rsid w:val="00C51D40"/>
    <w:rsid w:val="00C96FA9"/>
    <w:rsid w:val="00CC492C"/>
    <w:rsid w:val="00CF7C71"/>
    <w:rsid w:val="00D02416"/>
    <w:rsid w:val="00D137EC"/>
    <w:rsid w:val="00D32F2D"/>
    <w:rsid w:val="00D35156"/>
    <w:rsid w:val="00D533E3"/>
    <w:rsid w:val="00D6146B"/>
    <w:rsid w:val="00D6489A"/>
    <w:rsid w:val="00D67FCB"/>
    <w:rsid w:val="00D71F93"/>
    <w:rsid w:val="00D754C9"/>
    <w:rsid w:val="00DA221F"/>
    <w:rsid w:val="00DC2244"/>
    <w:rsid w:val="00DD6EB4"/>
    <w:rsid w:val="00DE6741"/>
    <w:rsid w:val="00DF35DC"/>
    <w:rsid w:val="00DF4EED"/>
    <w:rsid w:val="00DF5FEB"/>
    <w:rsid w:val="00E04AD0"/>
    <w:rsid w:val="00E12DC0"/>
    <w:rsid w:val="00E23773"/>
    <w:rsid w:val="00E301BA"/>
    <w:rsid w:val="00E40345"/>
    <w:rsid w:val="00E526E2"/>
    <w:rsid w:val="00E53D22"/>
    <w:rsid w:val="00E65888"/>
    <w:rsid w:val="00E658CF"/>
    <w:rsid w:val="00E761D3"/>
    <w:rsid w:val="00E80065"/>
    <w:rsid w:val="00EA4988"/>
    <w:rsid w:val="00EB14CC"/>
    <w:rsid w:val="00EB35A9"/>
    <w:rsid w:val="00EB7E7E"/>
    <w:rsid w:val="00EC75EF"/>
    <w:rsid w:val="00ED0E51"/>
    <w:rsid w:val="00ED6314"/>
    <w:rsid w:val="00EE638A"/>
    <w:rsid w:val="00F162E1"/>
    <w:rsid w:val="00F3153D"/>
    <w:rsid w:val="00F41509"/>
    <w:rsid w:val="00F43813"/>
    <w:rsid w:val="00F510C6"/>
    <w:rsid w:val="00F54C6A"/>
    <w:rsid w:val="00F77599"/>
    <w:rsid w:val="00FA4F4C"/>
    <w:rsid w:val="00FB2855"/>
    <w:rsid w:val="00FE081E"/>
    <w:rsid w:val="00FE1467"/>
    <w:rsid w:val="00FE419C"/>
    <w:rsid w:val="00FE50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EC004"/>
  <w15:docId w15:val="{B7FDB09A-6F5B-4796-A747-67DC624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odyText">
    <w:name w:val="Body Text"/>
    <w:basedOn w:val="Normal"/>
    <w:link w:val="BodyTextChar"/>
    <w:uiPriority w:val="1"/>
    <w:qFormat/>
    <w:rsid w:val="00797EEA"/>
    <w:pPr>
      <w:widowControl w:val="0"/>
      <w:autoSpaceDE w:val="0"/>
      <w:autoSpaceDN w:val="0"/>
      <w:spacing w:after="0" w:line="240" w:lineRule="auto"/>
    </w:pPr>
    <w:rPr>
      <w:rFonts w:ascii="Times New Roman" w:eastAsia="Times New Roman" w:hAnsi="Times New Roman" w:cs="Times New Roman"/>
      <w:b/>
      <w:bCs/>
      <w:sz w:val="24"/>
      <w:szCs w:val="24"/>
      <w:lang w:val="ro-RO"/>
    </w:rPr>
  </w:style>
  <w:style w:type="character" w:customStyle="1" w:styleId="BodyTextChar">
    <w:name w:val="Body Text Char"/>
    <w:basedOn w:val="DefaultParagraphFont"/>
    <w:link w:val="BodyText"/>
    <w:uiPriority w:val="1"/>
    <w:rsid w:val="00797EEA"/>
    <w:rPr>
      <w:rFonts w:ascii="Times New Roman" w:eastAsia="Times New Roman" w:hAnsi="Times New Roman" w:cs="Times New Roman"/>
      <w:b/>
      <w:bCs/>
      <w:sz w:val="24"/>
      <w:szCs w:val="24"/>
      <w:lang w:val="ro-RO"/>
    </w:rPr>
  </w:style>
  <w:style w:type="paragraph" w:styleId="Revision">
    <w:name w:val="Revision"/>
    <w:hidden/>
    <w:uiPriority w:val="99"/>
    <w:semiHidden/>
    <w:rsid w:val="00617638"/>
    <w:pPr>
      <w:spacing w:after="0" w:line="240" w:lineRule="auto"/>
    </w:pPr>
  </w:style>
  <w:style w:type="paragraph" w:styleId="ListParagraph">
    <w:name w:val="List Paragraph"/>
    <w:basedOn w:val="Normal"/>
    <w:uiPriority w:val="34"/>
    <w:qFormat/>
    <w:rsid w:val="00D02416"/>
    <w:pPr>
      <w:ind w:left="720"/>
      <w:contextualSpacing/>
    </w:pPr>
  </w:style>
  <w:style w:type="paragraph" w:customStyle="1" w:styleId="Default">
    <w:name w:val="Default"/>
    <w:rsid w:val="00D02416"/>
    <w:pPr>
      <w:autoSpaceDE w:val="0"/>
      <w:autoSpaceDN w:val="0"/>
      <w:adjustRightInd w:val="0"/>
      <w:spacing w:after="0" w:line="240" w:lineRule="auto"/>
    </w:pPr>
    <w:rPr>
      <w:color w:val="000000"/>
      <w:sz w:val="24"/>
      <w:szCs w:val="24"/>
    </w:rPr>
  </w:style>
  <w:style w:type="table" w:styleId="TableGrid">
    <w:name w:val="Table Grid"/>
    <w:basedOn w:val="TableNormal"/>
    <w:uiPriority w:val="39"/>
    <w:rsid w:val="00D6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
    <w:name w:val="tpt"/>
    <w:basedOn w:val="DefaultParagraphFont"/>
    <w:rsid w:val="00BD18D5"/>
  </w:style>
  <w:style w:type="character" w:customStyle="1" w:styleId="tpa">
    <w:name w:val="tpa"/>
    <w:basedOn w:val="DefaultParagraphFont"/>
    <w:rsid w:val="00BD18D5"/>
  </w:style>
  <w:style w:type="character" w:customStyle="1" w:styleId="pt">
    <w:name w:val="pt"/>
    <w:basedOn w:val="DefaultParagraphFont"/>
    <w:rsid w:val="00BD18D5"/>
  </w:style>
  <w:style w:type="paragraph" w:styleId="BalloonText">
    <w:name w:val="Balloon Text"/>
    <w:basedOn w:val="Normal"/>
    <w:link w:val="BalloonTextChar"/>
    <w:uiPriority w:val="99"/>
    <w:semiHidden/>
    <w:unhideWhenUsed/>
    <w:rsid w:val="00297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59"/>
    <w:rPr>
      <w:rFonts w:ascii="Segoe UI" w:hAnsi="Segoe UI" w:cs="Segoe UI"/>
      <w:sz w:val="18"/>
      <w:szCs w:val="18"/>
    </w:rPr>
  </w:style>
  <w:style w:type="paragraph" w:styleId="Header">
    <w:name w:val="header"/>
    <w:basedOn w:val="Normal"/>
    <w:link w:val="HeaderChar"/>
    <w:uiPriority w:val="99"/>
    <w:unhideWhenUsed/>
    <w:rsid w:val="00157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734"/>
  </w:style>
  <w:style w:type="paragraph" w:styleId="Footer">
    <w:name w:val="footer"/>
    <w:basedOn w:val="Normal"/>
    <w:link w:val="FooterChar"/>
    <w:uiPriority w:val="99"/>
    <w:unhideWhenUsed/>
    <w:rsid w:val="00157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734"/>
  </w:style>
  <w:style w:type="character" w:customStyle="1" w:styleId="alb">
    <w:name w:val="a_lb"/>
    <w:basedOn w:val="DefaultParagraphFont"/>
    <w:rsid w:val="004646EF"/>
  </w:style>
  <w:style w:type="character" w:customStyle="1" w:styleId="atl">
    <w:name w:val="a_tl"/>
    <w:basedOn w:val="DefaultParagraphFont"/>
    <w:rsid w:val="004646EF"/>
  </w:style>
  <w:style w:type="character" w:styleId="Hyperlink">
    <w:name w:val="Hyperlink"/>
    <w:basedOn w:val="DefaultParagraphFont"/>
    <w:uiPriority w:val="99"/>
    <w:unhideWhenUsed/>
    <w:rsid w:val="004646EF"/>
    <w:rPr>
      <w:color w:val="0000FF" w:themeColor="hyperlink"/>
      <w:u w:val="single"/>
    </w:rPr>
  </w:style>
  <w:style w:type="character" w:styleId="UnresolvedMention">
    <w:name w:val="Unresolved Mention"/>
    <w:basedOn w:val="DefaultParagraphFont"/>
    <w:uiPriority w:val="99"/>
    <w:semiHidden/>
    <w:unhideWhenUsed/>
    <w:rsid w:val="00FA4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341">
      <w:bodyDiv w:val="1"/>
      <w:marLeft w:val="0"/>
      <w:marRight w:val="0"/>
      <w:marTop w:val="0"/>
      <w:marBottom w:val="0"/>
      <w:divBdr>
        <w:top w:val="none" w:sz="0" w:space="0" w:color="auto"/>
        <w:left w:val="none" w:sz="0" w:space="0" w:color="auto"/>
        <w:bottom w:val="none" w:sz="0" w:space="0" w:color="auto"/>
        <w:right w:val="none" w:sz="0" w:space="0" w:color="auto"/>
      </w:divBdr>
      <w:divsChild>
        <w:div w:id="1411736365">
          <w:marLeft w:val="0"/>
          <w:marRight w:val="0"/>
          <w:marTop w:val="0"/>
          <w:marBottom w:val="0"/>
          <w:divBdr>
            <w:top w:val="dashed" w:sz="2" w:space="0" w:color="FFFFFF"/>
            <w:left w:val="dashed" w:sz="2" w:space="0" w:color="FFFFFF"/>
            <w:bottom w:val="dashed" w:sz="2" w:space="0" w:color="FFFFFF"/>
            <w:right w:val="dashed" w:sz="2" w:space="0" w:color="FFFFFF"/>
          </w:divBdr>
        </w:div>
        <w:div w:id="737092687">
          <w:marLeft w:val="0"/>
          <w:marRight w:val="0"/>
          <w:marTop w:val="0"/>
          <w:marBottom w:val="0"/>
          <w:divBdr>
            <w:top w:val="dashed" w:sz="2" w:space="0" w:color="FFFFFF"/>
            <w:left w:val="dashed" w:sz="2" w:space="0" w:color="FFFFFF"/>
            <w:bottom w:val="dashed" w:sz="2" w:space="0" w:color="FFFFFF"/>
            <w:right w:val="dashed" w:sz="2" w:space="0" w:color="FFFFFF"/>
          </w:divBdr>
          <w:divsChild>
            <w:div w:id="1760758356">
              <w:marLeft w:val="0"/>
              <w:marRight w:val="0"/>
              <w:marTop w:val="0"/>
              <w:marBottom w:val="0"/>
              <w:divBdr>
                <w:top w:val="dashed" w:sz="2" w:space="0" w:color="FFFFFF"/>
                <w:left w:val="dashed" w:sz="2" w:space="0" w:color="FFFFFF"/>
                <w:bottom w:val="dashed" w:sz="2" w:space="0" w:color="FFFFFF"/>
                <w:right w:val="dashed" w:sz="2" w:space="0" w:color="FFFFFF"/>
              </w:divBdr>
            </w:div>
            <w:div w:id="1152867737">
              <w:marLeft w:val="0"/>
              <w:marRight w:val="0"/>
              <w:marTop w:val="0"/>
              <w:marBottom w:val="0"/>
              <w:divBdr>
                <w:top w:val="dashed" w:sz="2" w:space="0" w:color="FFFFFF"/>
                <w:left w:val="dashed" w:sz="2" w:space="0" w:color="FFFFFF"/>
                <w:bottom w:val="dashed" w:sz="2" w:space="0" w:color="FFFFFF"/>
                <w:right w:val="dashed" w:sz="2" w:space="0" w:color="FFFFFF"/>
              </w:divBdr>
            </w:div>
            <w:div w:id="1985575019">
              <w:marLeft w:val="0"/>
              <w:marRight w:val="0"/>
              <w:marTop w:val="0"/>
              <w:marBottom w:val="0"/>
              <w:divBdr>
                <w:top w:val="dashed" w:sz="2" w:space="0" w:color="FFFFFF"/>
                <w:left w:val="dashed" w:sz="2" w:space="0" w:color="FFFFFF"/>
                <w:bottom w:val="dashed" w:sz="2" w:space="0" w:color="FFFFFF"/>
                <w:right w:val="dashed" w:sz="2" w:space="0" w:color="FFFFFF"/>
              </w:divBdr>
              <w:divsChild>
                <w:div w:id="1813136340">
                  <w:marLeft w:val="0"/>
                  <w:marRight w:val="0"/>
                  <w:marTop w:val="0"/>
                  <w:marBottom w:val="0"/>
                  <w:divBdr>
                    <w:top w:val="dashed" w:sz="2" w:space="0" w:color="FFFFFF"/>
                    <w:left w:val="dashed" w:sz="2" w:space="0" w:color="FFFFFF"/>
                    <w:bottom w:val="dashed" w:sz="2" w:space="0" w:color="FFFFFF"/>
                    <w:right w:val="dashed" w:sz="2" w:space="0" w:color="FFFFFF"/>
                  </w:divBdr>
                </w:div>
                <w:div w:id="654454388">
                  <w:marLeft w:val="0"/>
                  <w:marRight w:val="0"/>
                  <w:marTop w:val="0"/>
                  <w:marBottom w:val="0"/>
                  <w:divBdr>
                    <w:top w:val="dashed" w:sz="2" w:space="0" w:color="FFFFFF"/>
                    <w:left w:val="dashed" w:sz="2" w:space="0" w:color="FFFFFF"/>
                    <w:bottom w:val="dashed" w:sz="2" w:space="0" w:color="FFFFFF"/>
                    <w:right w:val="dashed" w:sz="2" w:space="0" w:color="FFFFFF"/>
                  </w:divBdr>
                </w:div>
                <w:div w:id="6557662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976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8577641">
      <w:bodyDiv w:val="1"/>
      <w:marLeft w:val="0"/>
      <w:marRight w:val="0"/>
      <w:marTop w:val="0"/>
      <w:marBottom w:val="0"/>
      <w:divBdr>
        <w:top w:val="none" w:sz="0" w:space="0" w:color="auto"/>
        <w:left w:val="none" w:sz="0" w:space="0" w:color="auto"/>
        <w:bottom w:val="none" w:sz="0" w:space="0" w:color="auto"/>
        <w:right w:val="none" w:sz="0" w:space="0" w:color="auto"/>
      </w:divBdr>
    </w:div>
    <w:div w:id="237979372">
      <w:bodyDiv w:val="1"/>
      <w:marLeft w:val="0"/>
      <w:marRight w:val="0"/>
      <w:marTop w:val="0"/>
      <w:marBottom w:val="0"/>
      <w:divBdr>
        <w:top w:val="none" w:sz="0" w:space="0" w:color="auto"/>
        <w:left w:val="none" w:sz="0" w:space="0" w:color="auto"/>
        <w:bottom w:val="none" w:sz="0" w:space="0" w:color="auto"/>
        <w:right w:val="none" w:sz="0" w:space="0" w:color="auto"/>
      </w:divBdr>
    </w:div>
    <w:div w:id="295258567">
      <w:bodyDiv w:val="1"/>
      <w:marLeft w:val="0"/>
      <w:marRight w:val="0"/>
      <w:marTop w:val="0"/>
      <w:marBottom w:val="0"/>
      <w:divBdr>
        <w:top w:val="none" w:sz="0" w:space="0" w:color="auto"/>
        <w:left w:val="none" w:sz="0" w:space="0" w:color="auto"/>
        <w:bottom w:val="none" w:sz="0" w:space="0" w:color="auto"/>
        <w:right w:val="none" w:sz="0" w:space="0" w:color="auto"/>
      </w:divBdr>
    </w:div>
    <w:div w:id="297339195">
      <w:bodyDiv w:val="1"/>
      <w:marLeft w:val="0"/>
      <w:marRight w:val="0"/>
      <w:marTop w:val="0"/>
      <w:marBottom w:val="0"/>
      <w:divBdr>
        <w:top w:val="none" w:sz="0" w:space="0" w:color="auto"/>
        <w:left w:val="none" w:sz="0" w:space="0" w:color="auto"/>
        <w:bottom w:val="none" w:sz="0" w:space="0" w:color="auto"/>
        <w:right w:val="none" w:sz="0" w:space="0" w:color="auto"/>
      </w:divBdr>
    </w:div>
    <w:div w:id="442919049">
      <w:bodyDiv w:val="1"/>
      <w:marLeft w:val="0"/>
      <w:marRight w:val="0"/>
      <w:marTop w:val="0"/>
      <w:marBottom w:val="0"/>
      <w:divBdr>
        <w:top w:val="none" w:sz="0" w:space="0" w:color="auto"/>
        <w:left w:val="none" w:sz="0" w:space="0" w:color="auto"/>
        <w:bottom w:val="none" w:sz="0" w:space="0" w:color="auto"/>
        <w:right w:val="none" w:sz="0" w:space="0" w:color="auto"/>
      </w:divBdr>
    </w:div>
    <w:div w:id="501429549">
      <w:bodyDiv w:val="1"/>
      <w:marLeft w:val="0"/>
      <w:marRight w:val="0"/>
      <w:marTop w:val="0"/>
      <w:marBottom w:val="0"/>
      <w:divBdr>
        <w:top w:val="none" w:sz="0" w:space="0" w:color="auto"/>
        <w:left w:val="none" w:sz="0" w:space="0" w:color="auto"/>
        <w:bottom w:val="none" w:sz="0" w:space="0" w:color="auto"/>
        <w:right w:val="none" w:sz="0" w:space="0" w:color="auto"/>
      </w:divBdr>
      <w:divsChild>
        <w:div w:id="1845394842">
          <w:marLeft w:val="0"/>
          <w:marRight w:val="0"/>
          <w:marTop w:val="0"/>
          <w:marBottom w:val="0"/>
          <w:divBdr>
            <w:top w:val="dashed" w:sz="2" w:space="0" w:color="FFFFFF"/>
            <w:left w:val="dashed" w:sz="2" w:space="0" w:color="FFFFFF"/>
            <w:bottom w:val="dashed" w:sz="2" w:space="0" w:color="FFFFFF"/>
            <w:right w:val="dashed" w:sz="2" w:space="0" w:color="FFFFFF"/>
          </w:divBdr>
        </w:div>
        <w:div w:id="469714012">
          <w:marLeft w:val="0"/>
          <w:marRight w:val="0"/>
          <w:marTop w:val="0"/>
          <w:marBottom w:val="0"/>
          <w:divBdr>
            <w:top w:val="dashed" w:sz="2" w:space="0" w:color="FFFFFF"/>
            <w:left w:val="dashed" w:sz="2" w:space="0" w:color="FFFFFF"/>
            <w:bottom w:val="dashed" w:sz="2" w:space="0" w:color="FFFFFF"/>
            <w:right w:val="dashed" w:sz="2" w:space="0" w:color="FFFFFF"/>
          </w:divBdr>
          <w:divsChild>
            <w:div w:id="403454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90507278">
      <w:bodyDiv w:val="1"/>
      <w:marLeft w:val="0"/>
      <w:marRight w:val="0"/>
      <w:marTop w:val="0"/>
      <w:marBottom w:val="0"/>
      <w:divBdr>
        <w:top w:val="none" w:sz="0" w:space="0" w:color="auto"/>
        <w:left w:val="none" w:sz="0" w:space="0" w:color="auto"/>
        <w:bottom w:val="none" w:sz="0" w:space="0" w:color="auto"/>
        <w:right w:val="none" w:sz="0" w:space="0" w:color="auto"/>
      </w:divBdr>
      <w:divsChild>
        <w:div w:id="643001940">
          <w:marLeft w:val="0"/>
          <w:marRight w:val="0"/>
          <w:marTop w:val="72"/>
          <w:marBottom w:val="0"/>
          <w:divBdr>
            <w:top w:val="none" w:sz="0" w:space="0" w:color="auto"/>
            <w:left w:val="none" w:sz="0" w:space="0" w:color="auto"/>
            <w:bottom w:val="none" w:sz="0" w:space="0" w:color="auto"/>
            <w:right w:val="none" w:sz="0" w:space="0" w:color="auto"/>
          </w:divBdr>
        </w:div>
      </w:divsChild>
    </w:div>
    <w:div w:id="1028287954">
      <w:bodyDiv w:val="1"/>
      <w:marLeft w:val="0"/>
      <w:marRight w:val="0"/>
      <w:marTop w:val="0"/>
      <w:marBottom w:val="0"/>
      <w:divBdr>
        <w:top w:val="none" w:sz="0" w:space="0" w:color="auto"/>
        <w:left w:val="none" w:sz="0" w:space="0" w:color="auto"/>
        <w:bottom w:val="none" w:sz="0" w:space="0" w:color="auto"/>
        <w:right w:val="none" w:sz="0" w:space="0" w:color="auto"/>
      </w:divBdr>
    </w:div>
    <w:div w:id="1062367887">
      <w:bodyDiv w:val="1"/>
      <w:marLeft w:val="0"/>
      <w:marRight w:val="0"/>
      <w:marTop w:val="0"/>
      <w:marBottom w:val="0"/>
      <w:divBdr>
        <w:top w:val="none" w:sz="0" w:space="0" w:color="auto"/>
        <w:left w:val="none" w:sz="0" w:space="0" w:color="auto"/>
        <w:bottom w:val="none" w:sz="0" w:space="0" w:color="auto"/>
        <w:right w:val="none" w:sz="0" w:space="0" w:color="auto"/>
      </w:divBdr>
      <w:divsChild>
        <w:div w:id="1989508003">
          <w:marLeft w:val="0"/>
          <w:marRight w:val="0"/>
          <w:marTop w:val="72"/>
          <w:marBottom w:val="0"/>
          <w:divBdr>
            <w:top w:val="none" w:sz="0" w:space="0" w:color="auto"/>
            <w:left w:val="none" w:sz="0" w:space="0" w:color="auto"/>
            <w:bottom w:val="none" w:sz="0" w:space="0" w:color="auto"/>
            <w:right w:val="none" w:sz="0" w:space="0" w:color="auto"/>
          </w:divBdr>
        </w:div>
      </w:divsChild>
    </w:div>
    <w:div w:id="1082293857">
      <w:bodyDiv w:val="1"/>
      <w:marLeft w:val="0"/>
      <w:marRight w:val="0"/>
      <w:marTop w:val="0"/>
      <w:marBottom w:val="0"/>
      <w:divBdr>
        <w:top w:val="none" w:sz="0" w:space="0" w:color="auto"/>
        <w:left w:val="none" w:sz="0" w:space="0" w:color="auto"/>
        <w:bottom w:val="none" w:sz="0" w:space="0" w:color="auto"/>
        <w:right w:val="none" w:sz="0" w:space="0" w:color="auto"/>
      </w:divBdr>
      <w:divsChild>
        <w:div w:id="79521766">
          <w:marLeft w:val="0"/>
          <w:marRight w:val="0"/>
          <w:marTop w:val="0"/>
          <w:marBottom w:val="0"/>
          <w:divBdr>
            <w:top w:val="dashed" w:sz="2" w:space="0" w:color="FFFFFF"/>
            <w:left w:val="dashed" w:sz="2" w:space="0" w:color="FFFFFF"/>
            <w:bottom w:val="dashed" w:sz="2" w:space="0" w:color="FFFFFF"/>
            <w:right w:val="dashed" w:sz="2" w:space="0" w:color="FFFFFF"/>
          </w:divBdr>
        </w:div>
        <w:div w:id="1527909372">
          <w:marLeft w:val="0"/>
          <w:marRight w:val="0"/>
          <w:marTop w:val="0"/>
          <w:marBottom w:val="0"/>
          <w:divBdr>
            <w:top w:val="dashed" w:sz="2" w:space="0" w:color="FFFFFF"/>
            <w:left w:val="dashed" w:sz="2" w:space="0" w:color="FFFFFF"/>
            <w:bottom w:val="dashed" w:sz="2" w:space="0" w:color="FFFFFF"/>
            <w:right w:val="dashed" w:sz="2" w:space="0" w:color="FFFFFF"/>
          </w:divBdr>
          <w:divsChild>
            <w:div w:id="2132816548">
              <w:marLeft w:val="0"/>
              <w:marRight w:val="0"/>
              <w:marTop w:val="0"/>
              <w:marBottom w:val="0"/>
              <w:divBdr>
                <w:top w:val="dashed" w:sz="2" w:space="0" w:color="FFFFFF"/>
                <w:left w:val="dashed" w:sz="2" w:space="0" w:color="FFFFFF"/>
                <w:bottom w:val="dashed" w:sz="2" w:space="0" w:color="FFFFFF"/>
                <w:right w:val="dashed" w:sz="2" w:space="0" w:color="FFFFFF"/>
              </w:divBdr>
            </w:div>
            <w:div w:id="1153988453">
              <w:marLeft w:val="0"/>
              <w:marRight w:val="0"/>
              <w:marTop w:val="0"/>
              <w:marBottom w:val="0"/>
              <w:divBdr>
                <w:top w:val="dashed" w:sz="2" w:space="0" w:color="FFFFFF"/>
                <w:left w:val="dashed" w:sz="2" w:space="0" w:color="FFFFFF"/>
                <w:bottom w:val="dashed" w:sz="2" w:space="0" w:color="FFFFFF"/>
                <w:right w:val="dashed" w:sz="2" w:space="0" w:color="FFFFFF"/>
              </w:divBdr>
            </w:div>
            <w:div w:id="2025395218">
              <w:marLeft w:val="0"/>
              <w:marRight w:val="0"/>
              <w:marTop w:val="0"/>
              <w:marBottom w:val="0"/>
              <w:divBdr>
                <w:top w:val="dashed" w:sz="2" w:space="0" w:color="FFFFFF"/>
                <w:left w:val="dashed" w:sz="2" w:space="0" w:color="FFFFFF"/>
                <w:bottom w:val="dashed" w:sz="2" w:space="0" w:color="FFFFFF"/>
                <w:right w:val="dashed" w:sz="2" w:space="0" w:color="FFFFFF"/>
              </w:divBdr>
            </w:div>
            <w:div w:id="264190703">
              <w:marLeft w:val="0"/>
              <w:marRight w:val="0"/>
              <w:marTop w:val="0"/>
              <w:marBottom w:val="0"/>
              <w:divBdr>
                <w:top w:val="dashed" w:sz="2" w:space="0" w:color="FFFFFF"/>
                <w:left w:val="dashed" w:sz="2" w:space="0" w:color="FFFFFF"/>
                <w:bottom w:val="dashed" w:sz="2" w:space="0" w:color="FFFFFF"/>
                <w:right w:val="dashed" w:sz="2" w:space="0" w:color="FFFFFF"/>
              </w:divBdr>
            </w:div>
            <w:div w:id="77286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19168791">
      <w:bodyDiv w:val="1"/>
      <w:marLeft w:val="0"/>
      <w:marRight w:val="0"/>
      <w:marTop w:val="0"/>
      <w:marBottom w:val="0"/>
      <w:divBdr>
        <w:top w:val="none" w:sz="0" w:space="0" w:color="auto"/>
        <w:left w:val="none" w:sz="0" w:space="0" w:color="auto"/>
        <w:bottom w:val="none" w:sz="0" w:space="0" w:color="auto"/>
        <w:right w:val="none" w:sz="0" w:space="0" w:color="auto"/>
      </w:divBdr>
      <w:divsChild>
        <w:div w:id="1195189108">
          <w:marLeft w:val="0"/>
          <w:marRight w:val="0"/>
          <w:marTop w:val="72"/>
          <w:marBottom w:val="0"/>
          <w:divBdr>
            <w:top w:val="none" w:sz="0" w:space="0" w:color="auto"/>
            <w:left w:val="none" w:sz="0" w:space="0" w:color="auto"/>
            <w:bottom w:val="none" w:sz="0" w:space="0" w:color="auto"/>
            <w:right w:val="none" w:sz="0" w:space="0" w:color="auto"/>
          </w:divBdr>
        </w:div>
        <w:div w:id="924000971">
          <w:marLeft w:val="0"/>
          <w:marRight w:val="0"/>
          <w:marTop w:val="72"/>
          <w:marBottom w:val="0"/>
          <w:divBdr>
            <w:top w:val="none" w:sz="0" w:space="0" w:color="auto"/>
            <w:left w:val="none" w:sz="0" w:space="0" w:color="auto"/>
            <w:bottom w:val="none" w:sz="0" w:space="0" w:color="auto"/>
            <w:right w:val="none" w:sz="0" w:space="0" w:color="auto"/>
          </w:divBdr>
        </w:div>
      </w:divsChild>
    </w:div>
    <w:div w:id="1246498290">
      <w:bodyDiv w:val="1"/>
      <w:marLeft w:val="0"/>
      <w:marRight w:val="0"/>
      <w:marTop w:val="0"/>
      <w:marBottom w:val="0"/>
      <w:divBdr>
        <w:top w:val="none" w:sz="0" w:space="0" w:color="auto"/>
        <w:left w:val="none" w:sz="0" w:space="0" w:color="auto"/>
        <w:bottom w:val="none" w:sz="0" w:space="0" w:color="auto"/>
        <w:right w:val="none" w:sz="0" w:space="0" w:color="auto"/>
      </w:divBdr>
    </w:div>
    <w:div w:id="1421487050">
      <w:bodyDiv w:val="1"/>
      <w:marLeft w:val="0"/>
      <w:marRight w:val="0"/>
      <w:marTop w:val="0"/>
      <w:marBottom w:val="0"/>
      <w:divBdr>
        <w:top w:val="none" w:sz="0" w:space="0" w:color="auto"/>
        <w:left w:val="none" w:sz="0" w:space="0" w:color="auto"/>
        <w:bottom w:val="none" w:sz="0" w:space="0" w:color="auto"/>
        <w:right w:val="none" w:sz="0" w:space="0" w:color="auto"/>
      </w:divBdr>
      <w:divsChild>
        <w:div w:id="1697006217">
          <w:marLeft w:val="0"/>
          <w:marRight w:val="0"/>
          <w:marTop w:val="0"/>
          <w:marBottom w:val="0"/>
          <w:divBdr>
            <w:top w:val="dashed" w:sz="2" w:space="0" w:color="FFFFFF"/>
            <w:left w:val="dashed" w:sz="2" w:space="0" w:color="FFFFFF"/>
            <w:bottom w:val="dashed" w:sz="2" w:space="0" w:color="FFFFFF"/>
            <w:right w:val="dashed" w:sz="2" w:space="0" w:color="FFFFFF"/>
          </w:divBdr>
        </w:div>
        <w:div w:id="1258708807">
          <w:marLeft w:val="0"/>
          <w:marRight w:val="0"/>
          <w:marTop w:val="0"/>
          <w:marBottom w:val="0"/>
          <w:divBdr>
            <w:top w:val="dashed" w:sz="2" w:space="0" w:color="FFFFFF"/>
            <w:left w:val="dashed" w:sz="2" w:space="0" w:color="FFFFFF"/>
            <w:bottom w:val="dashed" w:sz="2" w:space="0" w:color="FFFFFF"/>
            <w:right w:val="dashed" w:sz="2" w:space="0" w:color="FFFFFF"/>
          </w:divBdr>
          <w:divsChild>
            <w:div w:id="376777013">
              <w:marLeft w:val="0"/>
              <w:marRight w:val="0"/>
              <w:marTop w:val="0"/>
              <w:marBottom w:val="0"/>
              <w:divBdr>
                <w:top w:val="dashed" w:sz="2" w:space="0" w:color="FFFFFF"/>
                <w:left w:val="dashed" w:sz="2" w:space="0" w:color="FFFFFF"/>
                <w:bottom w:val="dashed" w:sz="2" w:space="0" w:color="FFFFFF"/>
                <w:right w:val="dashed" w:sz="2" w:space="0" w:color="FFFFFF"/>
              </w:divBdr>
            </w:div>
            <w:div w:id="2087455622">
              <w:marLeft w:val="0"/>
              <w:marRight w:val="0"/>
              <w:marTop w:val="0"/>
              <w:marBottom w:val="0"/>
              <w:divBdr>
                <w:top w:val="dashed" w:sz="2" w:space="0" w:color="FFFFFF"/>
                <w:left w:val="dashed" w:sz="2" w:space="0" w:color="FFFFFF"/>
                <w:bottom w:val="dashed" w:sz="2" w:space="0" w:color="FFFFFF"/>
                <w:right w:val="dashed" w:sz="2" w:space="0" w:color="FFFFFF"/>
              </w:divBdr>
            </w:div>
            <w:div w:id="243419136">
              <w:marLeft w:val="0"/>
              <w:marRight w:val="0"/>
              <w:marTop w:val="0"/>
              <w:marBottom w:val="0"/>
              <w:divBdr>
                <w:top w:val="dashed" w:sz="2" w:space="0" w:color="FFFFFF"/>
                <w:left w:val="dashed" w:sz="2" w:space="0" w:color="FFFFFF"/>
                <w:bottom w:val="dashed" w:sz="2" w:space="0" w:color="FFFFFF"/>
                <w:right w:val="dashed" w:sz="2" w:space="0" w:color="FFFFFF"/>
              </w:divBdr>
            </w:div>
            <w:div w:id="1028989384">
              <w:marLeft w:val="0"/>
              <w:marRight w:val="0"/>
              <w:marTop w:val="0"/>
              <w:marBottom w:val="0"/>
              <w:divBdr>
                <w:top w:val="dashed" w:sz="2" w:space="0" w:color="FFFFFF"/>
                <w:left w:val="dashed" w:sz="2" w:space="0" w:color="FFFFFF"/>
                <w:bottom w:val="dashed" w:sz="2" w:space="0" w:color="FFFFFF"/>
                <w:right w:val="dashed" w:sz="2" w:space="0" w:color="FFFFFF"/>
              </w:divBdr>
            </w:div>
            <w:div w:id="2100825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3776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0CF48-2B83-41D8-A943-910784B0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STANCU</dc:creator>
  <cp:lastModifiedBy>Camera Deputatilor</cp:lastModifiedBy>
  <cp:revision>13</cp:revision>
  <cp:lastPrinted>2024-09-02T11:14:00Z</cp:lastPrinted>
  <dcterms:created xsi:type="dcterms:W3CDTF">2025-08-31T15:52:00Z</dcterms:created>
  <dcterms:modified xsi:type="dcterms:W3CDTF">2025-08-31T19:14:00Z</dcterms:modified>
</cp:coreProperties>
</file>