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35.xml" ContentType="application/vnd.openxmlformats-officedocument.drawingml.chart+xml"/>
  <Override PartName="/word/charts/chart1.xml" ContentType="application/vnd.openxmlformats-officedocument.drawingml.chart+xml"/>
  <Override PartName="/word/charts/chart36.xml" ContentType="application/vnd.openxmlformats-officedocument.drawingml.chart+xml"/>
  <Override PartName="/word/charts/chart2.xml" ContentType="application/vnd.openxmlformats-officedocument.drawingml.chart+xml"/>
  <Override PartName="/word/charts/chart37.xml" ContentType="application/vnd.openxmlformats-officedocument.drawingml.chart+xml"/>
  <Override PartName="/word/charts/chart3.xml" ContentType="application/vnd.openxmlformats-officedocument.drawingml.chart+xml"/>
  <Override PartName="/word/charts/chart38.xml" ContentType="application/vnd.openxmlformats-officedocument.drawingml.chart+xml"/>
  <Override PartName="/word/charts/chart4.xml" ContentType="application/vnd.openxmlformats-officedocument.drawingml.chart+xml"/>
  <Override PartName="/word/charts/chart39.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6.xml.rels" ContentType="application/vnd.openxmlformats-package.relationships+xml"/>
  <Override PartName="/word/charts/_rels/chart10.xml.rels" ContentType="application/vnd.openxmlformats-package.relationships+xml"/>
  <Override PartName="/word/charts/_rels/chart11.xml.rels" ContentType="application/vnd.openxmlformats-package.relationships+xml"/>
  <Override PartName="/word/charts/_rels/chart7.xml.rels" ContentType="application/vnd.openxmlformats-package.relationships+xml"/>
  <Override PartName="/word/charts/_rels/chart8.xml.rels" ContentType="application/vnd.openxmlformats-package.relationships+xml"/>
  <Override PartName="/word/charts/_rels/chart13.xml.rels" ContentType="application/vnd.openxmlformats-package.relationships+xml"/>
  <Override PartName="/word/footnotes.xml" ContentType="application/vnd.openxmlformats-officedocument.wordprocessingml.footnotes+xml"/>
  <Override PartName="/word/media/image1.png" ContentType="image/png"/>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5.xlsx" ContentType="application/vnd.openxmlformats-officedocument.spreadsheetml.sheet"/>
  <Override PartName="/word/embeddings/Microsoft_Excel_Worksheet7.xlsx" ContentType="application/vnd.openxmlformats-officedocument.spreadsheetml.sheet"/>
  <Override PartName="/word/embeddings/Microsoft_Excel_Worksheet.xlsx" ContentType="application/vnd.openxmlformats-officedocument.spreadsheetml.sheet"/>
  <Override PartName="/word/embeddings/Microsoft_Excel_Worksheet3.xlsx" ContentType="application/vnd.openxmlformats-officedocument.spreadsheetml.sheet"/>
  <Override PartName="/word/embeddings/oleObject1.bin" ContentType="application/vnd.openxmlformats-officedocument.oleObject"/>
  <Override PartName="/word/embeddings/Microsoft_Excel_Worksheet8.xlsx" ContentType="application/vnd.openxmlformats-officedocument.spreadsheetml.sheet"/>
  <Override PartName="/word/embeddings/Microsoft_Excel_Worksheet1.xlsx" ContentType="application/vnd.openxmlformats-officedocument.spreadsheetml.sheet"/>
  <Override PartName="/word/embeddings/Microsoft_Excel_Worksheet6.xlsx" ContentType="application/vnd.openxmlformats-officedocument.spreadsheetml.sheet"/>
  <Override PartName="/word/embeddings/Microsoft_Excel_Worksheet4.xlsx" ContentType="application/vnd.openxmlformats-officedocument.spreadsheetml.sheet"/>
  <Override PartName="/word/embeddings/Microsoft_Excel_Worksheet2.xlsx" ContentType="application/vnd.openxmlformats-officedocument.spreadsheetml.sheet"/>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pBdr>
          <w:bottom w:val="single" w:sz="4" w:space="1" w:color="BDD6EE"/>
        </w:pBdr>
        <w:spacing w:before="160" w:after="160"/>
        <w:jc w:val="right"/>
        <w:rPr>
          <w:rFonts w:ascii="Times New Roman" w:hAnsi="Times New Roman" w:cs="Times New Roman"/>
          <w:i/>
          <w:i/>
          <w:sz w:val="24"/>
          <w:szCs w:val="24"/>
          <w:lang w:val="ro-RO"/>
        </w:rPr>
      </w:pPr>
      <w:r>
        <w:rPr>
          <w:rFonts w:cs="Calibri" w:ascii="Calibri" w:hAnsi="Calibri" w:asciiTheme="minorHAnsi" w:cstheme="minorHAnsi" w:hAnsiTheme="minorHAnsi"/>
          <w:i/>
          <w:position w:val="-1"/>
          <w:sz w:val="40"/>
          <w:lang w:val="ro-RO"/>
        </w:rPr>
        <w:t xml:space="preserve">                                    </w:t>
      </w:r>
      <w:bookmarkStart w:id="0" w:name="_GoBack"/>
      <w:bookmarkEnd w:id="0"/>
    </w:p>
    <w:p>
      <w:pPr>
        <w:pStyle w:val="Heading1"/>
        <w:pBdr>
          <w:bottom w:val="single" w:sz="4" w:space="1" w:color="BDD6EE"/>
        </w:pBdr>
        <w:spacing w:before="160" w:after="160"/>
        <w:jc w:val="center"/>
        <w:rPr>
          <w:rFonts w:ascii="Calibri" w:hAnsi="Calibri" w:cs="Calibri" w:asciiTheme="minorHAnsi" w:cstheme="minorHAnsi" w:hAnsiTheme="minorHAnsi"/>
          <w:sz w:val="40"/>
          <w:lang w:val="ro-RO"/>
        </w:rPr>
      </w:pPr>
      <w:r>
        <w:rPr>
          <w:rFonts w:cs="Calibri" w:ascii="Calibri" w:hAnsi="Calibri" w:asciiTheme="minorHAnsi" w:cstheme="minorHAnsi" w:hAnsiTheme="minorHAnsi"/>
          <w:sz w:val="40"/>
          <w:lang w:val="ro-RO"/>
        </w:rPr>
        <w:t>Strategia Națională pentru Dezvoltarea Pieței de Capital 2022 - 2026</w:t>
      </w:r>
    </w:p>
    <w:p>
      <w:pPr>
        <w:pStyle w:val="Normal"/>
        <w:rPr>
          <w:lang w:val="ro-RO"/>
        </w:rPr>
      </w:pPr>
      <w:r>
        <w:rPr>
          <w:lang w:val="ro-RO"/>
        </w:rPr>
      </w:r>
    </w:p>
    <w:p>
      <w:pPr>
        <w:pStyle w:val="Normal"/>
        <w:spacing w:before="160" w:after="160"/>
        <w:jc w:val="both"/>
        <w:rPr>
          <w:rFonts w:cs="Calibri" w:cstheme="minorHAnsi"/>
          <w:lang w:val="ro-RO"/>
        </w:rPr>
      </w:pPr>
      <w:r>
        <w:rPr>
          <w:rFonts w:cs="Calibri" w:cstheme="minorHAnsi"/>
          <w:lang w:val="ro-RO"/>
        </w:rPr>
      </w:r>
    </w:p>
    <w:p>
      <w:pPr>
        <w:pStyle w:val="Normal"/>
        <w:spacing w:before="160" w:after="160"/>
        <w:jc w:val="center"/>
        <w:rPr/>
      </w:pPr>
      <w:r>
        <w:rPr>
          <w:rFonts w:cs="Calibri" w:cstheme="minorHAnsi"/>
          <w:b/>
          <w:lang w:val="ro-RO"/>
        </w:rPr>
        <w:t>Cuprins</w:t>
      </w:r>
    </w:p>
    <w:sdt>
      <w:sdtPr>
        <w:docPartObj>
          <w:docPartGallery w:val="Table of Contents"/>
          <w:docPartUnique w:val="true"/>
        </w:docPartObj>
      </w:sdtPr>
      <w:sdtContent>
        <w:p>
          <w:pPr>
            <w:pStyle w:val="Contents1"/>
            <w:tabs>
              <w:tab w:val="left" w:pos="450" w:leader="none"/>
              <w:tab w:val="left" w:pos="540" w:leader="none"/>
              <w:tab w:val="right" w:pos="9360" w:leader="dot"/>
            </w:tabs>
            <w:spacing w:before="0" w:after="100"/>
            <w:jc w:val="both"/>
            <w:rPr>
              <w:rFonts w:eastAsia="" w:eastAsiaTheme="minorEastAsia"/>
              <w:b w:val="false"/>
              <w:b w:val="false"/>
            </w:rPr>
          </w:pPr>
          <w:r>
            <w:fldChar w:fldCharType="begin"/>
          </w:r>
          <w:r>
            <w:rPr>
              <w:b/>
              <w:rFonts w:cs="Calibri"/>
            </w:rPr>
            <w:instrText> TOC \t "Heading 2,1,ME Legal 1,1,Heading 3,2,TITLU CAPITOL,2,Style 1,2,TITLU SUBCAPITOL,2,ME Legal 2,2" \h</w:instrText>
          </w:r>
          <w:r>
            <w:rPr>
              <w:b/>
              <w:rFonts w:cs="Calibri"/>
            </w:rPr>
            <w:fldChar w:fldCharType="separate"/>
          </w:r>
          <w:r>
            <w:rPr>
              <w:rFonts w:cs="Calibri" w:cstheme="minorHAnsi"/>
              <w:b/>
              <w:lang w:val="ro-RO"/>
            </w:rPr>
            <w:t>I.</w:t>
          </w:r>
          <w:r>
            <w:rPr>
              <w:rFonts w:eastAsia="" w:eastAsiaTheme="minorEastAsia"/>
              <w:b w:val="false"/>
              <w:lang w:val="ro-RO"/>
            </w:rPr>
            <w:tab/>
          </w:r>
          <w:r>
            <w:rPr>
              <w:rFonts w:cs="Calibri" w:cstheme="minorHAnsi"/>
              <w:b/>
              <w:lang w:val="ro-RO"/>
            </w:rPr>
            <w:t>Introducere</w:t>
          </w:r>
          <w:r>
            <w:rPr>
              <w:b/>
              <w:lang w:val="ro-RO"/>
            </w:rPr>
            <w:tab/>
            <w:t>3</w:t>
          </w:r>
        </w:p>
        <w:p>
          <w:pPr>
            <w:pStyle w:val="Contents1"/>
            <w:rPr>
              <w:rFonts w:eastAsia="" w:eastAsiaTheme="minorEastAsia"/>
              <w:b w:val="false"/>
              <w:b w:val="false"/>
            </w:rPr>
          </w:pPr>
          <w:r>
            <w:rPr>
              <w:rFonts w:cs="Calibri" w:cstheme="minorHAnsi"/>
            </w:rPr>
            <w:t>II.</w:t>
          </w:r>
          <w:r>
            <w:rPr>
              <w:rFonts w:eastAsia="" w:eastAsiaTheme="minorEastAsia"/>
              <w:b w:val="false"/>
            </w:rPr>
            <w:tab/>
          </w:r>
          <w:r>
            <w:rPr>
              <w:rFonts w:cs="Calibri" w:cstheme="minorHAnsi"/>
            </w:rPr>
            <w:t>Viziune</w:t>
          </w:r>
          <w:r>
            <w:rPr/>
            <w:tab/>
            <w:t>4</w:t>
          </w:r>
        </w:p>
        <w:p>
          <w:pPr>
            <w:pStyle w:val="Contents1"/>
            <w:rPr>
              <w:rFonts w:eastAsia="" w:eastAsiaTheme="minorEastAsia"/>
              <w:b w:val="false"/>
              <w:b w:val="false"/>
            </w:rPr>
          </w:pPr>
          <w:r>
            <w:rPr>
              <w:rFonts w:cs="Calibri" w:cstheme="minorHAnsi"/>
            </w:rPr>
            <w:t>III.</w:t>
          </w:r>
          <w:r>
            <w:rPr>
              <w:rFonts w:eastAsia="" w:eastAsiaTheme="minorEastAsia"/>
              <w:b w:val="false"/>
            </w:rPr>
            <w:tab/>
          </w:r>
          <w:r>
            <w:rPr>
              <w:rFonts w:cs="Calibri" w:cstheme="minorHAnsi"/>
            </w:rPr>
            <w:t>Priorităţile, politicile şi cadrul legal existente</w:t>
          </w:r>
          <w:r>
            <w:rPr/>
            <w:tab/>
            <w:t>4</w:t>
          </w:r>
        </w:p>
        <w:p>
          <w:pPr>
            <w:pStyle w:val="Contents1"/>
            <w:rPr>
              <w:rFonts w:eastAsia="" w:eastAsiaTheme="minorEastAsia"/>
              <w:b w:val="false"/>
              <w:b w:val="false"/>
            </w:rPr>
          </w:pPr>
          <w:r>
            <w:rPr>
              <w:rFonts w:cs="Calibri" w:cstheme="minorHAnsi"/>
            </w:rPr>
            <w:t>IV.</w:t>
          </w:r>
          <w:r>
            <w:rPr>
              <w:rFonts w:eastAsia="" w:eastAsiaTheme="minorEastAsia"/>
              <w:b w:val="false"/>
            </w:rPr>
            <w:tab/>
          </w:r>
          <w:r>
            <w:rPr>
              <w:rFonts w:cs="Calibri" w:cstheme="minorHAnsi"/>
            </w:rPr>
            <w:t>Calendarul obiectivelor</w:t>
          </w:r>
          <w:r>
            <w:rPr/>
            <w:tab/>
            <w:t>6</w:t>
          </w:r>
        </w:p>
        <w:p>
          <w:pPr>
            <w:pStyle w:val="Contents1"/>
            <w:rPr>
              <w:rFonts w:eastAsia="" w:eastAsiaTheme="minorEastAsia"/>
              <w:b w:val="false"/>
              <w:b w:val="false"/>
            </w:rPr>
          </w:pPr>
          <w:r>
            <w:rPr>
              <w:rFonts w:cs="Calibri" w:cstheme="minorHAnsi"/>
            </w:rPr>
            <w:t>V.</w:t>
          </w:r>
          <w:r>
            <w:rPr>
              <w:rFonts w:eastAsia="" w:eastAsiaTheme="minorEastAsia"/>
              <w:b w:val="false"/>
            </w:rPr>
            <w:tab/>
          </w:r>
          <w:r>
            <w:rPr>
              <w:rFonts w:cs="Calibri" w:cstheme="minorHAnsi"/>
            </w:rPr>
            <w:t>Caracteristicile pieței de capital din România – analiza contextului și definirea problemelor</w:t>
          </w:r>
          <w:r>
            <w:rPr/>
            <w:tab/>
            <w:t>13</w:t>
          </w:r>
        </w:p>
        <w:p>
          <w:pPr>
            <w:pStyle w:val="Contents2"/>
            <w:rPr>
              <w:rFonts w:eastAsia="" w:cs="" w:cstheme="minorBidi" w:eastAsiaTheme="minorEastAsia"/>
            </w:rPr>
          </w:pPr>
          <w:r>
            <w:rPr/>
            <w:t>1. Analiză diagnostic – principalele probleme cu care se confruntă piața locală</w:t>
            <w:tab/>
            <w:t>13</w:t>
          </w:r>
        </w:p>
        <w:p>
          <w:pPr>
            <w:pStyle w:val="Contents2"/>
            <w:rPr>
              <w:rFonts w:eastAsia="" w:cs="" w:cstheme="minorBidi" w:eastAsiaTheme="minorEastAsia"/>
            </w:rPr>
          </w:pPr>
          <w:r>
            <w:rPr/>
            <w:t>2. Contextul macroeconomic</w:t>
            <w:tab/>
            <w:t>14</w:t>
          </w:r>
        </w:p>
        <w:p>
          <w:pPr>
            <w:pStyle w:val="Contents2"/>
            <w:rPr>
              <w:rFonts w:eastAsia="" w:cs="" w:cstheme="minorBidi" w:eastAsiaTheme="minorEastAsia"/>
            </w:rPr>
          </w:pPr>
          <w:r>
            <w:rPr/>
            <w:t>3. Piața de acțiuni listate</w:t>
            <w:tab/>
            <w:t>21</w:t>
          </w:r>
        </w:p>
        <w:p>
          <w:pPr>
            <w:pStyle w:val="Contents2"/>
            <w:rPr>
              <w:rFonts w:eastAsia="" w:cs="" w:cstheme="minorBidi" w:eastAsiaTheme="minorEastAsia"/>
            </w:rPr>
          </w:pPr>
          <w:r>
            <w:rPr/>
            <w:t>4. Piața obligațiunilor corporative</w:t>
            <w:tab/>
            <w:t>30</w:t>
          </w:r>
        </w:p>
        <w:p>
          <w:pPr>
            <w:pStyle w:val="Contents2"/>
            <w:rPr>
              <w:rFonts w:eastAsia="" w:cs="" w:cstheme="minorBidi" w:eastAsiaTheme="minorEastAsia"/>
            </w:rPr>
          </w:pPr>
          <w:r>
            <w:rPr/>
            <w:t>5. Piața de private equity</w:t>
            <w:tab/>
            <w:t>37</w:t>
          </w:r>
        </w:p>
        <w:p>
          <w:pPr>
            <w:pStyle w:val="Contents1"/>
            <w:rPr>
              <w:rFonts w:eastAsia="" w:eastAsiaTheme="minorEastAsia"/>
              <w:b w:val="false"/>
              <w:b w:val="false"/>
            </w:rPr>
          </w:pPr>
          <w:r>
            <w:rPr>
              <w:rFonts w:cs="Calibri" w:cstheme="minorHAnsi"/>
            </w:rPr>
            <w:t>VI.</w:t>
          </w:r>
          <w:r>
            <w:rPr>
              <w:rFonts w:eastAsia="" w:eastAsiaTheme="minorEastAsia"/>
              <w:b w:val="false"/>
            </w:rPr>
            <w:tab/>
          </w:r>
          <w:r>
            <w:rPr>
              <w:rFonts w:cs="Calibri" w:cstheme="minorHAnsi"/>
            </w:rPr>
            <w:t>Obiective generale și specifice pentru dezvoltarea pieței de capital</w:t>
          </w:r>
          <w:r>
            <w:rPr/>
            <w:tab/>
            <w:t>47</w:t>
          </w:r>
        </w:p>
        <w:p>
          <w:pPr>
            <w:pStyle w:val="Contents2"/>
            <w:rPr>
              <w:rFonts w:eastAsia="" w:cs="" w:cstheme="minorBidi" w:eastAsiaTheme="minorEastAsia"/>
            </w:rPr>
          </w:pPr>
          <w:r>
            <w:rPr/>
            <w:t>Obiectiv general I: Îmbunătățirea condițiilor pentru listarea pe piața de capital</w:t>
            <w:tab/>
            <w:t>47</w:t>
          </w:r>
        </w:p>
        <w:p>
          <w:pPr>
            <w:pStyle w:val="Contents2"/>
            <w:rPr>
              <w:rFonts w:eastAsia="" w:cs="" w:cstheme="minorBidi" w:eastAsiaTheme="minorEastAsia"/>
            </w:rPr>
          </w:pPr>
          <w:r>
            <w:rPr/>
            <w:t>Obiectiv general II: Creșterea lichidității pe piața secundară</w:t>
            <w:tab/>
            <w:t>49</w:t>
          </w:r>
        </w:p>
        <w:p>
          <w:pPr>
            <w:pStyle w:val="Contents2"/>
            <w:rPr>
              <w:rFonts w:eastAsia="" w:cs="" w:cstheme="minorBidi" w:eastAsiaTheme="minorEastAsia"/>
            </w:rPr>
          </w:pPr>
          <w:r>
            <w:rPr/>
            <w:t>Obiectiv general III: Susținerea dezvoltării și creșterii pieței IMM-urilor</w:t>
            <w:tab/>
            <w:t>52</w:t>
          </w:r>
        </w:p>
        <w:p>
          <w:pPr>
            <w:pStyle w:val="Contents2"/>
            <w:rPr>
              <w:rFonts w:eastAsia="" w:cs="" w:cstheme="minorBidi" w:eastAsiaTheme="minorEastAsia"/>
              <w:lang w:val="en-US"/>
            </w:rPr>
          </w:pPr>
          <w:r>
            <w:rPr/>
            <w:t>Obiectiv general IV: Promovarea economiilor în rândul investitorilor persoane fizice</w:t>
            <w:tab/>
            <w:t>53</w:t>
          </w:r>
        </w:p>
        <w:p>
          <w:pPr>
            <w:pStyle w:val="Contents2"/>
            <w:rPr>
              <w:rFonts w:eastAsia="" w:cs="" w:cstheme="minorBidi" w:eastAsiaTheme="minorEastAsia"/>
              <w:lang w:val="en-US"/>
            </w:rPr>
          </w:pPr>
          <w:r>
            <w:rPr/>
            <w:t>Obiectiv general V: Creșterea rolului investitorilor instituționali</w:t>
            <w:tab/>
            <w:t>54</w:t>
          </w:r>
        </w:p>
        <w:p>
          <w:pPr>
            <w:pStyle w:val="Contents2"/>
            <w:rPr>
              <w:rFonts w:eastAsia="" w:cs="" w:cstheme="minorBidi" w:eastAsiaTheme="minorEastAsia"/>
              <w:lang w:val="en-US"/>
            </w:rPr>
          </w:pPr>
          <w:r>
            <w:rPr/>
            <w:t>Obiectiv general VI: Facilitarea finanțării pe termen lung prin mecanisme de piață</w:t>
            <w:tab/>
            <w:t>56</w:t>
          </w:r>
        </w:p>
        <w:p>
          <w:pPr>
            <w:pStyle w:val="Contents2"/>
            <w:rPr>
              <w:rFonts w:eastAsia="" w:cs="" w:cstheme="minorBidi" w:eastAsiaTheme="minorEastAsia"/>
              <w:lang w:val="en-US"/>
            </w:rPr>
          </w:pPr>
          <w:r>
            <w:rPr/>
            <w:t>Obiectiv general VII: Susținerea digitalizării și a inovației financiare</w:t>
            <w:tab/>
            <w:t>57</w:t>
          </w:r>
        </w:p>
        <w:p>
          <w:pPr>
            <w:pStyle w:val="Contents2"/>
            <w:rPr>
              <w:rFonts w:eastAsia="" w:cs="" w:cstheme="minorBidi" w:eastAsiaTheme="minorEastAsia"/>
              <w:lang w:val="fr-FR"/>
            </w:rPr>
          </w:pPr>
          <w:r>
            <w:rPr/>
            <w:t>Obiectiv general VIII: Susținerea dezvoltării pieței locale de capital privat (</w:t>
          </w:r>
          <w:r>
            <w:rPr>
              <w:i/>
              <w:iCs/>
            </w:rPr>
            <w:t>private equity</w:t>
          </w:r>
          <w:r>
            <w:rPr/>
            <w:t>) și de capital de risc (</w:t>
          </w:r>
          <w:r>
            <w:rPr>
              <w:i/>
              <w:iCs/>
            </w:rPr>
            <w:t>venture capital</w:t>
          </w:r>
          <w:r>
            <w:rPr/>
            <w:t>)</w:t>
            <w:tab/>
            <w:t>58</w:t>
          </w:r>
        </w:p>
        <w:p>
          <w:pPr>
            <w:pStyle w:val="Contents2"/>
            <w:rPr>
              <w:rFonts w:eastAsia="" w:cs="" w:cstheme="minorBidi" w:eastAsiaTheme="minorEastAsia"/>
              <w:lang w:val="en-US"/>
            </w:rPr>
          </w:pPr>
          <w:r>
            <w:rPr/>
            <w:t>Obiectiv general IX: Stimularea investițiilor verzi</w:t>
            <w:tab/>
            <w:t>59</w:t>
          </w:r>
        </w:p>
        <w:p>
          <w:pPr>
            <w:pStyle w:val="Contents1"/>
            <w:rPr>
              <w:rFonts w:eastAsia="" w:eastAsiaTheme="minorEastAsia"/>
              <w:b w:val="false"/>
              <w:b w:val="false"/>
              <w:lang w:val="en-US"/>
            </w:rPr>
          </w:pPr>
          <w:r>
            <w:rPr>
              <w:rFonts w:cs="Calibri" w:cstheme="minorHAnsi"/>
            </w:rPr>
            <w:t>VII.</w:t>
          </w:r>
          <w:r>
            <w:rPr>
              <w:rFonts w:eastAsia="" w:eastAsiaTheme="minorEastAsia"/>
              <w:b w:val="false"/>
              <w:lang w:val="en-US"/>
            </w:rPr>
            <w:tab/>
          </w:r>
          <w:r>
            <w:rPr>
              <w:rFonts w:cs="Calibri" w:cstheme="minorHAnsi"/>
            </w:rPr>
            <w:t>Programe – direcțiile de acțiune care vor sprijini atingerea obiectivelor și implementarea strategiei</w:t>
          </w:r>
          <w:r>
            <w:rPr/>
            <w:tab/>
            <w:t>60</w:t>
          </w:r>
        </w:p>
        <w:p>
          <w:pPr>
            <w:pStyle w:val="Contents1"/>
            <w:rPr>
              <w:rFonts w:eastAsia="" w:eastAsiaTheme="minorEastAsia"/>
              <w:b w:val="false"/>
              <w:b w:val="false"/>
              <w:lang w:val="en-US"/>
            </w:rPr>
          </w:pPr>
          <w:r>
            <w:rPr>
              <w:rFonts w:cs="Calibri" w:cstheme="minorHAnsi"/>
            </w:rPr>
            <w:t>VIII.</w:t>
          </w:r>
          <w:r>
            <w:rPr>
              <w:rFonts w:eastAsia="" w:eastAsiaTheme="minorEastAsia"/>
              <w:b w:val="false"/>
              <w:lang w:val="en-US"/>
            </w:rPr>
            <w:tab/>
          </w:r>
          <w:r>
            <w:rPr>
              <w:rFonts w:cs="Calibri" w:cstheme="minorHAnsi"/>
            </w:rPr>
            <w:t>Rezultate așteptate</w:t>
          </w:r>
          <w:r>
            <w:rPr/>
            <w:tab/>
            <w:t>61</w:t>
          </w:r>
        </w:p>
        <w:p>
          <w:pPr>
            <w:pStyle w:val="Contents1"/>
            <w:rPr>
              <w:rFonts w:eastAsia="" w:eastAsiaTheme="minorEastAsia"/>
              <w:b w:val="false"/>
              <w:b w:val="false"/>
              <w:lang w:val="en-US"/>
            </w:rPr>
          </w:pPr>
          <w:r>
            <w:rPr>
              <w:rFonts w:cs="Calibri" w:cstheme="minorHAnsi"/>
            </w:rPr>
            <w:t>IX.</w:t>
          </w:r>
          <w:r>
            <w:rPr>
              <w:rFonts w:eastAsia="" w:eastAsiaTheme="minorEastAsia"/>
              <w:b w:val="false"/>
              <w:lang w:val="en-US"/>
            </w:rPr>
            <w:tab/>
          </w:r>
          <w:r>
            <w:rPr>
              <w:rFonts w:cs="Calibri" w:cstheme="minorHAnsi"/>
            </w:rPr>
            <w:t>Indicatori de măsurare a evoluției implementării strategiei</w:t>
          </w:r>
          <w:r>
            <w:rPr/>
            <w:tab/>
            <w:t>62</w:t>
          </w:r>
        </w:p>
        <w:p>
          <w:pPr>
            <w:pStyle w:val="Contents1"/>
            <w:rPr>
              <w:rFonts w:eastAsia="" w:eastAsiaTheme="minorEastAsia"/>
              <w:b w:val="false"/>
              <w:b w:val="false"/>
              <w:lang w:val="fr-FR"/>
            </w:rPr>
          </w:pPr>
          <w:r>
            <w:rPr>
              <w:rFonts w:cs="Calibri" w:cstheme="minorHAnsi"/>
            </w:rPr>
            <w:t>X.</w:t>
          </w:r>
          <w:r>
            <w:rPr>
              <w:rFonts w:eastAsia="" w:eastAsiaTheme="minorEastAsia"/>
              <w:b w:val="false"/>
              <w:lang w:val="fr-FR"/>
            </w:rPr>
            <w:tab/>
          </w:r>
          <w:r>
            <w:rPr>
              <w:rFonts w:cs="Calibri" w:cstheme="minorHAnsi"/>
            </w:rPr>
            <w:t>Proceduri de monitorizare și evaluare a implementării și impactului strategiei</w:t>
          </w:r>
          <w:r>
            <w:rPr/>
            <w:tab/>
            <w:t>62</w:t>
          </w:r>
        </w:p>
        <w:p>
          <w:pPr>
            <w:pStyle w:val="Contents1"/>
            <w:rPr>
              <w:rFonts w:eastAsia="" w:eastAsiaTheme="minorEastAsia"/>
              <w:b w:val="false"/>
              <w:b w:val="false"/>
              <w:lang w:val="fr-FR"/>
            </w:rPr>
          </w:pPr>
          <w:r>
            <w:rPr>
              <w:rFonts w:cs="Calibri" w:cstheme="minorHAnsi"/>
            </w:rPr>
            <w:t>XI.</w:t>
          </w:r>
          <w:r>
            <w:rPr>
              <w:rFonts w:eastAsia="" w:eastAsiaTheme="minorEastAsia"/>
              <w:b w:val="false"/>
              <w:lang w:val="fr-FR"/>
            </w:rPr>
            <w:tab/>
          </w:r>
          <w:r>
            <w:rPr>
              <w:rFonts w:cs="Calibri" w:cstheme="minorHAnsi"/>
            </w:rPr>
            <w:t>Instituțiile responsabile</w:t>
          </w:r>
          <w:r>
            <w:rPr/>
            <w:tab/>
            <w:t>63</w:t>
          </w:r>
        </w:p>
        <w:p>
          <w:pPr>
            <w:pStyle w:val="Contents1"/>
            <w:rPr>
              <w:rFonts w:eastAsia="" w:eastAsiaTheme="minorEastAsia"/>
              <w:b w:val="false"/>
              <w:b w:val="false"/>
              <w:lang w:val="fr-FR"/>
            </w:rPr>
          </w:pPr>
          <w:r>
            <w:rPr>
              <w:rFonts w:cs="Calibri" w:cstheme="minorHAnsi"/>
            </w:rPr>
            <w:t>XII.</w:t>
          </w:r>
          <w:r>
            <w:rPr>
              <w:rFonts w:eastAsia="" w:eastAsiaTheme="minorEastAsia"/>
              <w:b w:val="false"/>
              <w:lang w:val="fr-FR"/>
            </w:rPr>
            <w:tab/>
          </w:r>
          <w:r>
            <w:rPr>
              <w:rFonts w:cs="Calibri" w:cstheme="minorHAnsi"/>
            </w:rPr>
            <w:t>Implicațiile bugetare și sursele de finanțare</w:t>
          </w:r>
          <w:r>
            <w:rPr/>
            <w:tab/>
            <w:t>63</w:t>
          </w:r>
        </w:p>
        <w:p>
          <w:pPr>
            <w:pStyle w:val="Contents1"/>
            <w:rPr>
              <w:rFonts w:eastAsia="" w:eastAsiaTheme="minorEastAsia"/>
              <w:b w:val="false"/>
              <w:b w:val="false"/>
              <w:lang w:val="fr-FR"/>
            </w:rPr>
          </w:pPr>
          <w:r>
            <w:rPr>
              <w:rFonts w:cs="Calibri" w:cstheme="minorHAnsi"/>
            </w:rPr>
            <w:t>XIII.</w:t>
          </w:r>
          <w:r>
            <w:rPr>
              <w:rFonts w:eastAsia="" w:eastAsiaTheme="minorEastAsia"/>
              <w:b w:val="false"/>
              <w:lang w:val="fr-FR"/>
            </w:rPr>
            <w:tab/>
          </w:r>
          <w:r>
            <w:rPr>
              <w:rFonts w:cs="Calibri" w:cstheme="minorHAnsi"/>
            </w:rPr>
            <w:t>Implicațiile asupra cadrului juridic</w:t>
          </w:r>
          <w:r>
            <w:rPr/>
            <w:tab/>
            <w:t>63</w:t>
          </w:r>
        </w:p>
        <w:p>
          <w:pPr>
            <w:pStyle w:val="Contents1"/>
            <w:rPr>
              <w:rFonts w:eastAsia="" w:eastAsiaTheme="minorEastAsia"/>
              <w:b w:val="false"/>
              <w:b w:val="false"/>
              <w:lang w:val="fr-FR"/>
            </w:rPr>
          </w:pPr>
          <w:r>
            <w:rPr>
              <w:rFonts w:cs="Calibri" w:cstheme="minorHAnsi"/>
            </w:rPr>
            <w:t>Anexă: Planul de Acţiune pentru implementarea Strategiei Naționale pentru Dezvoltarea Pieței de Capital pentru perioada 2022-2026</w:t>
          </w:r>
          <w:r>
            <w:rPr/>
            <w:tab/>
            <w:t>64</w:t>
          </w:r>
        </w:p>
        <w:p>
          <w:pPr>
            <w:pStyle w:val="Contents1"/>
            <w:rPr>
              <w:rFonts w:eastAsia="" w:eastAsiaTheme="minorEastAsia"/>
              <w:b w:val="false"/>
              <w:b w:val="false"/>
              <w:lang w:val="fr-FR"/>
            </w:rPr>
          </w:pPr>
          <w:r>
            <w:rPr>
              <w:b w:val="false"/>
            </w:rPr>
            <w:t>Listă figuri</w:t>
            <w:tab/>
            <w:t>78</w:t>
          </w:r>
        </w:p>
        <w:p>
          <w:pPr>
            <w:pStyle w:val="Contents1"/>
            <w:rPr>
              <w:rFonts w:eastAsia="" w:eastAsiaTheme="minorEastAsia"/>
              <w:b w:val="false"/>
              <w:b w:val="false"/>
              <w:lang w:val="fr-FR"/>
            </w:rPr>
          </w:pPr>
          <w:r>
            <w:rPr>
              <w:b w:val="false"/>
            </w:rPr>
            <w:t>Listă tabele</w:t>
            <w:tab/>
            <w:t>79</w:t>
          </w:r>
        </w:p>
        <w:p>
          <w:pPr>
            <w:pStyle w:val="Contents1"/>
            <w:rPr>
              <w:rFonts w:eastAsia="" w:eastAsiaTheme="minorEastAsia"/>
              <w:b w:val="false"/>
              <w:b w:val="false"/>
              <w:lang w:val="fr-FR"/>
            </w:rPr>
          </w:pPr>
          <w:r>
            <w:rPr>
              <w:b w:val="false"/>
            </w:rPr>
            <w:t>Listă acronime</w:t>
            <w:tab/>
            <w:t>80</w:t>
          </w:r>
        </w:p>
        <w:p>
          <w:pPr>
            <w:pStyle w:val="Normal"/>
            <w:spacing w:before="160" w:after="160"/>
            <w:rPr>
              <w:rFonts w:cs="Calibri" w:cstheme="minorHAnsi"/>
              <w:b/>
              <w:b/>
              <w:lang w:val="ro-RO"/>
            </w:rPr>
          </w:pPr>
          <w:r>
            <w:rPr>
              <w:rFonts w:cs="Calibri" w:cstheme="minorHAnsi"/>
              <w:b/>
              <w:lang w:val="ro-RO"/>
            </w:rPr>
          </w:r>
          <w:r>
            <w:rPr>
              <w:b/>
              <w:rFonts w:cs="Calibri"/>
            </w:rPr>
            <w:fldChar w:fldCharType="end"/>
          </w:r>
        </w:p>
      </w:sdtContent>
    </w:sdt>
    <w:p>
      <w:pPr>
        <w:pStyle w:val="Normal"/>
        <w:rPr>
          <w:rFonts w:cs="Calibri" w:cstheme="minorHAnsi"/>
          <w:b/>
          <w:b/>
          <w:lang w:val="ro-RO"/>
        </w:rPr>
      </w:pPr>
      <w:r>
        <w:rPr>
          <w:rFonts w:cs="Calibri" w:cstheme="minorHAnsi"/>
          <w:b/>
          <w:lang w:val="ro-RO"/>
        </w:rPr>
      </w:r>
      <w:r>
        <w:br w:type="page"/>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 w:name="_Toc110535982"/>
      <w:r>
        <w:rPr>
          <w:rFonts w:cs="Calibri" w:ascii="Calibri" w:hAnsi="Calibri" w:asciiTheme="minorHAnsi" w:cstheme="minorHAnsi" w:hAnsiTheme="minorHAnsi"/>
          <w:b/>
          <w:sz w:val="28"/>
          <w:lang w:val="ro-RO"/>
        </w:rPr>
        <w:t>Introducere</w:t>
      </w:r>
      <w:bookmarkEnd w:id="1"/>
    </w:p>
    <w:p>
      <w:pPr>
        <w:pStyle w:val="Normal"/>
        <w:spacing w:lineRule="auto" w:line="276"/>
        <w:jc w:val="both"/>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pStyle w:val="Normal"/>
        <w:spacing w:lineRule="auto" w:line="276"/>
        <w:jc w:val="both"/>
        <w:rPr>
          <w:rFonts w:eastAsia="Calibri"/>
          <w:lang w:val="ro-RO" w:eastAsia="x-none"/>
        </w:rPr>
      </w:pPr>
      <w:r>
        <w:rPr>
          <w:rFonts w:eastAsia="Calibri"/>
          <w:lang w:val="ro-RO" w:eastAsia="x-none"/>
        </w:rPr>
        <w:t>Autoritatea de Supraveghere Financiară (ASF) a derulat, începând cu luna octombrie 2020, în calitate de beneficiar și în parteneriat cu Ministerul Finanțelor (MF), proiectul „Strategia națională pentru piața de capital”, în care consultanța a fost asigurată de către Organizația pentru Cooperare și Dezvoltare Economică (OECD).</w:t>
      </w:r>
    </w:p>
    <w:p>
      <w:pPr>
        <w:pStyle w:val="Normal"/>
        <w:spacing w:lineRule="auto" w:line="276"/>
        <w:jc w:val="both"/>
        <w:rPr>
          <w:rFonts w:eastAsia="Calibri"/>
          <w:lang w:val="ro-RO" w:eastAsia="x-none"/>
        </w:rPr>
      </w:pPr>
      <w:r>
        <w:rPr>
          <w:rFonts w:eastAsia="Calibri"/>
          <w:lang w:val="ro-RO" w:eastAsia="x-none"/>
        </w:rPr>
        <w:t xml:space="preserve">Proiectul, </w:t>
      </w:r>
      <w:r>
        <w:rPr>
          <w:lang w:val="ro-RO"/>
        </w:rPr>
        <w:t>finanțat de către Comisia Europeană,</w:t>
      </w:r>
      <w:r>
        <w:rPr>
          <w:rFonts w:eastAsia="Calibri"/>
          <w:lang w:val="ro-RO" w:eastAsia="x-none"/>
        </w:rPr>
        <w:t xml:space="preserve"> s-a derulat în trei etape. Prima etapă a constat în elaborarea unui raport privind caracteristicile cheie ale sectorului corporativ, accesul la finanțare și starea actuală a pieței de capital din România. Etapa a fost finalizată în februarie 2021, iar raportul de analiză a sectorului corporativ românesc a inclus și o analiză detaliată a evoluției piețelor de oferte publice primare și secundare piețelor de obligațiuni corporative și de capital privat</w:t>
      </w:r>
      <w:r>
        <w:rPr>
          <w:rStyle w:val="FootnoteCharacters"/>
          <w:rStyle w:val="FootnoteAnchor"/>
          <w:rFonts w:eastAsia="Calibri"/>
          <w:lang w:val="ro-RO" w:eastAsia="x-none"/>
        </w:rPr>
        <w:footnoteReference w:id="2"/>
      </w:r>
      <w:r>
        <w:rPr>
          <w:rFonts w:eastAsia="Calibri"/>
          <w:lang w:val="ro-RO" w:eastAsia="x-none"/>
        </w:rPr>
        <w:t xml:space="preserve">. </w:t>
      </w:r>
    </w:p>
    <w:p>
      <w:pPr>
        <w:pStyle w:val="Normal"/>
        <w:spacing w:lineRule="auto" w:line="276"/>
        <w:jc w:val="both"/>
        <w:rPr>
          <w:rFonts w:eastAsia="Calibri"/>
          <w:lang w:val="ro-RO" w:eastAsia="x-none"/>
        </w:rPr>
      </w:pPr>
      <w:r>
        <w:rPr>
          <w:rFonts w:eastAsia="Calibri"/>
          <w:lang w:val="ro-RO" w:eastAsia="x-none"/>
        </w:rPr>
        <w:t>În următoarea etapă a fost prezentat Raportul diagnostic privind problemele structurale și barierele semnificative în dezvoltarea pieței de capital din România - ”</w:t>
      </w:r>
      <w:r>
        <w:rPr>
          <w:rFonts w:eastAsia="Calibri"/>
          <w:i/>
          <w:lang w:val="ro-RO" w:eastAsia="x-none"/>
        </w:rPr>
        <w:t>Developing a Capital Market Strategy for Growth in Romania”.</w:t>
      </w:r>
      <w:r>
        <w:rPr>
          <w:rFonts w:eastAsia="Calibri"/>
          <w:lang w:val="ro-RO" w:eastAsia="x-none"/>
        </w:rPr>
        <w:t xml:space="preserve"> Pornind de la raportul elaborat în prima etapă a proiectului, OECD a construit un diagnostic al pieței de capital din România, care a cuprins o evaluare a principalelor probleme identificate și recomandări </w:t>
      </w:r>
      <w:r>
        <w:rPr>
          <w:rFonts w:eastAsia="Calibri"/>
          <w:bCs/>
          <w:iCs/>
          <w:lang w:val="ro-RO" w:eastAsia="x-none"/>
        </w:rPr>
        <w:t>destinate atât instituțiilor publice, cât și asociațiilor profesionale și unor entități private,</w:t>
      </w:r>
      <w:r>
        <w:rPr>
          <w:rFonts w:eastAsia="Calibri"/>
          <w:lang w:val="ro-RO" w:eastAsia="x-none"/>
        </w:rPr>
        <w:t xml:space="preserve"> care au scopul de sprijini extinderea pieței de capital din România, pentru ca aceasta să ocupe un rol central în promovarea creșterii economice, atât în contextul crizei Covid, cât și pe termen lung. </w:t>
      </w:r>
    </w:p>
    <w:p>
      <w:pPr>
        <w:pStyle w:val="Normal"/>
        <w:spacing w:before="160" w:after="160"/>
        <w:jc w:val="both"/>
        <w:rPr>
          <w:lang w:val="ro-RO"/>
        </w:rPr>
      </w:pPr>
      <w:r>
        <w:rPr>
          <w:rFonts w:eastAsia="Calibri"/>
          <w:lang w:val="ro-RO" w:eastAsia="x-none"/>
        </w:rPr>
        <w:t xml:space="preserve">Pe baza evaluărilor și recomandărilor din raportul diagnostic elaborat în cadrul etapei a II-a de către OECD, </w:t>
      </w:r>
      <w:r>
        <w:rPr>
          <w:lang w:val="ro-RO"/>
        </w:rPr>
        <w:t xml:space="preserve">ultima etapă a acestui proiect a constat în elaborarea </w:t>
      </w:r>
      <w:r>
        <w:rPr>
          <w:b/>
          <w:lang w:val="ro-RO"/>
        </w:rPr>
        <w:t xml:space="preserve">Strategiei naționale a pieței de capital </w:t>
      </w:r>
      <w:r>
        <w:rPr>
          <w:rFonts w:eastAsia="Calibri"/>
          <w:b/>
          <w:lang w:val="ro-RO" w:eastAsia="x-none"/>
        </w:rPr>
        <w:t>din România</w:t>
      </w:r>
      <w:r>
        <w:rPr>
          <w:lang w:val="ro-RO"/>
        </w:rPr>
        <w:t xml:space="preserve"> de către ASF și MF cu consultarea OECD și agrearea documentului la finalul lunii iunie 2022. Strategia a fost conturată în jurul a </w:t>
      </w:r>
      <w:r>
        <w:rPr>
          <w:b/>
          <w:lang w:val="ro-RO"/>
        </w:rPr>
        <w:t>nouă obiective generale</w:t>
      </w:r>
      <w:r>
        <w:rPr>
          <w:lang w:val="ro-RO"/>
        </w:rPr>
        <w:t xml:space="preserve"> (care, la rândul lor, se impart în mai mai multe obiective specifice, cu termene de implementare cuprinse între 1 și 4,5 ani): Obiectiv general I: Îmbunătățirea condițiilor pentru listarea pe piața de capital; Obiectiv general II: Creșterea lichidității pe piața secundară; Obiectiv general III: Susținerea dezvoltării și creșterii pieței IMM-urilor; Obiectiv general IV: Promovarea economiilor în rândul investitorilor persoane fizice; Obiectiv general V: Creșterea rolului investitorilor instituționali; Obiectiv general VI: Facilitarea finanțării pe termen lung prin mecanisme de piață; Obiectiv general VII: Susținerea digitalizării și a inovației financiare; Obiectiv general VIII: Susținerea dezvoltării pieței locale de capital privat (private equity) și de capital de risc (venture capital); Obiectiv general IX: Stimularea investițiilor verzi. Termenul limită de implementare a tuturor obiectivelor generale și specifice este 31 decembrie 2026.</w:t>
      </w:r>
    </w:p>
    <w:p>
      <w:pPr>
        <w:pStyle w:val="Normal"/>
        <w:spacing w:before="160" w:after="160"/>
        <w:jc w:val="both"/>
        <w:rPr>
          <w:lang w:val="ro-RO"/>
        </w:rPr>
      </w:pPr>
      <w:r>
        <w:rPr>
          <w:lang w:val="ro-RO"/>
        </w:rPr>
        <w:t xml:space="preserve">Strategia națională de dezvoltare a pieței de capital va fi dusă la îndeplinire de mai multe instituții publice și private, care sunt prezentate detaliat în capitolul XI – Instituții responsabile. </w:t>
      </w:r>
    </w:p>
    <w:p>
      <w:pPr>
        <w:pStyle w:val="Normal"/>
        <w:spacing w:before="160" w:after="160"/>
        <w:jc w:val="both"/>
        <w:rPr>
          <w:lang w:val="ro-RO"/>
        </w:rPr>
      </w:pPr>
      <w:r>
        <w:rPr>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2" w:name="_Toc110535983"/>
      <w:r>
        <w:rPr>
          <w:rFonts w:cs="Calibri" w:ascii="Calibri" w:hAnsi="Calibri" w:asciiTheme="minorHAnsi" w:cstheme="minorHAnsi" w:hAnsiTheme="minorHAnsi"/>
          <w:b/>
          <w:sz w:val="28"/>
          <w:lang w:val="ro-RO"/>
        </w:rPr>
        <w:t>Viziune</w:t>
      </w:r>
      <w:bookmarkEnd w:id="2"/>
    </w:p>
    <w:p>
      <w:pPr>
        <w:pStyle w:val="Normal"/>
        <w:spacing w:before="160" w:after="160"/>
        <w:jc w:val="both"/>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pStyle w:val="Normal"/>
        <w:spacing w:before="160" w:after="160"/>
        <w:jc w:val="both"/>
        <w:rPr>
          <w:lang w:val="ro-RO"/>
        </w:rPr>
      </w:pPr>
      <w:r>
        <w:rPr>
          <w:lang w:val="ro-RO"/>
        </w:rPr>
        <w:t xml:space="preserve">Pe termen lung, dezvoltarea pieței locale de capital poate avea o contribuție amplă la creșterea bunăstării și a economiei în general, în special prin sporirea și diversificarea surselor de finanțare ca o alternativă la sectorul bancar. Existența unor astfel de surse aduce beneficii investițiilor și întreprinderilor, fiind un factor esențial pentru stabilitatea financiară și promovează incluziunea și accesul tuturor întreprinderilor, inclusiv a celor mici și mijlocii, la mai multe tipuri de finanțare, potrivite propriilor planuri de afaceri. De asemenea, reducerea fragmentării și a decalajelor față de statele dezvoltate din UE va permite o mai bună circulație a capitalurilor, concomitent cu reducerea costurilor de finanțare, prin creșterea atractivității pieței locale, pe plan internațional, în rândul investitorilor instituționali și prin susținerea ofertei de finanţare pentru întreprinderi mici şi mijlocii şi pentru proiecte de investiţii pe termen lung, oferind acces mai facil companiilor și proiectelor românești la capital străin. </w:t>
      </w:r>
    </w:p>
    <w:p>
      <w:pPr>
        <w:pStyle w:val="Normal"/>
        <w:spacing w:before="160" w:after="160"/>
        <w:jc w:val="both"/>
        <w:rPr>
          <w:lang w:val="ro-RO"/>
        </w:rPr>
      </w:pPr>
      <w:r>
        <w:rPr>
          <w:lang w:val="ro-RO"/>
        </w:rPr>
        <w:t xml:space="preserve">Continuarea dezvoltării unor mecanisme eficiente de protecție a consumatorilor și a investitorilor va conduce la creșterea încrederii, iar, împreună cu îmbunătățirea guvernanței și a competitivității companiilor românești (ca efect al competiției cu alte țări pentru atragerea capitalurilor), pot genera noi reduceri ale costurilor cu finanțarea. </w:t>
      </w:r>
    </w:p>
    <w:p>
      <w:pPr>
        <w:pStyle w:val="Normal"/>
        <w:spacing w:before="160" w:after="160"/>
        <w:jc w:val="both"/>
        <w:rPr>
          <w:lang w:val="ro-RO"/>
        </w:rPr>
      </w:pPr>
      <w:r>
        <w:rPr>
          <w:lang w:val="ro-RO"/>
        </w:rPr>
        <w:t xml:space="preserve">În aceste condiții, Strategia pentru dezvoltarea pieței de capital 2022 – 2026 urmărește implementarea unor îmbunătățiri punctuale, pentru a crește atractivitatea pieței locale, prin dezvoltarea infrastructurii și a parametrilor de funcționare, astfel încât progresele să poată fi cuantificate printr-o creștere stabilă a capitalizării, numărului de emitenți, a lichidității și a free float-ului companiilor listate, a categoriilor de instrumete tranzacționate, concomitent cu completarea operațiunilor cu împrumuturi de valori mobiliare și cu relansarea pieței instrumentelor derivate, utilizate frecvent pentru acoperirea riscurilor de piață. De asemenea, Strategia urmărește creșterea numărului de investitori activi retail, precum și diversificarea, respectiv atragerea de noi investitori instituționali. Pentru toate acestea, este esențială îmbunătățirea și eficientizarea infrastructurii, astfel încât să fie aplicate cele mai bune practici internaționale. </w:t>
      </w:r>
    </w:p>
    <w:p>
      <w:pPr>
        <w:pStyle w:val="Normal"/>
        <w:spacing w:before="160" w:after="160"/>
        <w:jc w:val="both"/>
        <w:rPr>
          <w:rFonts w:cs="Calibri" w:cstheme="minorHAnsi"/>
          <w:b/>
          <w:b/>
          <w:color w:val="2E74B5" w:themeColor="accent1" w:themeShade="bf"/>
          <w:sz w:val="28"/>
          <w:lang w:val="ro-RO"/>
        </w:rPr>
      </w:pPr>
      <w:r>
        <w:rPr>
          <w:rFonts w:cs="Calibri" w:cstheme="minorHAnsi"/>
          <w:b/>
          <w:color w:val="2E74B5" w:themeColor="accent1" w:themeShade="bf"/>
          <w:sz w:val="28"/>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3" w:name="_Toc110535984"/>
      <w:r>
        <w:rPr>
          <w:rFonts w:cs="Calibri" w:ascii="Calibri" w:hAnsi="Calibri" w:asciiTheme="minorHAnsi" w:cstheme="minorHAnsi" w:hAnsiTheme="minorHAnsi"/>
          <w:b/>
          <w:sz w:val="28"/>
          <w:lang w:val="ro-RO"/>
        </w:rPr>
        <w:t>Priorităţile, politicile şi cadrul legal existente</w:t>
      </w:r>
      <w:bookmarkEnd w:id="3"/>
    </w:p>
    <w:p>
      <w:pPr>
        <w:pStyle w:val="Normal"/>
        <w:spacing w:before="160" w:after="160"/>
        <w:jc w:val="both"/>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Style w:val="L5def1"/>
          <w:rFonts w:cs="Calibri" w:cstheme="minorHAnsi"/>
          <w:color w:val="000000" w:themeColor="text1"/>
          <w:sz w:val="22"/>
          <w:szCs w:val="22"/>
          <w:lang w:val="ro-RO"/>
        </w:rPr>
        <w:t xml:space="preserve">Pe plan European, inițiativa dezvoltării unei Uniuni a Piețelor de Capital (UPC), lansate în anul 2015 cu scopul de a facilita fluxurile financiare în UE între investitori, companii și consumatori, indiferent de poziția lor geografică, a înregistrat o serie de progrese vizibile, dar, cu toate acestea, nivelul de fragmentare a piețelor a rămas unul relevant, cetățenii și companiile europene neputând încă beneficia pe deplin de sursele de finanțare și de investiții pe care le pot oferi piețele de capital. </w:t>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Style w:val="L5def1"/>
          <w:rFonts w:cs="Calibri" w:cstheme="minorHAnsi"/>
          <w:color w:val="000000" w:themeColor="text1"/>
          <w:sz w:val="22"/>
          <w:szCs w:val="22"/>
          <w:lang w:val="ro-RO"/>
        </w:rPr>
        <w:t xml:space="preserve">În aceste condiții, planul de acțiuni al Uniunii Piețelor de Capital a fost actualizat pentru anul 2020 și cuprinde trei direcții prioritare (defalcate pe mai multe acțiuni specifice): </w:t>
      </w:r>
    </w:p>
    <w:p>
      <w:pPr>
        <w:pStyle w:val="ListParagraph"/>
        <w:numPr>
          <w:ilvl w:val="0"/>
          <w:numId w:val="23"/>
        </w:numPr>
        <w:spacing w:before="160" w:after="160"/>
        <w:jc w:val="both"/>
        <w:rPr>
          <w:rStyle w:val="L5def1"/>
          <w:rFonts w:ascii="Calibri" w:hAnsi="Calibri" w:cs="Calibri" w:asciiTheme="minorHAnsi" w:cstheme="minorHAnsi" w:hAnsiTheme="minorHAnsi"/>
          <w:color w:val="000000" w:themeColor="text1"/>
          <w:sz w:val="22"/>
          <w:szCs w:val="22"/>
          <w:lang w:val="ro-RO"/>
        </w:rPr>
      </w:pPr>
      <w:r>
        <w:rPr>
          <w:rStyle w:val="L5def1"/>
          <w:rFonts w:cs="Calibri" w:cstheme="minorHAnsi"/>
          <w:color w:val="000000" w:themeColor="text1"/>
          <w:sz w:val="22"/>
          <w:szCs w:val="22"/>
          <w:lang w:val="ro-RO"/>
        </w:rPr>
        <w:t xml:space="preserve">Sprijinirea unei redresări economice verde, digitală, incluzivă și rezilientă, crescând accesibilitatea finanțării în rândul companiilor europene. </w:t>
      </w:r>
    </w:p>
    <w:p>
      <w:pPr>
        <w:pStyle w:val="ListParagraph"/>
        <w:numPr>
          <w:ilvl w:val="0"/>
          <w:numId w:val="23"/>
        </w:numPr>
        <w:spacing w:before="160" w:after="160"/>
        <w:jc w:val="both"/>
        <w:rPr>
          <w:rStyle w:val="L5def1"/>
          <w:rFonts w:ascii="Calibri" w:hAnsi="Calibri" w:cs="Calibri" w:asciiTheme="minorHAnsi" w:cstheme="minorHAnsi" w:hAnsiTheme="minorHAnsi"/>
          <w:color w:val="000000" w:themeColor="text1"/>
          <w:sz w:val="22"/>
          <w:szCs w:val="22"/>
        </w:rPr>
      </w:pPr>
      <w:r>
        <w:rPr>
          <w:rStyle w:val="L5def1"/>
          <w:rFonts w:cs="Calibri" w:cstheme="minorHAnsi"/>
          <w:color w:val="000000" w:themeColor="text1"/>
          <w:sz w:val="22"/>
          <w:szCs w:val="22"/>
          <w:lang w:val="ro-RO"/>
        </w:rPr>
        <w:t xml:space="preserve">Creșterea siguranței în UE pentru economiile și investițiile pe termen lung ale cetățenilor. </w:t>
      </w:r>
    </w:p>
    <w:p>
      <w:pPr>
        <w:pStyle w:val="ListParagraph"/>
        <w:numPr>
          <w:ilvl w:val="0"/>
          <w:numId w:val="23"/>
        </w:numPr>
        <w:spacing w:before="160" w:after="160"/>
        <w:jc w:val="both"/>
        <w:rPr>
          <w:rStyle w:val="L5def1"/>
          <w:rFonts w:ascii="Calibri" w:hAnsi="Calibri" w:cs="Calibri" w:asciiTheme="minorHAnsi" w:cstheme="minorHAnsi" w:hAnsiTheme="minorHAnsi"/>
          <w:color w:val="000000" w:themeColor="text1"/>
          <w:sz w:val="22"/>
          <w:szCs w:val="22"/>
        </w:rPr>
      </w:pPr>
      <w:r>
        <w:rPr>
          <w:rStyle w:val="L5def1"/>
          <w:rFonts w:cs="Calibri" w:cstheme="minorHAnsi"/>
          <w:color w:val="000000" w:themeColor="text1"/>
          <w:sz w:val="22"/>
          <w:szCs w:val="22"/>
          <w:lang w:val="ro-RO"/>
        </w:rPr>
        <w:t>Integrarea piețelor de capital naționale într-o singură piață europeană.</w:t>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Style w:val="L5def1"/>
          <w:rFonts w:cs="Calibri" w:cstheme="minorHAnsi"/>
          <w:color w:val="000000" w:themeColor="text1"/>
          <w:sz w:val="22"/>
          <w:szCs w:val="22"/>
          <w:lang w:val="ro-RO"/>
        </w:rPr>
        <w:t>În prezent, o bună integrare și funcționare a piețelor de capital este deosebit de importantă în contextul redresării economiilor post pandemice, dar și a noilor șocuri apărute din sfera geopolitică, concomitent cu provocările tranzițiilor digitale și către economii sustenabile din punct de vedere al mediului. În plus, UPC poate contribui la o societate mai incluzivă și mai rezistentă, în special prin contribuția la buna gesitionare a provocărilor generate de îmbătrânirea populației, piețele de capital integrate fiind cruciale pentru competitivitatea globală a UE și pentru autonomia acesteia.</w:t>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Style w:val="L5def1"/>
          <w:rFonts w:cs="Calibri" w:cstheme="minorHAnsi"/>
          <w:color w:val="000000" w:themeColor="text1"/>
          <w:sz w:val="22"/>
          <w:szCs w:val="22"/>
          <w:lang w:val="ro-RO"/>
        </w:rPr>
        <w:t>Un principiu important este acela că toate acțiunile întreprinse pentru crearea unei uniuni a piețelor de capital ar trebui să aibă drept obiectiv principal îmbunătățirea gamei de opțiuni de finanțare atractive, stabile și sustenabile oferite companiilor și cetățenilor, protejând totodată stabilitatea economică, interesele investitorilor mici, ale pensionarilor și ale consumatorilor, precum și reducând riscul financiar, cu scopul de a stimula participarea financiară și de a transforma deponenții în investitori. Totodată, accesul la finanțare pe piața de capital pentru IMM-uri, antreprenori și economia socială a devenit și mai important în contextul redresării post pandemice.</w:t>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Style w:val="L5def1"/>
          <w:rFonts w:cs="Calibri" w:cstheme="minorHAnsi"/>
          <w:color w:val="000000" w:themeColor="text1"/>
          <w:sz w:val="22"/>
          <w:szCs w:val="22"/>
          <w:lang w:val="ro-RO"/>
        </w:rPr>
        <w:t xml:space="preserve">Pe plan local, o piață de capital dezvoltată reprezintă un mecanism deosebit de important pentru continuarea finanțării sustenabile a economiei și pentru a beneficia de tendințele și progresele înregistrate pe plan european. Pentru o bună îndeplinire a rolului său fundamental, piața de capital locală trebuie să fie transparentă, competitivă, rezilientă, compensată central și susținută prin reglementări echitabile. </w:t>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Style w:val="L5def1"/>
          <w:rFonts w:cs="Calibri" w:cstheme="minorHAnsi"/>
          <w:color w:val="000000" w:themeColor="text1"/>
          <w:sz w:val="22"/>
          <w:szCs w:val="22"/>
          <w:lang w:val="ro-RO"/>
        </w:rPr>
        <w:t xml:space="preserve">Piața locală de capital a înregistrat o serie de progrese în ultimii ani, unul dintre cele mai remarcabile fiind includerea acesteia, începând cu septembrie 2020, în indicele piețelor emergente de agenția FTSE Russell, promovând, astfel, de la statutul de piață de frontieră. Promovarea pieței de capital din România la statutul de piață emergentă a oferit noi oportunități de dezvoltare, fiind un semnal pozitiv pentru toți participanții și aducând o serie de beneficii în termeni de vizibilitate, atractivitate, acces pe piață al unor investitori instituționali. Cu toate acestea, sunt necesare continuarea progreselor și a dezvoltării acesteia, atât pentru o mai bună integrare în piața europeană, cât și pentru creșterea rolului său pe plan local.  </w:t>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lang w:val="ro-RO"/>
        </w:rPr>
        <w:t>La nivel național, Programul de guvernare 2021 - 2024 „susține un model de dezvoltare sustenabilă, axat pe investiții, stimularea și dezvoltarea capitalului uman, creșterea competitivității companiilor românești și transformarea digitală a economiei și administrației, eficientizarea administrației publice și combaterea deprivării materiale a populației</w:t>
      </w:r>
      <w:r>
        <w:rPr>
          <w:rStyle w:val="FootnoteCharacters"/>
          <w:rStyle w:val="FootnoteAnchor"/>
          <w:lang w:val="ro-RO"/>
        </w:rPr>
        <w:footnoteReference w:id="3"/>
      </w:r>
      <w:r>
        <w:rPr>
          <w:lang w:val="ro-RO"/>
        </w:rPr>
        <w:t xml:space="preserve">”, urmărind reducerea decalajelor față de economiile statelor din Europa de Vest. În acest context, dezvoltarea pieței locale de capital este o resursă vitală pentru creșterea bunăstării și pentru îndeplinirea obiectivelor economice. </w:t>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Fonts w:cs="Calibri" w:cstheme="minorHAnsi"/>
          <w:color w:val="000000" w:themeColor="text1"/>
          <w:sz w:val="22"/>
          <w:szCs w:val="22"/>
          <w:lang w:val="ro-RO"/>
        </w:rPr>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Fonts w:cs="Calibri" w:cstheme="minorHAnsi"/>
          <w:color w:val="000000" w:themeColor="text1"/>
          <w:sz w:val="22"/>
          <w:szCs w:val="22"/>
          <w:lang w:val="ro-RO"/>
        </w:rPr>
      </w:r>
    </w:p>
    <w:p>
      <w:pPr>
        <w:pStyle w:val="Normal"/>
        <w:spacing w:before="160" w:after="160"/>
        <w:jc w:val="both"/>
        <w:rPr>
          <w:rStyle w:val="L5def1"/>
          <w:rFonts w:ascii="Calibri" w:hAnsi="Calibri" w:cs="Calibri" w:asciiTheme="minorHAnsi" w:cstheme="minorHAnsi" w:hAnsiTheme="minorHAnsi"/>
          <w:color w:val="000000" w:themeColor="text1"/>
          <w:sz w:val="22"/>
          <w:szCs w:val="22"/>
          <w:lang w:val="ro-RO"/>
        </w:rPr>
      </w:pPr>
      <w:r>
        <w:rPr>
          <w:rFonts w:cs="Calibri" w:cstheme="minorHAnsi"/>
          <w:color w:val="000000" w:themeColor="text1"/>
          <w:sz w:val="22"/>
          <w:szCs w:val="22"/>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4" w:name="_Toc110535985"/>
      <w:r>
        <w:rPr>
          <w:rFonts w:cs="Calibri" w:ascii="Calibri" w:hAnsi="Calibri" w:asciiTheme="minorHAnsi" w:cstheme="minorHAnsi" w:hAnsiTheme="minorHAnsi"/>
          <w:b/>
          <w:sz w:val="28"/>
          <w:lang w:val="ro-RO"/>
        </w:rPr>
        <w:t>Calendarul obiectivelor</w:t>
      </w:r>
      <w:bookmarkEnd w:id="4"/>
    </w:p>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t xml:space="preserve">Principalele obiective generale și specifice ale Strategiei naționale de dezvoltare a pieței de capital sunt sintetizate în această secțiune, ele fiind descrise pe larg în capitolul VI, în timp ce </w:t>
      </w:r>
      <w:r>
        <w:rPr>
          <w:rFonts w:cs="Calibri" w:cstheme="minorHAnsi"/>
          <w:b/>
          <w:lang w:val="ro-RO"/>
        </w:rPr>
        <w:t>Planul de acțiuni</w:t>
      </w:r>
      <w:r>
        <w:rPr>
          <w:rFonts w:cs="Calibri" w:cstheme="minorHAnsi"/>
          <w:lang w:val="ro-RO"/>
        </w:rPr>
        <w:t xml:space="preserve"> pentru implementarea lor este prezentat în Anexă. </w:t>
      </w:r>
    </w:p>
    <w:p>
      <w:pPr>
        <w:pStyle w:val="Normal"/>
        <w:spacing w:before="160" w:after="160"/>
        <w:jc w:val="both"/>
        <w:rPr>
          <w:rFonts w:cs="Calibri" w:cstheme="minorHAnsi"/>
          <w:lang w:val="ro-RO"/>
        </w:rPr>
      </w:pPr>
      <w:r>
        <w:rPr>
          <w:rFonts w:cs="Calibri" w:cstheme="minorHAnsi"/>
          <w:lang w:val="ro-RO"/>
        </w:rPr>
      </w:r>
    </w:p>
    <w:tbl>
      <w:tblPr>
        <w:tblStyle w:val="TableGrid"/>
        <w:tblW w:w="5000" w:type="pct"/>
        <w:jc w:val="left"/>
        <w:tblInd w:w="0" w:type="dxa"/>
        <w:tblCellMar>
          <w:top w:w="0" w:type="dxa"/>
          <w:left w:w="108" w:type="dxa"/>
          <w:bottom w:w="0" w:type="dxa"/>
          <w:right w:w="108" w:type="dxa"/>
        </w:tblCellMar>
        <w:tblLook w:firstRow="1" w:noVBand="1" w:lastRow="0" w:firstColumn="1" w:lastColumn="0" w:noHBand="0" w:val="04a0"/>
      </w:tblPr>
      <w:tblGrid>
        <w:gridCol w:w="5472"/>
        <w:gridCol w:w="2386"/>
        <w:gridCol w:w="1502"/>
      </w:tblGrid>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2F5496" w:themeFill="accent5" w:themeFillShade="bf" w:val="clear"/>
            <w:vAlign w:val="center"/>
          </w:tcPr>
          <w:p>
            <w:pPr>
              <w:pStyle w:val="Normal"/>
              <w:spacing w:lineRule="auto" w:line="259" w:before="160" w:after="0"/>
              <w:jc w:val="both"/>
              <w:rPr>
                <w:b/>
                <w:b/>
                <w:color w:val="FFFFFF" w:themeColor="background1"/>
                <w:lang w:val="ro-RO"/>
              </w:rPr>
            </w:pPr>
            <w:r>
              <w:rPr>
                <w:b/>
                <w:color w:val="FFFFFF" w:themeColor="background1"/>
                <w:lang w:val="ro-RO"/>
              </w:rPr>
              <w:t>Obiectiv</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2F5496" w:themeFill="accent5" w:themeFillShade="bf" w:val="clear"/>
            <w:vAlign w:val="center"/>
          </w:tcPr>
          <w:p>
            <w:pPr>
              <w:pStyle w:val="Normal"/>
              <w:spacing w:lineRule="auto" w:line="259" w:before="160" w:after="0"/>
              <w:jc w:val="center"/>
              <w:rPr>
                <w:b/>
                <w:b/>
                <w:color w:val="FFFFFF" w:themeColor="background1"/>
                <w:lang w:val="ro-RO"/>
              </w:rPr>
            </w:pPr>
            <w:r>
              <w:rPr>
                <w:b/>
                <w:color w:val="FFFFFF" w:themeColor="background1"/>
                <w:lang w:val="ro-RO"/>
              </w:rPr>
              <w:t>Autoritate/instituție responsabilă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2F5496" w:themeFill="accent5" w:themeFillShade="bf" w:val="clear"/>
            <w:vAlign w:val="center"/>
          </w:tcPr>
          <w:p>
            <w:pPr>
              <w:pStyle w:val="Normal"/>
              <w:spacing w:lineRule="auto" w:line="259" w:before="160" w:after="0"/>
              <w:jc w:val="center"/>
              <w:rPr>
                <w:b/>
                <w:b/>
                <w:color w:val="FFFFFF" w:themeColor="background1"/>
                <w:lang w:val="ro-RO"/>
              </w:rPr>
            </w:pPr>
            <w:r>
              <w:rPr>
                <w:b/>
                <w:color w:val="FFFFFF" w:themeColor="background1"/>
                <w:lang w:val="ro-RO"/>
              </w:rPr>
              <w:t>Termen de implementare</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b/>
                <w:b/>
                <w:lang w:val="ro-RO"/>
              </w:rPr>
            </w:pPr>
            <w:r>
              <w:rPr>
                <w:rFonts w:cs="Calibri" w:cstheme="minorHAnsi"/>
                <w:b/>
                <w:color w:val="2F5496" w:themeColor="accent5" w:themeShade="bf"/>
                <w:lang w:val="ro-RO"/>
              </w:rPr>
              <w:t xml:space="preserve">Obiectiv general I: </w:t>
            </w:r>
            <w:r>
              <w:rPr>
                <w:rFonts w:cs="Calibri" w:cstheme="minorHAnsi"/>
                <w:b/>
                <w:lang w:val="ro-RO"/>
              </w:rPr>
              <w:t>Îmbunătățirea condițiilor pentru listarea pe piața de capital</w:t>
            </w:r>
          </w:p>
        </w:tc>
      </w:tr>
      <w:tr>
        <w:trPr>
          <w:trHeight w:val="368"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rFonts w:cs="Calibri" w:cstheme="minorHAnsi"/>
                <w:lang w:val="ro-RO"/>
              </w:rPr>
            </w:pPr>
            <w:r>
              <w:rPr>
                <w:rFonts w:cs="Calibri" w:cstheme="minorHAnsi"/>
                <w:b/>
                <w:color w:val="2F5496" w:themeColor="accent5" w:themeShade="bf"/>
                <w:lang w:val="ro-RO"/>
              </w:rPr>
              <w:t xml:space="preserve">Obiectiv specific I.1: </w:t>
            </w:r>
            <w:r>
              <w:rPr>
                <w:rFonts w:cs="Calibri"/>
                <w:lang w:val="ro-RO"/>
              </w:rPr>
              <w:t>Revizuirea cadrului de reglementare aplicabil procedurii de atragere de capital, atât pentru ofertele publice inițiale, cât și pentru cele derulate ulterior admiterii la tranzacționare a valorilor mobiliare,  în vederea simplificării procedurilor și a  reducerii perioadei de timp necesar pentru atragerea de capital</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Supraveghere Financiară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color w:val="FF0000"/>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both"/>
              <w:rPr>
                <w:rFonts w:cs="Calibri" w:cstheme="minorHAnsi"/>
                <w:lang w:val="ro-RO"/>
              </w:rPr>
            </w:pPr>
            <w:r>
              <w:rPr>
                <w:rFonts w:cs="Calibri" w:cstheme="minorHAnsi"/>
                <w:b/>
                <w:color w:val="2F5496" w:themeColor="accent5" w:themeShade="bf"/>
                <w:lang w:val="ro-RO"/>
              </w:rPr>
              <w:t xml:space="preserve">Obiectiv specific I.2: </w:t>
            </w:r>
            <w:r>
              <w:rPr>
                <w:rFonts w:cs="Calibri" w:cstheme="minorHAnsi"/>
                <w:lang w:val="ro-RO"/>
              </w:rPr>
              <w:t>Îmbunătățirea standardelor de guvernanță corporativă prin:</w:t>
            </w:r>
          </w:p>
          <w:p>
            <w:pPr>
              <w:pStyle w:val="ListParagraph"/>
              <w:numPr>
                <w:ilvl w:val="0"/>
                <w:numId w:val="26"/>
              </w:numPr>
              <w:spacing w:lineRule="auto" w:line="240" w:before="160" w:after="0"/>
              <w:ind w:left="338" w:hanging="338"/>
              <w:jc w:val="both"/>
              <w:rPr>
                <w:lang w:val="ro-RO"/>
              </w:rPr>
            </w:pPr>
            <w:r>
              <w:rPr>
                <w:rFonts w:cs="Calibri" w:cstheme="minorHAnsi"/>
                <w:lang w:val="ro-RO"/>
              </w:rPr>
              <w:t>Aderarea companiilor deținute de stat listate sau care urmează a fi listate la cele mai înalte standarde de guvernanță corporativă</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0" w:after="0"/>
              <w:jc w:val="center"/>
              <w:rPr>
                <w:lang w:val="ro-RO"/>
              </w:rPr>
            </w:pPr>
            <w:r>
              <w:rPr>
                <w:lang w:val="ro-RO"/>
              </w:rPr>
              <w:t xml:space="preserve">Ministerul Finanțelor </w:t>
            </w:r>
          </w:p>
          <w:p>
            <w:pPr>
              <w:pStyle w:val="Normal"/>
              <w:spacing w:lineRule="auto" w:line="259" w:before="0" w:after="0"/>
              <w:jc w:val="center"/>
              <w:rPr>
                <w:lang w:val="ro-RO"/>
              </w:rPr>
            </w:pPr>
            <w:r>
              <w:rPr>
                <w:lang w:val="ro-RO"/>
              </w:rPr>
              <w:t>Companii de stat relevante</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both"/>
              <w:rPr>
                <w:rFonts w:cs="Calibri" w:cstheme="minorHAnsi"/>
                <w:lang w:val="ro-RO"/>
              </w:rPr>
            </w:pPr>
            <w:r>
              <w:rPr>
                <w:rFonts w:cs="Calibri" w:cstheme="minorHAnsi"/>
                <w:b/>
                <w:color w:val="2F5496" w:themeColor="accent5" w:themeShade="bf"/>
                <w:lang w:val="ro-RO"/>
              </w:rPr>
              <w:t xml:space="preserve">Obiectiv specific I.3: </w:t>
            </w:r>
            <w:r>
              <w:rPr>
                <w:rFonts w:cs="Calibri" w:cstheme="minorHAnsi"/>
                <w:lang w:val="ro-RO"/>
              </w:rPr>
              <w:t>Extinderea și diversificarea tipologiei de instrumente tranzacționabile pe piața de capital prin:</w:t>
            </w:r>
          </w:p>
          <w:p>
            <w:pPr>
              <w:pStyle w:val="ListParagraph"/>
              <w:numPr>
                <w:ilvl w:val="0"/>
                <w:numId w:val="26"/>
              </w:numPr>
              <w:spacing w:lineRule="auto" w:line="240" w:before="160" w:after="0"/>
              <w:ind w:left="338" w:hanging="338"/>
              <w:jc w:val="both"/>
              <w:rPr>
                <w:rFonts w:cs="Calibri" w:cstheme="minorHAnsi"/>
                <w:lang w:val="ro-RO"/>
              </w:rPr>
            </w:pPr>
            <w:r>
              <w:rPr>
                <w:rFonts w:cs="Calibri" w:cstheme="minorHAnsi"/>
                <w:lang w:val="ro-RO"/>
              </w:rPr>
              <w:t>listarea acțiunilor reprezentând dețineri minoritare la companiile mari care sunt deținute de stat și creșterea free-float-ului pentru astfel de companii deja listate;</w:t>
            </w:r>
          </w:p>
          <w:p>
            <w:pPr>
              <w:pStyle w:val="ListParagraph"/>
              <w:numPr>
                <w:ilvl w:val="0"/>
                <w:numId w:val="26"/>
              </w:numPr>
              <w:spacing w:lineRule="auto" w:line="240" w:before="160" w:after="0"/>
              <w:ind w:left="338" w:hanging="338"/>
              <w:jc w:val="both"/>
              <w:rPr>
                <w:lang w:val="ro-RO"/>
              </w:rPr>
            </w:pPr>
            <w:r>
              <w:rPr>
                <w:rFonts w:cs="Calibri" w:cstheme="minorHAnsi"/>
                <w:lang w:val="ro-RO"/>
              </w:rPr>
              <w:t>încurajarea transferului pe piața  reglementată a companiilor deținute de stat listate pe sistemul multilateral de tranzacționare administrat de BVB prin întărirea și respectarea principiilor de guvernanță corporativă și îmbunătățirea cerințelor de transparență.</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Companii de stat relevante</w:t>
            </w:r>
          </w:p>
          <w:p>
            <w:pPr>
              <w:pStyle w:val="Normal"/>
              <w:spacing w:lineRule="auto" w:line="259" w:before="160" w:after="0"/>
              <w:jc w:val="center"/>
              <w:rPr>
                <w:lang w:val="ro-RO"/>
              </w:rPr>
            </w:pPr>
            <w:r>
              <w:rPr>
                <w:lang w:val="ro-RO"/>
              </w:rPr>
              <w:t>Ministerul Finanțelor</w:t>
            </w:r>
          </w:p>
          <w:p>
            <w:pPr>
              <w:pStyle w:val="Normal"/>
              <w:spacing w:lineRule="auto" w:line="259" w:before="160" w:after="0"/>
              <w:jc w:val="center"/>
              <w:rPr>
                <w:lang w:val="ro-RO"/>
              </w:rPr>
            </w:pPr>
            <w:r>
              <w:rPr>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2026</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both"/>
              <w:rPr>
                <w:rFonts w:cs="Calibri" w:cstheme="minorHAnsi"/>
                <w:lang w:val="ro-RO"/>
              </w:rPr>
            </w:pPr>
            <w:r>
              <w:rPr>
                <w:rFonts w:cs="Calibri" w:cstheme="minorHAnsi"/>
                <w:b/>
                <w:color w:val="2F5496" w:themeColor="accent5" w:themeShade="bf"/>
                <w:lang w:val="ro-RO"/>
              </w:rPr>
              <w:t xml:space="preserve">Obiectiv specific I.4: </w:t>
            </w:r>
            <w:r>
              <w:rPr>
                <w:rFonts w:cs="Calibri" w:cstheme="minorHAnsi"/>
                <w:lang w:val="ro-RO"/>
              </w:rPr>
              <w:t xml:space="preserve">Introducerea unei </w:t>
            </w:r>
            <w:r>
              <w:rPr/>
              <w:t>campanii naționale care se va adresa atât companiilor publice, cât și celor private</w:t>
            </w:r>
            <w:r>
              <w:rPr>
                <w:rFonts w:cs="Calibri" w:cstheme="minorHAnsi"/>
                <w:lang w:val="ro-RO"/>
              </w:rPr>
              <w:t xml:space="preserve"> pentru a încuraja companiile să utilizeze finanțarea din piața de capital, </w:t>
            </w:r>
            <w:r>
              <w:rPr>
                <w:rFonts w:cs="Calibri"/>
                <w:lang w:val="ro-RO"/>
              </w:rPr>
              <w:t>informând conducerea companiilor și alți actori relevanți despre numeroasele oportunități existente.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fr-FR"/>
              </w:rPr>
            </w:pPr>
            <w:r>
              <w:rPr>
                <w:lang w:val="ro-RO"/>
              </w:rPr>
              <w:t>Ministerul Finanțelor</w:t>
            </w:r>
          </w:p>
          <w:p>
            <w:pPr>
              <w:pStyle w:val="Normal"/>
              <w:spacing w:lineRule="auto" w:line="259" w:before="160" w:after="0"/>
              <w:jc w:val="center"/>
              <w:rPr>
                <w:rFonts w:cs="Calibri" w:cstheme="minorHAnsi"/>
                <w:lang w:val="ro-RO"/>
              </w:rPr>
            </w:pPr>
            <w:r>
              <w:rPr>
                <w:rFonts w:cs="Calibri" w:cstheme="minorHAnsi"/>
                <w:lang w:val="ro-RO"/>
              </w:rPr>
              <w:t>Autoritatea de Supraveghere Financiară</w:t>
            </w:r>
          </w:p>
          <w:p>
            <w:pPr>
              <w:pStyle w:val="Normal"/>
              <w:spacing w:lineRule="auto" w:line="259" w:before="160" w:after="0"/>
              <w:jc w:val="center"/>
              <w:rPr>
                <w:rFonts w:cs="Calibri" w:cstheme="minorHAnsi"/>
                <w:lang w:val="ro-RO"/>
              </w:rPr>
            </w:pPr>
            <w:r>
              <w:rPr>
                <w:rFonts w:cs="Calibri" w:cstheme="minorHAnsi"/>
                <w:lang w:val="ro-RO"/>
              </w:rPr>
              <w:t>Bursa de Valori București</w:t>
            </w:r>
          </w:p>
          <w:p>
            <w:pPr>
              <w:pStyle w:val="Normal"/>
              <w:spacing w:lineRule="auto" w:line="259" w:before="160" w:after="0"/>
              <w:jc w:val="center"/>
              <w:rPr>
                <w:lang w:val="ro-RO"/>
              </w:rPr>
            </w:pPr>
            <w:r>
              <w:rPr>
                <w:rFonts w:cs="Calibri" w:cstheme="minorHAnsi"/>
                <w:lang w:val="ro-RO"/>
              </w:rPr>
              <w:t>Stakeholderi relevanți din mediul privat și public</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2026</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I.5: </w:t>
            </w:r>
            <w:r>
              <w:rPr>
                <w:rFonts w:cs="Calibri" w:cstheme="minorHAnsi"/>
                <w:lang w:val="ro-RO"/>
              </w:rPr>
              <w:t>Intensificarea demersurilor pentru îndeplinirea cerințelor de autorizare și operaționalizare a unei contrapărți centrale (CCP).</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Acționarii Contrapărții Centrale</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30 iun. 2023</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0" w:after="0"/>
              <w:jc w:val="both"/>
              <w:rPr>
                <w:lang w:val="ro-RO"/>
              </w:rPr>
            </w:pPr>
            <w:r>
              <w:rPr>
                <w:rFonts w:cs="Calibri" w:cstheme="minorHAnsi"/>
                <w:b/>
                <w:color w:val="2F5496" w:themeColor="accent5" w:themeShade="bf"/>
                <w:lang w:val="ro-RO"/>
              </w:rPr>
              <w:t xml:space="preserve">Obiectiv specific I.6: </w:t>
            </w:r>
            <w:r>
              <w:rPr>
                <w:rFonts w:cs="Calibri" w:cstheme="minorHAnsi"/>
                <w:lang w:val="ro-RO"/>
              </w:rPr>
              <w:t xml:space="preserve">Încurajarea listării companiilor pe sistemul multilateral de tranzacționare administrat de BVB, </w:t>
            </w:r>
            <w:r>
              <w:rPr>
                <w:lang w:val="ro-RO"/>
              </w:rPr>
              <w:t>inclusiv prin:</w:t>
            </w:r>
          </w:p>
          <w:p>
            <w:pPr>
              <w:pStyle w:val="ListParagraph"/>
              <w:numPr>
                <w:ilvl w:val="0"/>
                <w:numId w:val="26"/>
              </w:numPr>
              <w:spacing w:lineRule="auto" w:line="240" w:before="160" w:after="160"/>
              <w:ind w:left="338" w:hanging="338"/>
              <w:jc w:val="both"/>
              <w:rPr>
                <w:rFonts w:cs="Calibri" w:cstheme="minorHAnsi"/>
                <w:lang w:val="ro-RO"/>
              </w:rPr>
            </w:pPr>
            <w:r>
              <w:rPr>
                <w:rFonts w:cs="Calibri" w:cstheme="minorHAnsi"/>
                <w:lang w:val="ro-RO"/>
              </w:rPr>
              <w:t>simplificarea procedurilor de listare;</w:t>
            </w:r>
          </w:p>
          <w:p>
            <w:pPr>
              <w:pStyle w:val="ListParagraph"/>
              <w:numPr>
                <w:ilvl w:val="0"/>
                <w:numId w:val="26"/>
              </w:numPr>
              <w:spacing w:lineRule="auto" w:line="240" w:before="160" w:after="160"/>
              <w:ind w:left="338" w:hanging="338"/>
              <w:jc w:val="both"/>
              <w:rPr>
                <w:lang w:val="ro-RO"/>
              </w:rPr>
            </w:pPr>
            <w:r>
              <w:rPr>
                <w:rFonts w:cs="Calibri" w:cstheme="minorHAnsi"/>
                <w:lang w:val="ro-RO"/>
              </w:rPr>
              <w:t>implementarea utilizării unei platforme electronice posibil de accesat de către emitent și autoritățile/instituțiile cu atribuții în aprobarea solicitării de listare pentru asigurarea celerității procesului.</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Supraveghere Financiară</w:t>
            </w:r>
          </w:p>
          <w:p>
            <w:pPr>
              <w:pStyle w:val="Normal"/>
              <w:spacing w:lineRule="auto" w:line="259" w:before="160" w:after="0"/>
              <w:jc w:val="center"/>
              <w:rPr>
                <w:lang w:val="ro-RO"/>
              </w:rPr>
            </w:pPr>
            <w:r>
              <w:rPr>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59" w:before="160" w:after="0"/>
              <w:jc w:val="center"/>
              <w:rPr>
                <w:b/>
                <w:b/>
                <w:lang w:val="ro-RO"/>
              </w:rPr>
            </w:pPr>
            <w:r>
              <w:rPr>
                <w:rFonts w:cs="Calibri" w:cstheme="minorHAnsi"/>
                <w:b/>
                <w:color w:val="2F5496" w:themeColor="accent5" w:themeShade="bf"/>
                <w:lang w:val="ro-RO"/>
              </w:rPr>
              <w:t xml:space="preserve">Obiectiv general II: </w:t>
            </w:r>
            <w:r>
              <w:rPr>
                <w:rFonts w:cs="Calibri" w:cstheme="minorHAnsi"/>
                <w:b/>
                <w:lang w:val="ro-RO"/>
              </w:rPr>
              <w:t>Creșterea lichidității pe piața secundară</w:t>
            </w:r>
          </w:p>
        </w:tc>
      </w:tr>
      <w:tr>
        <w:trPr>
          <w:trHeight w:val="368"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II.1: </w:t>
            </w:r>
            <w:r>
              <w:rPr>
                <w:rFonts w:cs="Calibri" w:cstheme="minorHAnsi"/>
                <w:lang w:val="ro-RO"/>
              </w:rPr>
              <w:t xml:space="preserve">Stabilirea unui mecanism care să ofere participanților la piață analize independente (independent quantitative research) cu costuri reduse, cu privire la companiile mai mici </w:t>
            </w:r>
            <w:r>
              <w:rPr>
                <w:rFonts w:cs="Calibri"/>
                <w:lang w:val="ro-RO"/>
              </w:rPr>
              <w:t>sau să sprijine Societățile de Servicii de Investiții Financiare pentru furnizarea acestor cercetări pe piață (sprijinirea programului recent lansat de bursă, care vizează creșterea acoperirii cercetării cu privire la companii cu capitalizare medie sau mică)</w:t>
            </w:r>
            <w:r>
              <w:rPr>
                <w:rFonts w:cs="Calibri" w:cstheme="minorHAnsi"/>
                <w:lang w:val="ro-RO"/>
              </w:rPr>
              <w:t>.</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2026</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rFonts w:cs="Calibri" w:cstheme="minorHAnsi"/>
                <w:lang w:val="ro-RO"/>
              </w:rPr>
            </w:pPr>
            <w:r>
              <w:rPr>
                <w:rFonts w:cs="Calibri" w:cstheme="minorHAnsi"/>
                <w:b/>
                <w:color w:val="2F5496" w:themeColor="accent5" w:themeShade="bf"/>
                <w:lang w:val="ro-RO"/>
              </w:rPr>
              <w:t xml:space="preserve">Obiectiv specific II.2: </w:t>
            </w:r>
            <w:r>
              <w:rPr>
                <w:rFonts w:cs="Calibri" w:cstheme="minorHAnsi"/>
                <w:lang w:val="ro-RO"/>
              </w:rPr>
              <w:t>Realizarea unei campanii naționale de informare a acționarilor inactivi care au beneficiat de programul de privatizare în masă derulat din anii 1990 cu scopul lichidării deținerilor acestora; Acordarea unei exceptări de la plata oricărei taxe de tranzacționare.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Autoritatea de Supraveghere Financiară</w:t>
            </w:r>
          </w:p>
          <w:p>
            <w:pPr>
              <w:pStyle w:val="Normal"/>
              <w:spacing w:lineRule="auto" w:line="240" w:before="160" w:after="0"/>
              <w:jc w:val="center"/>
              <w:rPr>
                <w:rFonts w:cs="Calibri" w:cstheme="minorHAnsi"/>
                <w:lang w:val="ro-RO"/>
              </w:rPr>
            </w:pPr>
            <w:r>
              <w:rPr>
                <w:rFonts w:cs="Calibri" w:cstheme="minorHAnsi"/>
                <w:lang w:val="ro-RO"/>
              </w:rPr>
              <w:t>Depozitarul Central</w:t>
            </w:r>
          </w:p>
          <w:p>
            <w:pPr>
              <w:pStyle w:val="Normal"/>
              <w:spacing w:lineRule="auto" w:line="240" w:before="160" w:after="0"/>
              <w:jc w:val="center"/>
              <w:rPr>
                <w:lang w:val="ro-RO"/>
              </w:rPr>
            </w:pPr>
            <w:r>
              <w:rPr>
                <w:rFonts w:cs="Calibri" w:cstheme="minorHAnsi"/>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2026</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both"/>
              <w:rPr>
                <w:lang w:val="ro-RO"/>
              </w:rPr>
            </w:pPr>
            <w:r>
              <w:rPr>
                <w:rFonts w:cs="Calibri" w:cstheme="minorHAnsi"/>
                <w:b/>
                <w:color w:val="2F5496" w:themeColor="accent5" w:themeShade="bf"/>
                <w:lang w:val="ro-RO"/>
              </w:rPr>
              <w:t xml:space="preserve">Obiectiv specific II.3: </w:t>
            </w:r>
            <w:r>
              <w:rPr>
                <w:rFonts w:cs="Calibri" w:cstheme="minorHAnsi"/>
                <w:lang w:val="ro-RO"/>
              </w:rPr>
              <w:t>Evaluarea cadrului de reglementare și a cerințelor operaționale din piață în vederea stimulării ofertelor derulate ulterior admiterii la tranzacționare a valorilor mobiliare, pentru a încuraja societățile să își mărească nivelul de free-float, prin furnizare de asistență pentru acoperirea parțială sau integrală a costului acestor oferte.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Autoritatea de Supraveghere Financiară</w:t>
            </w:r>
          </w:p>
          <w:p>
            <w:pPr>
              <w:pStyle w:val="Normal"/>
              <w:spacing w:lineRule="auto" w:line="240" w:before="160" w:after="0"/>
              <w:jc w:val="center"/>
              <w:rPr>
                <w:rFonts w:cs="Calibri" w:cstheme="minorHAnsi"/>
                <w:lang w:val="ro-RO"/>
              </w:rPr>
            </w:pPr>
            <w:r>
              <w:rPr>
                <w:rFonts w:cs="Calibri" w:cstheme="minorHAnsi"/>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2026</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II.4: </w:t>
            </w:r>
            <w:r>
              <w:rPr>
                <w:rFonts w:cs="Calibri" w:cstheme="minorHAnsi"/>
                <w:lang w:val="ro-RO"/>
              </w:rPr>
              <w:t>Intensificarea și continuarea eforturilor de creare și dezvoltare a unei piețe de instrumente financiare derivate.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rFonts w:cs="Calibri" w:cstheme="minorHAnsi"/>
                <w:lang w:val="ro-RO"/>
              </w:rPr>
            </w:pPr>
            <w:r>
              <w:rPr>
                <w:rFonts w:cs="Calibri" w:cstheme="minorHAnsi"/>
                <w:lang w:val="ro-RO"/>
              </w:rPr>
              <w:t>Bursa de Valori București</w:t>
            </w:r>
          </w:p>
          <w:p>
            <w:pPr>
              <w:pStyle w:val="Normal"/>
              <w:spacing w:lineRule="auto" w:line="259" w:before="160" w:after="0"/>
              <w:jc w:val="center"/>
              <w:rPr>
                <w:rFonts w:cs="Calibri" w:cstheme="minorHAnsi"/>
                <w:lang w:val="ro-RO"/>
              </w:rPr>
            </w:pPr>
            <w:r>
              <w:rPr>
                <w:rFonts w:cs="Calibri" w:cstheme="minorHAnsi"/>
                <w:lang w:val="ro-RO"/>
              </w:rPr>
              <w:t>Contrapartea Centrală</w:t>
            </w:r>
          </w:p>
          <w:p>
            <w:pPr>
              <w:pStyle w:val="Normal"/>
              <w:spacing w:lineRule="auto" w:line="259" w:before="160" w:after="0"/>
              <w:jc w:val="center"/>
              <w:rPr>
                <w:rFonts w:cs="Calibri" w:cstheme="minorHAnsi"/>
                <w:lang w:val="ro-RO"/>
              </w:rPr>
            </w:pPr>
            <w:r>
              <w:rPr>
                <w:rFonts w:cs="Calibri" w:cstheme="minorHAnsi"/>
                <w:lang w:val="ro-RO"/>
              </w:rPr>
              <w:t>Autoritatea de Supraveghere Financiară</w:t>
            </w:r>
          </w:p>
          <w:p>
            <w:pPr>
              <w:pStyle w:val="Normal"/>
              <w:spacing w:lineRule="auto" w:line="259" w:before="160" w:after="0"/>
              <w:jc w:val="center"/>
              <w:rPr>
                <w:lang w:val="ro-RO"/>
              </w:rPr>
            </w:pPr>
            <w:r>
              <w:rPr>
                <w:lang w:val="ro-RO"/>
              </w:rPr>
              <w:t>Alți stakeholderi relevanți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II.5: </w:t>
            </w:r>
            <w:r>
              <w:rPr>
                <w:rFonts w:cs="Calibri" w:cstheme="minorHAnsi"/>
                <w:lang w:val="ro-RO"/>
              </w:rPr>
              <w:t>Stimularea dezvoltării operațiunilor de împrumut de instrumente financiare prin eficientizarea proceselor de gestionare a garanțiilor.</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Supraveghere Financiara</w:t>
            </w:r>
          </w:p>
          <w:p>
            <w:pPr>
              <w:pStyle w:val="Normal"/>
              <w:spacing w:lineRule="auto" w:line="259" w:before="160" w:after="0"/>
              <w:jc w:val="center"/>
              <w:rPr>
                <w:rFonts w:cs="Calibri" w:cstheme="minorHAnsi"/>
                <w:lang w:val="ro-RO"/>
              </w:rPr>
            </w:pPr>
            <w:r>
              <w:rPr>
                <w:rFonts w:cs="Calibri" w:cstheme="minorHAnsi"/>
                <w:lang w:val="ro-RO"/>
              </w:rPr>
              <w:t>Depozitarul Central</w:t>
            </w:r>
          </w:p>
          <w:p>
            <w:pPr>
              <w:pStyle w:val="Normal"/>
              <w:spacing w:lineRule="auto" w:line="259" w:before="160" w:after="0"/>
              <w:jc w:val="center"/>
              <w:rPr>
                <w:lang w:val="ro-RO"/>
              </w:rPr>
            </w:pPr>
            <w:r>
              <w:rPr>
                <w:rFonts w:cs="Calibri" w:cstheme="minorHAnsi"/>
                <w:lang w:val="ro-RO"/>
              </w:rPr>
              <w:t>Contrapartea Centrală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2026</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rFonts w:cs="Calibri" w:cstheme="minorHAnsi"/>
                <w:lang w:val="ro-RO"/>
              </w:rPr>
            </w:pPr>
            <w:r>
              <w:rPr>
                <w:rFonts w:cs="Calibri" w:cstheme="minorHAnsi"/>
                <w:b/>
                <w:color w:val="2F5496" w:themeColor="accent5" w:themeShade="bf"/>
                <w:lang w:val="ro-RO"/>
              </w:rPr>
              <w:t xml:space="preserve">Obiectiv specific II.6: </w:t>
            </w:r>
            <w:r>
              <w:rPr>
                <w:rFonts w:cs="Calibri" w:cstheme="minorHAnsi"/>
                <w:lang w:val="ro-RO"/>
              </w:rPr>
              <w:t>Stimularea tranzacționării titlurilor de participare ale fondurilor deschise de investiții (OPCVM) prin intermediul sistemelor de tranzacționare ale pieței.</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rFonts w:cs="Calibri" w:cstheme="minorHAnsi"/>
                <w:lang w:val="ro-RO"/>
              </w:rPr>
            </w:pPr>
            <w:r>
              <w:rPr>
                <w:rFonts w:cs="Calibri" w:cstheme="minorHAnsi"/>
                <w:lang w:val="ro-RO"/>
              </w:rPr>
              <w:t>Bursa de Valori București</w:t>
            </w:r>
          </w:p>
          <w:p>
            <w:pPr>
              <w:pStyle w:val="Normal"/>
              <w:spacing w:lineRule="auto" w:line="259" w:before="160" w:after="0"/>
              <w:jc w:val="center"/>
              <w:rPr>
                <w:lang w:val="fr-FR"/>
              </w:rPr>
            </w:pPr>
            <w:r>
              <w:rPr>
                <w:lang w:val="ro-RO"/>
              </w:rPr>
              <w:t>Alți stakeholderi relevanți</w:t>
            </w:r>
          </w:p>
          <w:p>
            <w:pPr>
              <w:pStyle w:val="Normal"/>
              <w:spacing w:lineRule="auto" w:line="259" w:before="160" w:after="0"/>
              <w:jc w:val="center"/>
              <w:rPr>
                <w:rFonts w:cs="Calibri" w:cstheme="minorHAnsi"/>
                <w:lang w:val="ro-RO"/>
              </w:rPr>
            </w:pPr>
            <w:r>
              <w:rPr>
                <w:rFonts w:cs="Calibri" w:cstheme="minorHAnsi"/>
                <w:lang w:val="ro-RO"/>
              </w:rPr>
              <w:t>Asociația Administratorilor de Fonduri</w:t>
            </w:r>
          </w:p>
          <w:p>
            <w:pPr>
              <w:pStyle w:val="Normal"/>
              <w:spacing w:lineRule="auto" w:line="259" w:before="160" w:after="0"/>
              <w:jc w:val="center"/>
              <w:rPr>
                <w:lang w:val="ro-RO"/>
              </w:rPr>
            </w:pPr>
            <w:r>
              <w:rPr>
                <w:rFonts w:cs="Calibri" w:cstheme="minorHAnsi"/>
                <w:lang w:val="ro-RO"/>
              </w:rPr>
              <w:t>Autoritatea de Supraveghere Financiară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59" w:before="160" w:after="0"/>
              <w:jc w:val="center"/>
              <w:rPr>
                <w:b/>
                <w:b/>
                <w:lang w:val="ro-RO"/>
              </w:rPr>
            </w:pPr>
            <w:r>
              <w:rPr>
                <w:rFonts w:cs="Calibri" w:cstheme="minorHAnsi"/>
                <w:b/>
                <w:color w:val="2F5496" w:themeColor="accent5" w:themeShade="bf"/>
                <w:lang w:val="ro-RO"/>
              </w:rPr>
              <w:t xml:space="preserve">Obiectiv general III: </w:t>
            </w:r>
            <w:r>
              <w:rPr>
                <w:rFonts w:cs="Calibri" w:cstheme="minorHAnsi"/>
                <w:b/>
                <w:color w:val="000000" w:themeColor="text1"/>
                <w:lang w:val="ro-RO"/>
              </w:rPr>
              <w:t>Promovarea, dezvoltarea și creșterea unei piețe active a IMM-urilor</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III.1: </w:t>
            </w:r>
            <w:r>
              <w:rPr>
                <w:rFonts w:cs="Calibri" w:cstheme="minorHAnsi"/>
                <w:lang w:val="ro-RO"/>
              </w:rPr>
              <w:t xml:space="preserve">Intensificarea cooperării între BVB și Camera de Comerț și Industrie a României (CCIR) </w:t>
            </w:r>
            <w:r>
              <w:rPr>
                <w:rFonts w:cs="Calibri"/>
                <w:lang w:val="ro-RO"/>
              </w:rPr>
              <w:t xml:space="preserve">și organizarea de workshop-uri, seminarii, conferințe </w:t>
            </w:r>
            <w:r>
              <w:rPr>
                <w:rFonts w:cs="Calibri" w:cstheme="minorHAnsi"/>
                <w:lang w:val="ro-RO"/>
              </w:rPr>
              <w:t>pentru a promova metodele de finanțare prin piața de capital în rândul IMM-urilor.</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rFonts w:cs="Calibri" w:cstheme="minorHAnsi"/>
                <w:lang w:val="ro-RO"/>
              </w:rPr>
            </w:pPr>
            <w:r>
              <w:rPr>
                <w:rFonts w:cs="Calibri" w:cstheme="minorHAnsi"/>
                <w:lang w:val="ro-RO"/>
              </w:rPr>
              <w:t>Autoritatea de Supraveghere Financiară</w:t>
            </w:r>
          </w:p>
          <w:p>
            <w:pPr>
              <w:pStyle w:val="Normal"/>
              <w:spacing w:lineRule="auto" w:line="259" w:before="160" w:after="0"/>
              <w:jc w:val="center"/>
              <w:rPr>
                <w:rFonts w:cs="Calibri" w:cstheme="minorHAnsi"/>
                <w:lang w:val="ro-RO"/>
              </w:rPr>
            </w:pPr>
            <w:r>
              <w:rPr>
                <w:rFonts w:cs="Calibri" w:cstheme="minorHAnsi"/>
                <w:lang w:val="ro-RO"/>
              </w:rPr>
              <w:t>Bursa de Valori București</w:t>
            </w:r>
          </w:p>
          <w:p>
            <w:pPr>
              <w:pStyle w:val="Normal"/>
              <w:spacing w:lineRule="auto" w:line="259" w:before="160" w:after="0"/>
              <w:jc w:val="center"/>
              <w:rPr>
                <w:lang w:val="ro-RO"/>
              </w:rPr>
            </w:pPr>
            <w:r>
              <w:rPr>
                <w:rFonts w:cs="Calibri" w:cstheme="minorHAnsi"/>
                <w:lang w:val="ro-RO"/>
              </w:rPr>
              <w:t>Camera de Comerț și Industrie a României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III.2: </w:t>
            </w:r>
            <w:r>
              <w:rPr>
                <w:rFonts w:cs="Calibri" w:cstheme="minorHAnsi"/>
                <w:lang w:val="ro-RO"/>
              </w:rPr>
              <w:t>Evaluarea caracterului adecvat al pragului sub care ofertele publice de valori mobiliare sunt scutite de obligația de a publica un prospect.</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Supraveghere Financiară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116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III.3: </w:t>
            </w:r>
            <w:r>
              <w:rPr>
                <w:rFonts w:cs="Calibri" w:cstheme="minorHAnsi"/>
                <w:lang w:val="ro-RO"/>
              </w:rPr>
              <w:t>Sprijinirea intermediarilor prin reducerea de taxe și tarife pentru a susține companiile mici în evaluarea perspectivelor financiare și admiterii pe sistemul multilateral de tranzacționare administrat de BVB.</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Autoritatea de Supraveghere Financiară</w:t>
            </w:r>
          </w:p>
          <w:p>
            <w:pPr>
              <w:pStyle w:val="Normal"/>
              <w:spacing w:lineRule="auto" w:line="240" w:before="160" w:after="0"/>
              <w:jc w:val="center"/>
              <w:rPr>
                <w:rFonts w:cs="Calibri" w:cstheme="minorHAnsi"/>
                <w:lang w:val="ro-RO"/>
              </w:rPr>
            </w:pPr>
            <w:r>
              <w:rPr>
                <w:rFonts w:cs="Calibri" w:cstheme="minorHAnsi"/>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1853"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rFonts w:cs="Calibri" w:cstheme="minorHAnsi"/>
                <w:b/>
                <w:b/>
                <w:lang w:val="ro-RO"/>
              </w:rPr>
            </w:pPr>
            <w:r>
              <w:rPr>
                <w:rFonts w:cs="Calibri" w:cstheme="minorHAnsi"/>
                <w:b/>
                <w:color w:val="2F5496" w:themeColor="accent5" w:themeShade="bf"/>
                <w:lang w:val="ro-RO"/>
              </w:rPr>
              <w:t xml:space="preserve">Obiectiv specific III.4: </w:t>
            </w:r>
            <w:r>
              <w:rPr>
                <w:rFonts w:cs="Calibri" w:cstheme="minorHAnsi"/>
                <w:lang w:val="ro-RO"/>
              </w:rPr>
              <w:t>Elaborarea unui mecanism pentru stimularea societăților listate pe sistemul multilateral de tranzacționare administrat de BVB care îndeplinesc cerințele legale pentru a se transfera pe piața reglementată.</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rFonts w:cs="Calibri" w:cstheme="minorHAnsi"/>
                <w:lang w:val="ro-RO"/>
              </w:rPr>
            </w:pPr>
            <w:r>
              <w:rPr>
                <w:rFonts w:cs="Calibri" w:cstheme="minorHAnsi"/>
                <w:lang w:val="ro-RO"/>
              </w:rPr>
              <w:t>Autoritatea de Supraveghere Financiară</w:t>
            </w:r>
          </w:p>
          <w:p>
            <w:pPr>
              <w:pStyle w:val="Normal"/>
              <w:spacing w:lineRule="auto" w:line="259" w:before="160" w:after="0"/>
              <w:jc w:val="center"/>
              <w:rPr>
                <w:lang w:val="ro-RO"/>
              </w:rPr>
            </w:pPr>
            <w:r>
              <w:rPr>
                <w:rFonts w:cs="Calibri" w:cstheme="minorHAnsi"/>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III.5: </w:t>
            </w:r>
            <w:r>
              <w:rPr>
                <w:rFonts w:cs="Calibri" w:cstheme="minorHAnsi"/>
                <w:lang w:val="ro-RO"/>
              </w:rPr>
              <w:t>Stimularea înființării fondurilor de investiții de tip IPO Fund pentru sprijinirea finanțării IMM-urilor. Sprijinirea IMM-urilor pentru accesul la finanțarea oferită prin intermediul Fondului European pentru sprijinirea IPO pentru IMM (</w:t>
            </w:r>
            <w:r>
              <w:rPr>
                <w:rFonts w:cs="Calibri" w:cstheme="minorHAnsi"/>
                <w:i/>
                <w:lang w:val="ro-RO"/>
              </w:rPr>
              <w:t>EU fund to help promote SME IPOs</w:t>
            </w:r>
            <w:r>
              <w:rPr>
                <w:rFonts w:cs="Calibri" w:cstheme="minorHAnsi"/>
                <w:lang w:val="ro-RO"/>
              </w:rPr>
              <w:t>).</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Suăraveghere Financiară</w:t>
            </w:r>
          </w:p>
          <w:p>
            <w:pPr>
              <w:pStyle w:val="Normal"/>
              <w:spacing w:lineRule="auto" w:line="259" w:before="160" w:after="0"/>
              <w:jc w:val="center"/>
              <w:rPr>
                <w:lang w:val="ro-RO"/>
              </w:rPr>
            </w:pPr>
            <w:r>
              <w:rPr>
                <w:lang w:val="ro-RO"/>
              </w:rPr>
              <w:t>Asociația Administratorilor de Fonduri</w:t>
            </w:r>
          </w:p>
          <w:p>
            <w:pPr>
              <w:pStyle w:val="Normal"/>
              <w:spacing w:lineRule="auto" w:line="259" w:before="160" w:after="0"/>
              <w:jc w:val="center"/>
              <w:rPr>
                <w:lang w:val="ro-RO"/>
              </w:rPr>
            </w:pPr>
            <w:r>
              <w:rPr>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59" w:before="160" w:after="0"/>
              <w:jc w:val="center"/>
              <w:rPr>
                <w:b/>
                <w:b/>
                <w:lang w:val="ro-RO"/>
              </w:rPr>
            </w:pPr>
            <w:r>
              <w:rPr>
                <w:rFonts w:cs="Calibri" w:cstheme="minorHAnsi"/>
                <w:b/>
                <w:color w:val="2F5496" w:themeColor="accent5" w:themeShade="bf"/>
                <w:lang w:val="ro-RO"/>
              </w:rPr>
              <w:t xml:space="preserve">Obiectiv general IV: </w:t>
            </w:r>
            <w:r>
              <w:rPr>
                <w:rFonts w:cs="Calibri" w:cstheme="minorHAnsi"/>
                <w:b/>
                <w:lang w:val="ro-RO"/>
              </w:rPr>
              <w:t>Promovarea economiilor în rândul investitorilor persoane fizice</w:t>
            </w:r>
          </w:p>
        </w:tc>
      </w:tr>
      <w:tr>
        <w:trPr>
          <w:trHeight w:val="1727"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IV.1: </w:t>
            </w:r>
            <w:r>
              <w:rPr>
                <w:rFonts w:cs="Calibri" w:cstheme="minorHAnsi"/>
                <w:lang w:val="ro-RO"/>
              </w:rPr>
              <w:t xml:space="preserve">Creșterea segmentului de populație care are acces la un cont bancar </w:t>
            </w:r>
            <w:r>
              <w:rPr>
                <w:rFonts w:cs="Calibri"/>
                <w:lang w:val="ro-RO"/>
              </w:rPr>
              <w:t xml:space="preserve">prin bănci cooperatiste și implementarea de instrumente digitale de reducere a costurilor, precum și  a </w:t>
            </w:r>
            <w:r>
              <w:rPr>
                <w:rFonts w:cs="Calibri" w:cstheme="minorHAnsi"/>
                <w:b/>
                <w:lang w:val="ro-RO"/>
              </w:rPr>
              <w:t xml:space="preserve">gradului de conștientizare în rândul potențialilor investitori </w:t>
            </w:r>
            <w:r>
              <w:rPr>
                <w:rFonts w:cs="Calibri"/>
                <w:b/>
                <w:lang w:val="ro-RO"/>
              </w:rPr>
              <w:t xml:space="preserve">persoane fizice </w:t>
            </w:r>
            <w:r>
              <w:rPr>
                <w:rFonts w:cs="Calibri" w:cstheme="minorHAnsi"/>
                <w:b/>
                <w:lang w:val="ro-RO"/>
              </w:rPr>
              <w:t xml:space="preserve">cu privire la alternativa investițiilor/plasamentelor în instrumente financiare </w:t>
            </w:r>
            <w:r>
              <w:rPr>
                <w:rFonts w:cs="Calibri"/>
                <w:b/>
                <w:lang w:val="ro-RO"/>
              </w:rPr>
              <w:t xml:space="preserve">-  </w:t>
            </w:r>
            <w:r>
              <w:rPr>
                <w:rFonts w:cs="Calibri"/>
                <w:lang w:val="ro-RO"/>
              </w:rPr>
              <w:t xml:space="preserve">Utilizarea resorturilor aferente </w:t>
            </w:r>
            <w:r>
              <w:rPr>
                <w:rFonts w:cs="Calibri"/>
                <w:b/>
                <w:lang w:val="ro-RO"/>
              </w:rPr>
              <w:t>Strategiei Naționale de Educație Financiară</w:t>
            </w:r>
            <w:r>
              <w:rPr>
                <w:rFonts w:cs="Calibri"/>
                <w:lang w:val="ro-RO"/>
              </w:rPr>
              <w:t>.</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rFonts w:cs="Calibri" w:cstheme="minorHAnsi"/>
                <w:lang w:val="ro-RO"/>
              </w:rPr>
            </w:pPr>
            <w:r>
              <w:rPr>
                <w:rFonts w:cs="Calibri" w:cstheme="minorHAnsi"/>
                <w:lang w:val="ro-RO"/>
              </w:rPr>
              <w:t>Ministerul Educației</w:t>
            </w:r>
          </w:p>
          <w:p>
            <w:pPr>
              <w:pStyle w:val="Normal"/>
              <w:spacing w:lineRule="auto" w:line="259" w:before="160" w:after="0"/>
              <w:jc w:val="center"/>
              <w:rPr>
                <w:rFonts w:cs="Calibri" w:cstheme="minorHAnsi"/>
                <w:lang w:val="ro-RO"/>
              </w:rPr>
            </w:pPr>
            <w:r>
              <w:rPr>
                <w:rFonts w:cs="Calibri" w:cstheme="minorHAnsi"/>
                <w:lang w:val="ro-RO"/>
              </w:rPr>
              <w:t>Ministerul Finanțelor</w:t>
            </w:r>
          </w:p>
          <w:p>
            <w:pPr>
              <w:pStyle w:val="Normal"/>
              <w:spacing w:lineRule="auto" w:line="259" w:before="160" w:after="0"/>
              <w:jc w:val="center"/>
              <w:rPr>
                <w:rFonts w:cs="Calibri" w:cstheme="minorHAnsi"/>
                <w:lang w:val="ro-RO"/>
              </w:rPr>
            </w:pPr>
            <w:r>
              <w:rPr>
                <w:rFonts w:cs="Calibri" w:cstheme="minorHAnsi"/>
                <w:lang w:val="ro-RO"/>
              </w:rPr>
              <w:t>Autoritatea de Supraveghere Financiară /Institutul de Studii Financiare</w:t>
            </w:r>
          </w:p>
          <w:p>
            <w:pPr>
              <w:pStyle w:val="Normal"/>
              <w:spacing w:lineRule="auto" w:line="259" w:before="160" w:after="0"/>
              <w:jc w:val="center"/>
              <w:rPr>
                <w:rFonts w:cs="Calibri" w:cstheme="minorHAnsi"/>
                <w:lang w:val="ro-RO"/>
              </w:rPr>
            </w:pPr>
            <w:r>
              <w:rPr>
                <w:rFonts w:cs="Calibri" w:cstheme="minorHAnsi"/>
                <w:lang w:val="ro-RO"/>
              </w:rPr>
              <w:t>Asociația Română a Băncilor</w:t>
            </w:r>
          </w:p>
          <w:p>
            <w:pPr>
              <w:pStyle w:val="Normal"/>
              <w:spacing w:lineRule="auto" w:line="259" w:before="160" w:after="0"/>
              <w:jc w:val="center"/>
              <w:rPr>
                <w:rFonts w:cs="Calibri" w:cstheme="minorHAnsi"/>
                <w:lang w:val="ro-RO"/>
              </w:rPr>
            </w:pPr>
            <w:r>
              <w:rPr>
                <w:rFonts w:cs="Calibri" w:cstheme="minorHAnsi"/>
                <w:lang w:val="ro-RO"/>
              </w:rPr>
              <w:t>Asociația Administratorilor de Fonduri</w:t>
            </w:r>
          </w:p>
          <w:p>
            <w:pPr>
              <w:pStyle w:val="Normal"/>
              <w:spacing w:lineRule="auto" w:line="259" w:before="160" w:after="0"/>
              <w:rPr>
                <w:lang w:val="ro-RO"/>
              </w:rPr>
            </w:pPr>
            <w:r>
              <w:rPr>
                <w:lang w:val="ro-RO"/>
              </w:rPr>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59" w:before="160" w:after="0"/>
              <w:jc w:val="center"/>
              <w:rPr>
                <w:b/>
                <w:b/>
                <w:lang w:val="ro-RO"/>
              </w:rPr>
            </w:pPr>
            <w:r>
              <w:rPr>
                <w:rFonts w:cs="Calibri" w:cstheme="minorHAnsi"/>
                <w:b/>
                <w:color w:val="2F5496" w:themeColor="accent5" w:themeShade="bf"/>
                <w:lang w:val="ro-RO"/>
              </w:rPr>
              <w:t xml:space="preserve">Obiectiv general V: </w:t>
            </w:r>
            <w:r>
              <w:rPr>
                <w:rFonts w:cs="Calibri" w:cstheme="minorHAnsi"/>
                <w:b/>
                <w:lang w:val="ro-RO"/>
              </w:rPr>
              <w:t>Creșterea rolului investitorilor instituționali</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V.1: </w:t>
            </w:r>
            <w:r>
              <w:rPr>
                <w:rFonts w:cs="Calibri" w:cstheme="minorHAnsi"/>
                <w:lang w:val="ro-RO"/>
              </w:rPr>
              <w:t xml:space="preserve">Continuarea  procesului de simplificare, debirocratizare și fluidizare a operațiunilor/procedurilor de  autorizare/înregistrare a  OPC </w:t>
              <w:br/>
              <w:t xml:space="preserve">(OPCVM/FIA)/fondurilor de pensii private/ocupaționale) </w:t>
            </w:r>
            <w:r>
              <w:rPr>
                <w:rFonts w:cs="Calibri"/>
                <w:lang w:val="ro-RO"/>
              </w:rPr>
              <w:t>inclusiv prin revizuirea legislației secundare și standardizarea unora dintre documentele necesare.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Supraveghere Financiară</w:t>
            </w:r>
          </w:p>
          <w:p>
            <w:pPr>
              <w:pStyle w:val="Normal"/>
              <w:spacing w:lineRule="auto" w:line="259" w:before="160" w:after="0"/>
              <w:jc w:val="center"/>
              <w:rPr>
                <w:lang w:val="ro-RO"/>
              </w:rPr>
            </w:pPr>
            <w:r>
              <w:rPr>
                <w:lang w:val="ro-RO"/>
              </w:rPr>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2026</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both"/>
              <w:rPr>
                <w:rFonts w:cs="Calibri" w:cstheme="minorHAnsi"/>
                <w:b/>
                <w:b/>
                <w:color w:val="2F5496" w:themeColor="accent5" w:themeShade="bf"/>
                <w:lang w:val="ro-RO"/>
              </w:rPr>
            </w:pPr>
            <w:r>
              <w:rPr>
                <w:rFonts w:cs="Calibri" w:cstheme="minorHAnsi"/>
                <w:b/>
                <w:color w:val="2F5496" w:themeColor="accent5" w:themeShade="bf"/>
                <w:lang w:val="ro-RO"/>
              </w:rPr>
              <w:t xml:space="preserve">Obiectiv specific V.2: </w:t>
            </w:r>
            <w:r>
              <w:rPr>
                <w:rFonts w:cs="Calibri" w:cstheme="minorHAnsi"/>
                <w:lang w:val="ro-RO"/>
              </w:rPr>
              <w:t>Prioritizarea campaniei de conștientizare în ceea ce privește necesitatea creșterii ratei de economisire concomitent cu promovarea produselor de investiții pe termen lung.</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Ministerul Educației</w:t>
            </w:r>
          </w:p>
          <w:p>
            <w:pPr>
              <w:pStyle w:val="Normal"/>
              <w:spacing w:lineRule="auto" w:line="240" w:before="160" w:after="0"/>
              <w:jc w:val="center"/>
              <w:rPr>
                <w:rFonts w:cs="Calibri" w:cstheme="minorHAnsi"/>
                <w:lang w:val="ro-RO"/>
              </w:rPr>
            </w:pPr>
            <w:r>
              <w:rPr>
                <w:rFonts w:cs="Calibri" w:cstheme="minorHAnsi"/>
                <w:lang w:val="ro-RO"/>
              </w:rPr>
              <w:t>Ministerul Finanțelor</w:t>
            </w:r>
          </w:p>
          <w:p>
            <w:pPr>
              <w:pStyle w:val="Normal"/>
              <w:spacing w:lineRule="auto" w:line="240" w:before="160" w:after="0"/>
              <w:jc w:val="center"/>
              <w:rPr>
                <w:rFonts w:cs="Calibri" w:cstheme="minorHAnsi"/>
                <w:lang w:val="ro-RO"/>
              </w:rPr>
            </w:pPr>
            <w:r>
              <w:rPr>
                <w:rFonts w:cs="Calibri" w:cstheme="minorHAnsi"/>
                <w:lang w:val="ro-RO"/>
              </w:rPr>
              <w:t>Autoritatea de Supraveghere Financiară</w:t>
            </w:r>
          </w:p>
          <w:p>
            <w:pPr>
              <w:pStyle w:val="Normal"/>
              <w:spacing w:lineRule="auto" w:line="240" w:before="160" w:after="0"/>
              <w:jc w:val="center"/>
              <w:rPr>
                <w:rFonts w:cs="Calibri" w:cstheme="minorHAnsi"/>
                <w:lang w:val="ro-RO"/>
              </w:rPr>
            </w:pPr>
            <w:r>
              <w:rPr>
                <w:rFonts w:cs="Calibri" w:cstheme="minorHAnsi"/>
                <w:lang w:val="ro-RO"/>
              </w:rPr>
              <w:t>Asociația Română a Băncilor</w:t>
            </w:r>
          </w:p>
          <w:p>
            <w:pPr>
              <w:pStyle w:val="Normal"/>
              <w:spacing w:lineRule="auto" w:line="240" w:before="160" w:after="0"/>
              <w:jc w:val="center"/>
              <w:rPr>
                <w:rFonts w:cs="Calibri" w:cstheme="minorHAnsi"/>
                <w:lang w:val="ro-RO"/>
              </w:rPr>
            </w:pPr>
            <w:r>
              <w:rPr>
                <w:rFonts w:cs="Calibri" w:cstheme="minorHAnsi"/>
                <w:lang w:val="ro-RO"/>
              </w:rPr>
              <w:t>Asociația Administratorilor de Fonduri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rFonts w:cs="Calibri" w:cstheme="minorHAnsi"/>
                <w:lang w:val="ro-RO"/>
              </w:rPr>
            </w:pPr>
            <w:r>
              <w:rPr>
                <w:rFonts w:cs="Calibri" w:cstheme="minorHAnsi"/>
                <w:b/>
                <w:color w:val="2F5496" w:themeColor="accent5" w:themeShade="bf"/>
                <w:lang w:val="ro-RO"/>
              </w:rPr>
              <w:t xml:space="preserve">Obiectiv specific V.3: </w:t>
            </w:r>
            <w:r>
              <w:rPr>
                <w:rFonts w:cs="Calibri" w:cstheme="minorHAnsi"/>
                <w:lang w:val="ro-RO"/>
              </w:rPr>
              <w:t xml:space="preserve">Creșterea gradului de conștientizare în rândul angajatorilor din sectorul public și privat cu privire la oportunitățile oferite prin înființarea de fonduri de pensii ocupaționale (stimulare/fidelizare a salariaților; creșterea conturilor de economisire pentru pensii prin activitatea celui de al 4-lea pilon; salariații pot contribui împreună cu angajatorii la conturile personale de pensii ocupaționale);  </w:t>
            </w:r>
          </w:p>
          <w:p>
            <w:pPr>
              <w:pStyle w:val="Normal"/>
              <w:spacing w:lineRule="auto" w:line="259" w:before="160" w:after="0"/>
              <w:jc w:val="both"/>
              <w:rPr>
                <w:lang w:val="ro-RO"/>
              </w:rPr>
            </w:pPr>
            <w:r>
              <w:rPr>
                <w:rFonts w:cs="Calibri"/>
                <w:lang w:val="ro-RO"/>
              </w:rPr>
              <w:t>Evaluarea oportunității și inițierea înființării unor Fonduri de pensii ocupaționale de către angajatorii din diferite ramuri economice (ex. Fondul ocupațional pentru salariații din industria IT/ din sectorul financiar/ din agricultură/ din industria auto/ din administrația publică etc).</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Autoritatea de Supraveghere Financiară</w:t>
            </w:r>
          </w:p>
          <w:p>
            <w:pPr>
              <w:pStyle w:val="Normal"/>
              <w:spacing w:lineRule="auto" w:line="240" w:before="160" w:after="0"/>
              <w:jc w:val="center"/>
              <w:rPr/>
            </w:pPr>
            <w:r>
              <w:rPr>
                <w:lang w:val="ro-RO"/>
              </w:rPr>
              <w:t>Asociația pentru pensiile administrate privat din România</w:t>
            </w:r>
          </w:p>
          <w:p>
            <w:pPr>
              <w:pStyle w:val="Normal"/>
              <w:spacing w:lineRule="auto" w:line="240" w:before="160" w:after="0"/>
              <w:jc w:val="center"/>
              <w:rPr>
                <w:rFonts w:cs="Calibri" w:cstheme="minorHAnsi"/>
                <w:lang w:val="ro-RO"/>
              </w:rPr>
            </w:pPr>
            <w:r>
              <w:rPr>
                <w:rFonts w:cs="Calibri" w:cstheme="minorHAnsi"/>
                <w:lang w:val="ro-RO"/>
              </w:rPr>
              <w:t>Asociația Administratorilor de Fonduri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59" w:before="160" w:after="0"/>
              <w:jc w:val="both"/>
              <w:rPr>
                <w:b/>
                <w:b/>
                <w:lang w:val="ro-RO"/>
              </w:rPr>
            </w:pPr>
            <w:r>
              <w:rPr>
                <w:rFonts w:cs="Calibri" w:cstheme="minorHAnsi"/>
                <w:b/>
                <w:color w:val="2F5496" w:themeColor="accent5" w:themeShade="bf"/>
                <w:lang w:val="ro-RO"/>
              </w:rPr>
              <w:t xml:space="preserve">Obiectiv general VI: </w:t>
            </w:r>
            <w:r>
              <w:rPr>
                <w:rFonts w:cs="Calibri" w:cstheme="minorHAnsi"/>
                <w:b/>
                <w:lang w:val="ro-RO"/>
              </w:rPr>
              <w:t xml:space="preserve">Facilitarea finanțării pe termen lung prin mecanisme de piață </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VI.1: </w:t>
            </w:r>
            <w:r>
              <w:rPr>
                <w:rFonts w:cs="Calibri"/>
                <w:lang w:val="ro-RO"/>
              </w:rPr>
              <w:t>Analizarea cadrului de reglementare și a proceselor operaționale aplicabile în vederea  identificării modificărilor necesare pentru eficientizarea  procesului de listare a obligațiunilor corporative.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Supraveghere Financiară</w:t>
            </w:r>
          </w:p>
          <w:p>
            <w:pPr>
              <w:pStyle w:val="Normal"/>
              <w:spacing w:lineRule="auto" w:line="259" w:before="160" w:after="0"/>
              <w:jc w:val="center"/>
              <w:rPr>
                <w:lang w:val="ro-RO"/>
              </w:rPr>
            </w:pPr>
            <w:r>
              <w:rPr>
                <w:lang w:val="ro-RO"/>
              </w:rPr>
              <w:t>Bursa de Valori București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lang w:val="ro-RO"/>
              </w:rPr>
            </w:pPr>
            <w:r>
              <w:rPr>
                <w:rFonts w:cs="Calibri" w:cstheme="minorHAnsi"/>
                <w:b/>
                <w:color w:val="2F5496" w:themeColor="accent5" w:themeShade="bf"/>
                <w:lang w:val="ro-RO"/>
              </w:rPr>
              <w:t xml:space="preserve">Obiectiv specific VI.2: </w:t>
            </w:r>
            <w:r>
              <w:rPr>
                <w:rFonts w:cs="Calibri" w:cstheme="minorHAnsi"/>
                <w:lang w:val="ro-RO"/>
              </w:rPr>
              <w:t>Stimularea dezvoltării pieței obligațiunilor corporative inclusiv prin încurajarea investițiilor în obligațiuni emise de societățile nefinanciare admise la tranzacționare în cadrul BVB de către investitori instituționali prin reducerea/eliminarea taxelor/tarifelor de tranzacționare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Supraveghere Financiară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rFonts w:cs="Calibri" w:cstheme="minorHAnsi"/>
                <w:b/>
                <w:b/>
                <w:color w:val="2F5496" w:themeColor="accent5" w:themeShade="bf"/>
                <w:lang w:val="ro-RO"/>
              </w:rPr>
            </w:pPr>
            <w:bookmarkStart w:id="5" w:name="_Hlk103344593"/>
            <w:r>
              <w:rPr>
                <w:rFonts w:cs="Calibri" w:cstheme="minorHAnsi"/>
                <w:b/>
                <w:color w:val="2F5496" w:themeColor="accent5" w:themeShade="bf"/>
                <w:lang w:val="ro-RO"/>
              </w:rPr>
              <w:t xml:space="preserve">Obiectiv specific VI.3: </w:t>
            </w:r>
            <w:bookmarkEnd w:id="5"/>
            <w:r>
              <w:rPr>
                <w:rFonts w:cs="Calibri"/>
                <w:lang w:val="ro-RO"/>
              </w:rPr>
              <w:t>Dezvoltarea de proiecte în regim de parteneriat public-privat în care, în urma unei proceduri concurențiale, este creată o companie sau entitate-în scopul executării proiectelor de infrastructură, pe care le-ar putea finanța prin emiterea de obligațiuni corporative.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Ministerul Finanțelor</w:t>
            </w:r>
          </w:p>
          <w:p>
            <w:pPr>
              <w:pStyle w:val="Normal"/>
              <w:spacing w:lineRule="auto" w:line="240" w:before="160" w:after="0"/>
              <w:jc w:val="center"/>
              <w:rPr>
                <w:rFonts w:cs="Calibri" w:cstheme="minorHAnsi"/>
                <w:lang w:val="ro-RO"/>
              </w:rPr>
            </w:pPr>
            <w:r>
              <w:rPr>
                <w:rFonts w:cs="Calibri"/>
                <w:color w:val="000000"/>
                <w:lang w:val="ro-RO"/>
              </w:rPr>
              <w:t>Autorități /entități contractante (ministere, companii nationale, autoritati publice locale) ce pot iniția proiecte în regim de parteneriat public-privat</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2026</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59" w:before="160" w:after="0"/>
              <w:jc w:val="both"/>
              <w:rPr>
                <w:b/>
                <w:b/>
                <w:lang w:val="ro-RO"/>
              </w:rPr>
            </w:pPr>
            <w:r>
              <w:rPr>
                <w:rFonts w:cs="Calibri" w:cstheme="minorHAnsi"/>
                <w:b/>
                <w:color w:val="2F5496" w:themeColor="accent5" w:themeShade="bf"/>
                <w:lang w:val="ro-RO"/>
              </w:rPr>
              <w:t xml:space="preserve">Obiectiv general VII: </w:t>
            </w:r>
            <w:r>
              <w:rPr>
                <w:rFonts w:cs="Calibri" w:cstheme="minorHAnsi"/>
                <w:b/>
                <w:lang w:val="ro-RO"/>
              </w:rPr>
              <w:t>Susținerea digitalizării și a inovației financiare</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0" w:after="0"/>
              <w:jc w:val="both"/>
              <w:rPr>
                <w:lang w:val="ro-RO"/>
              </w:rPr>
            </w:pPr>
            <w:r>
              <w:rPr>
                <w:rFonts w:cs="Calibri" w:cstheme="minorHAnsi"/>
                <w:b/>
                <w:color w:val="2F5496" w:themeColor="accent5" w:themeShade="bf"/>
                <w:lang w:val="ro-RO"/>
              </w:rPr>
              <w:t xml:space="preserve">Obiectiv specific VII.1: </w:t>
            </w:r>
            <w:r>
              <w:rPr>
                <w:rFonts w:cs="Calibri" w:cstheme="minorHAnsi"/>
                <w:lang w:val="ro-RO"/>
              </w:rPr>
              <w:t>Sprijinirea participanților pe piețe financiare nebancare</w:t>
            </w:r>
            <w:r>
              <w:rPr>
                <w:rFonts w:cs="Calibri" w:cstheme="minorHAnsi"/>
                <w:b/>
                <w:lang w:val="ro-RO"/>
              </w:rPr>
              <w:t xml:space="preserve"> </w:t>
            </w:r>
            <w:r>
              <w:rPr>
                <w:rFonts w:cs="Calibri" w:cstheme="minorHAnsi"/>
                <w:lang w:val="ro-RO"/>
              </w:rPr>
              <w:t xml:space="preserve">pentru aplicarea cadrului european în domeniul </w:t>
            </w:r>
            <w:r>
              <w:rPr>
                <w:rFonts w:cs="Calibri" w:cstheme="minorHAnsi"/>
                <w:i/>
                <w:lang w:val="ro-RO"/>
              </w:rPr>
              <w:t>Finanțelor Digitale.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Autoritatea de Supraveghere Financiară</w:t>
            </w:r>
          </w:p>
          <w:p>
            <w:pPr>
              <w:pStyle w:val="Normal"/>
              <w:spacing w:lineRule="auto" w:line="259" w:before="160" w:after="0"/>
              <w:jc w:val="center"/>
              <w:rPr>
                <w:lang w:val="ro-RO"/>
              </w:rPr>
            </w:pPr>
            <w:r>
              <w:rPr>
                <w:lang w:val="ro-RO"/>
              </w:rPr>
              <w:t>Institutul de Studii Financiare</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jc w:val="both"/>
              <w:rPr>
                <w:lang w:val="ro-RO"/>
              </w:rPr>
            </w:pPr>
            <w:r>
              <w:rPr>
                <w:rFonts w:cs="Calibri" w:cstheme="minorHAnsi"/>
                <w:b/>
                <w:color w:val="2F5496" w:themeColor="accent5" w:themeShade="bf"/>
                <w:lang w:val="ro-RO"/>
              </w:rPr>
              <w:t xml:space="preserve">Obiectiv specific VII.2: </w:t>
            </w:r>
            <w:r>
              <w:rPr>
                <w:rFonts w:cs="Calibri" w:cstheme="minorHAnsi"/>
                <w:lang w:val="ro-RO"/>
              </w:rPr>
              <w:t>Creșterea competitivității pieței de capital din România prin utilizarea noilor tehnologii DLT în rândul entităților care asigură infrastructura pieței prin dezvoltarea și implementarea unui proiect pilot pentru un sistem de tranzacționare și sistem de decontare bazat pe tehnologia registrelor distribuite (DLT), în conformitate cu cadrul european în domeniu în vigoare.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Bursa de Valori București</w:t>
            </w:r>
          </w:p>
          <w:p>
            <w:pPr>
              <w:pStyle w:val="Normal"/>
              <w:spacing w:lineRule="auto" w:line="240" w:before="160" w:after="0"/>
              <w:jc w:val="center"/>
              <w:rPr>
                <w:rFonts w:cs="Calibri" w:cstheme="minorHAnsi"/>
                <w:lang w:val="ro-RO"/>
              </w:rPr>
            </w:pPr>
            <w:r>
              <w:rPr>
                <w:rFonts w:cs="Calibri" w:cstheme="minorHAnsi"/>
                <w:lang w:val="ro-RO"/>
              </w:rPr>
              <w:t>Depozitarul Central</w:t>
            </w:r>
          </w:p>
          <w:p>
            <w:pPr>
              <w:pStyle w:val="Normal"/>
              <w:spacing w:lineRule="auto" w:line="240" w:before="160" w:after="0"/>
              <w:jc w:val="center"/>
              <w:rPr>
                <w:rFonts w:cs="Calibri" w:cstheme="minorHAnsi"/>
                <w:lang w:val="ro-RO"/>
              </w:rPr>
            </w:pPr>
            <w:r>
              <w:rPr>
                <w:rFonts w:cs="Calibri" w:cstheme="minorHAnsi"/>
                <w:lang w:val="ro-RO"/>
              </w:rPr>
              <w:t>Autoritatea de Supraveghere Financiară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0" w:after="0"/>
              <w:jc w:val="center"/>
              <w:rPr>
                <w:lang w:val="ro-RO"/>
              </w:rPr>
            </w:pPr>
            <w:r>
              <w:rPr>
                <w:lang w:val="ro-RO"/>
              </w:rPr>
              <w:t>31 dec. 2024</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59" w:before="160" w:after="0"/>
              <w:jc w:val="center"/>
              <w:rPr>
                <w:rFonts w:cs="Calibri" w:cstheme="minorHAnsi"/>
                <w:b/>
                <w:b/>
                <w:color w:val="2F5496" w:themeColor="accent5" w:themeShade="bf"/>
                <w:lang w:val="ro-RO"/>
              </w:rPr>
            </w:pPr>
            <w:r>
              <w:rPr>
                <w:rFonts w:cs="Calibri" w:cstheme="minorHAnsi"/>
                <w:b/>
                <w:color w:val="2F5496" w:themeColor="accent5" w:themeShade="bf"/>
                <w:lang w:val="ro-RO"/>
              </w:rPr>
              <w:t xml:space="preserve">Obiectiv general VIII: </w:t>
            </w:r>
            <w:r>
              <w:rPr>
                <w:rFonts w:cs="Calibri" w:cstheme="minorHAnsi"/>
                <w:b/>
                <w:color w:val="000000" w:themeColor="text1"/>
                <w:lang w:val="ro-RO"/>
              </w:rPr>
              <w:t>Susținerea dezvoltării pieței locale de capital privat (private equity) și de capital de risc (venture capital)</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jc w:val="both"/>
              <w:rPr>
                <w:rFonts w:cs="Calibri" w:cstheme="minorHAnsi"/>
                <w:b/>
                <w:b/>
                <w:color w:val="000000" w:themeColor="text1"/>
                <w:lang w:val="ro-RO"/>
              </w:rPr>
            </w:pPr>
            <w:r>
              <w:rPr>
                <w:rFonts w:cs="Calibri" w:cstheme="minorHAnsi"/>
                <w:b/>
                <w:color w:val="2F5496" w:themeColor="accent5" w:themeShade="bf"/>
                <w:lang w:val="ro-RO"/>
              </w:rPr>
              <w:t xml:space="preserve">Obiectiv specific VIII.1: </w:t>
            </w:r>
            <w:r>
              <w:rPr>
                <w:rFonts w:cs="Calibri" w:cstheme="minorHAnsi"/>
                <w:color w:val="000000" w:themeColor="text1"/>
                <w:lang w:val="ro-RO"/>
              </w:rPr>
              <w:t xml:space="preserve"> </w:t>
            </w:r>
            <w:r>
              <w:rPr>
                <w:rFonts w:cs="Calibri" w:cstheme="minorHAnsi"/>
                <w:lang w:val="ro-RO"/>
              </w:rPr>
              <w:t>Revizuirea legislației naționale (primare și secundare) pentru facilitarea înființării de FIA de tip înregistrat („AIF Light Regime”).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jc w:val="center"/>
              <w:rPr>
                <w:rFonts w:cs="Calibri" w:cstheme="minorHAnsi"/>
                <w:color w:val="000000" w:themeColor="text1"/>
                <w:lang w:val="ro-RO"/>
              </w:rPr>
            </w:pPr>
            <w:r>
              <w:rPr>
                <w:rFonts w:cs="Calibri" w:cstheme="minorHAnsi"/>
                <w:color w:val="000000" w:themeColor="text1"/>
                <w:lang w:val="ro-RO"/>
              </w:rPr>
              <w:t>Autoritatea de Supraveghere Financiară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jc w:val="center"/>
              <w:rPr>
                <w:rFonts w:cs="Calibri" w:cstheme="minorHAnsi"/>
                <w:color w:val="000000" w:themeColor="text1"/>
                <w:lang w:val="ro-RO"/>
              </w:rPr>
            </w:pPr>
            <w:r>
              <w:rPr>
                <w:rFonts w:cs="Calibri" w:cstheme="minorHAnsi"/>
                <w:color w:val="000000" w:themeColor="text1"/>
                <w:lang w:val="ro-RO"/>
              </w:rPr>
              <w:t>31 dec. 2024</w:t>
            </w:r>
          </w:p>
        </w:tc>
      </w:tr>
      <w:tr>
        <w:trPr>
          <w:trHeight w:val="380" w:hRule="atLeast"/>
        </w:trPr>
        <w:tc>
          <w:tcPr>
            <w:tcW w:w="9360" w:type="dxa"/>
            <w:gridSpan w:val="3"/>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59" w:before="160" w:after="0"/>
              <w:jc w:val="center"/>
              <w:rPr>
                <w:rFonts w:cs="Calibri" w:cstheme="minorHAnsi"/>
                <w:b/>
                <w:b/>
                <w:color w:val="2F5496" w:themeColor="accent5" w:themeShade="bf"/>
                <w:lang w:val="ro-RO"/>
              </w:rPr>
            </w:pPr>
            <w:r>
              <w:rPr>
                <w:rFonts w:cs="Calibri" w:cstheme="minorHAnsi"/>
                <w:b/>
                <w:color w:val="2F5496" w:themeColor="accent5" w:themeShade="bf"/>
                <w:lang w:val="ro-RO"/>
              </w:rPr>
              <w:t xml:space="preserve">Obiectiv general IX: </w:t>
            </w:r>
            <w:r>
              <w:rPr>
                <w:rFonts w:cs="Calibri" w:cstheme="minorHAnsi"/>
                <w:b/>
                <w:color w:val="000000" w:themeColor="text1"/>
                <w:lang w:val="ro-RO"/>
              </w:rPr>
              <w:t>Stimularea investițiilor verzi</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rFonts w:cs="Calibri" w:cstheme="minorHAnsi"/>
                <w:b/>
                <w:b/>
                <w:color w:val="2F5496" w:themeColor="accent5" w:themeShade="bf"/>
                <w:lang w:val="ro-RO"/>
              </w:rPr>
            </w:pPr>
            <w:r>
              <w:rPr>
                <w:rFonts w:cs="Calibri" w:cstheme="minorHAnsi"/>
                <w:b/>
                <w:color w:val="2F5496" w:themeColor="accent5" w:themeShade="bf"/>
                <w:lang w:val="ro-RO"/>
              </w:rPr>
              <w:t xml:space="preserve">Obiectiv specific IX.1: </w:t>
            </w:r>
            <w:r>
              <w:rPr>
                <w:rFonts w:eastAsia="SimSun" w:cs="Calibri"/>
                <w:sz w:val="20"/>
                <w:szCs w:val="20"/>
                <w:lang w:val="fr-FR" w:eastAsia="ro-RO"/>
              </w:rPr>
              <w:t>Emiterea de obligațiuni guvernamentale/suverane verzi/sustenabile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Ministerul Finanțelor</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lang w:val="ro-RO"/>
              </w:rPr>
            </w:pPr>
            <w:r>
              <w:rPr>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both"/>
              <w:rPr>
                <w:rFonts w:cs="Calibri" w:cstheme="minorHAnsi"/>
                <w:b/>
                <w:b/>
                <w:color w:val="2F5496" w:themeColor="accent5" w:themeShade="bf"/>
                <w:lang w:val="ro-RO"/>
              </w:rPr>
            </w:pPr>
            <w:r>
              <w:rPr>
                <w:rFonts w:cs="Calibri" w:cstheme="minorHAnsi"/>
                <w:b/>
                <w:color w:val="2F5496" w:themeColor="accent5" w:themeShade="bf"/>
                <w:lang w:val="ro-RO"/>
              </w:rPr>
              <w:t xml:space="preserve">Obiectiv specific IX.2: </w:t>
            </w:r>
            <w:r>
              <w:rPr>
                <w:rFonts w:cs="Calibri" w:cstheme="minorHAnsi"/>
                <w:lang w:val="ro-RO"/>
              </w:rPr>
              <w:t>Creșterea gradului de conștientizare în rândul potențialilor investitori cu privire la oportunitățile oferite de investițiile în produse care promovează caracteristici de mediu și/sau sociale sau care au ca obiectiv investițiile durabile.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rFonts w:cs="Calibri" w:cstheme="minorHAnsi"/>
                <w:lang w:val="ro-RO"/>
              </w:rPr>
            </w:pPr>
            <w:r>
              <w:rPr>
                <w:rFonts w:cs="Calibri" w:cstheme="minorHAnsi"/>
                <w:lang w:val="ro-RO"/>
              </w:rPr>
              <w:t>Autoritatea de Supraveghere Financiară</w:t>
            </w:r>
          </w:p>
          <w:p>
            <w:pPr>
              <w:pStyle w:val="Normal"/>
              <w:spacing w:lineRule="auto" w:line="259" w:before="160" w:after="0"/>
              <w:jc w:val="center"/>
              <w:rPr>
                <w:rFonts w:cs="Calibri" w:cstheme="minorHAnsi"/>
                <w:lang w:val="ro-RO"/>
              </w:rPr>
            </w:pPr>
            <w:r>
              <w:rPr>
                <w:rFonts w:cs="Calibri" w:cstheme="minorHAnsi"/>
                <w:lang w:val="ro-RO"/>
              </w:rPr>
              <w:t>Societăți de Administrare a Investițiilor</w:t>
            </w:r>
          </w:p>
          <w:p>
            <w:pPr>
              <w:pStyle w:val="Normal"/>
              <w:spacing w:lineRule="auto" w:line="259" w:before="160" w:after="0"/>
              <w:jc w:val="center"/>
              <w:rPr>
                <w:rFonts w:cs="Calibri" w:cstheme="minorHAnsi"/>
                <w:lang w:val="ro-RO"/>
              </w:rPr>
            </w:pPr>
            <w:r>
              <w:rPr>
                <w:rFonts w:cs="Calibri" w:cstheme="minorHAnsi"/>
                <w:lang w:val="ro-RO"/>
              </w:rPr>
              <w:t>Administratori de Fonduri de Investiții Alternative</w:t>
            </w:r>
          </w:p>
          <w:p>
            <w:pPr>
              <w:pStyle w:val="Normal"/>
              <w:spacing w:lineRule="auto" w:line="259" w:before="160" w:after="0"/>
              <w:jc w:val="center"/>
              <w:rPr>
                <w:rFonts w:cs="Calibri" w:cstheme="minorHAnsi"/>
                <w:lang w:val="ro-RO"/>
              </w:rPr>
            </w:pPr>
            <w:r>
              <w:rPr>
                <w:rFonts w:cs="Calibri" w:cstheme="minorHAnsi"/>
                <w:lang w:val="ro-RO"/>
              </w:rPr>
              <w:t>Alți stakeholderi</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59" w:before="160" w:after="0"/>
              <w:jc w:val="center"/>
              <w:rPr>
                <w:rFonts w:cs="Calibri" w:cstheme="minorHAnsi"/>
                <w:lang w:val="ro-RO"/>
              </w:rPr>
            </w:pPr>
            <w:r>
              <w:rPr>
                <w:rFonts w:cs="Calibri" w:cstheme="minorHAnsi"/>
                <w:lang w:val="ro-RO"/>
              </w:rPr>
              <w:t>31 dec. 2024</w:t>
            </w:r>
          </w:p>
        </w:tc>
      </w:tr>
      <w:tr>
        <w:trPr>
          <w:trHeight w:val="380" w:hRule="atLeast"/>
        </w:trPr>
        <w:tc>
          <w:tcPr>
            <w:tcW w:w="547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both"/>
              <w:rPr>
                <w:rFonts w:cs="Calibri" w:cstheme="minorHAnsi"/>
                <w:b/>
                <w:b/>
                <w:color w:val="2F5496" w:themeColor="accent5" w:themeShade="bf"/>
                <w:lang w:val="ro-RO"/>
              </w:rPr>
            </w:pPr>
            <w:r>
              <w:rPr>
                <w:rFonts w:cs="Calibri" w:cstheme="minorHAnsi"/>
                <w:b/>
                <w:color w:val="2F5496" w:themeColor="accent5" w:themeShade="bf"/>
                <w:lang w:val="ro-RO"/>
              </w:rPr>
              <w:t xml:space="preserve">Obiectiv specific IX.3: </w:t>
            </w:r>
            <w:r>
              <w:rPr>
                <w:rFonts w:cs="Calibri" w:cstheme="minorHAnsi"/>
                <w:lang w:val="ro-RO"/>
              </w:rPr>
              <w:t>Creșterea gradului de conștientizare în rândul  emitenților privind alinierea la prevederile art. 8 din Regulamentul (UE) 2020/852 al Parlamentului European și al Consiliului din 18 iunie 2020 privind instituirea unui cadru care să faciliteze investițiile durabile și de modificare a Regulamentului (UE) 2019/2088 și creșterea calității raportărilor non-financiare.</w:t>
            </w:r>
          </w:p>
        </w:tc>
        <w:tc>
          <w:tcPr>
            <w:tcW w:w="2386"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Autoritatea de Supraveghere Financiară</w:t>
            </w:r>
          </w:p>
        </w:tc>
        <w:tc>
          <w:tcPr>
            <w:tcW w:w="1502"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rFonts w:cs="Calibri" w:cstheme="minorHAnsi"/>
                <w:lang w:val="ro-RO"/>
              </w:rPr>
            </w:pPr>
            <w:r>
              <w:rPr>
                <w:rFonts w:cs="Calibri" w:cstheme="minorHAnsi"/>
                <w:lang w:val="ro-RO"/>
              </w:rPr>
              <w:t>31 dec. 2024</w:t>
            </w:r>
          </w:p>
        </w:tc>
      </w:tr>
    </w:tbl>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b/>
          <w:b/>
          <w:i/>
          <w:i/>
          <w:sz w:val="28"/>
          <w:lang w:val="ro-RO"/>
        </w:rPr>
      </w:pPr>
      <w:r>
        <w:rPr>
          <w:rFonts w:cs="Calibri" w:cstheme="minorHAnsi"/>
          <w:b/>
          <w:i/>
          <w:sz w:val="28"/>
          <w:lang w:val="ro-RO"/>
        </w:rPr>
      </w:r>
    </w:p>
    <w:p>
      <w:pPr>
        <w:pStyle w:val="Normal"/>
        <w:spacing w:before="160" w:after="160"/>
        <w:jc w:val="both"/>
        <w:rPr>
          <w:rFonts w:eastAsia="" w:cs="Calibri" w:cstheme="minorHAnsi" w:eastAsiaTheme="majorEastAsia"/>
          <w:b/>
          <w:b/>
          <w:i/>
          <w:i/>
          <w:color w:val="2E74B5" w:themeColor="accent1" w:themeShade="bf"/>
          <w:sz w:val="28"/>
          <w:szCs w:val="26"/>
          <w:lang w:val="ro-RO"/>
        </w:rPr>
      </w:pPr>
      <w:r>
        <w:rPr>
          <w:rFonts w:eastAsia="" w:cs="Calibri" w:cstheme="minorHAnsi" w:eastAsiaTheme="majorEastAsia"/>
          <w:b/>
          <w:i/>
          <w:color w:val="2E74B5" w:themeColor="accent1" w:themeShade="bf"/>
          <w:sz w:val="28"/>
          <w:szCs w:val="26"/>
          <w:lang w:val="ro-RO"/>
        </w:rPr>
      </w:r>
      <w:r>
        <w:br w:type="page"/>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6" w:name="_Toc110535986"/>
      <w:r>
        <w:rPr>
          <w:rFonts w:cs="Calibri" w:ascii="Calibri" w:hAnsi="Calibri" w:asciiTheme="minorHAnsi" w:cstheme="minorHAnsi" w:hAnsiTheme="minorHAnsi"/>
          <w:b/>
          <w:sz w:val="28"/>
          <w:lang w:val="ro-RO"/>
        </w:rPr>
        <w:t>Caracteristicile pieței de capital din România – analiza contextului și definirea problemelor</w:t>
      </w:r>
      <w:bookmarkEnd w:id="6"/>
    </w:p>
    <w:p>
      <w:pPr>
        <w:pStyle w:val="Normal"/>
        <w:spacing w:before="160" w:after="160"/>
        <w:rPr>
          <w:rFonts w:cs="Calibri" w:cstheme="minorHAnsi"/>
          <w:lang w:val="ro-RO"/>
        </w:rPr>
      </w:pPr>
      <w:r>
        <w:rPr>
          <w:rFonts w:cs="Calibri" w:cstheme="minorHAnsi"/>
          <w:lang w:val="ro-RO"/>
        </w:rPr>
      </w:r>
    </w:p>
    <w:p>
      <w:pPr>
        <w:pStyle w:val="Heading3"/>
        <w:shd w:val="clear" w:color="auto" w:fill="DEEAF6" w:themeFill="accent1" w:themeFillTint="33"/>
        <w:spacing w:before="160" w:after="300"/>
        <w:rPr>
          <w:rFonts w:ascii="Calibri" w:hAnsi="Calibri" w:eastAsia="Calibri" w:cs="Calibri" w:asciiTheme="minorHAnsi" w:cstheme="minorHAnsi" w:eastAsiaTheme="minorHAnsi" w:hAnsiTheme="minorHAnsi"/>
          <w:b/>
          <w:b/>
          <w:lang w:val="ro-RO"/>
        </w:rPr>
      </w:pPr>
      <w:bookmarkStart w:id="7" w:name="_Toc110535987"/>
      <w:r>
        <w:rPr>
          <w:rFonts w:cs="Calibri" w:ascii="Calibri" w:hAnsi="Calibri" w:asciiTheme="minorHAnsi" w:cstheme="minorHAnsi" w:hAnsiTheme="minorHAnsi"/>
          <w:b/>
          <w:lang w:val="ro-RO"/>
        </w:rPr>
        <w:t xml:space="preserve">1. Analiză diagnostic – </w:t>
      </w:r>
      <w:r>
        <w:rPr>
          <w:rFonts w:eastAsia="Calibri" w:cs="Calibri" w:ascii="Calibri" w:hAnsi="Calibri" w:asciiTheme="minorHAnsi" w:cstheme="minorHAnsi" w:eastAsiaTheme="minorHAnsi" w:hAnsiTheme="minorHAnsi"/>
          <w:b/>
          <w:lang w:val="ro-RO"/>
        </w:rPr>
        <w:t>principalele probleme cu care se confruntă piața locală</w:t>
      </w:r>
      <w:bookmarkEnd w:id="7"/>
    </w:p>
    <w:p>
      <w:pPr>
        <w:pStyle w:val="Normal"/>
        <w:jc w:val="both"/>
        <w:rPr>
          <w:rFonts w:eastAsia="Times New Roman" w:cs="Calibri" w:cstheme="minorHAnsi"/>
          <w:lang w:val="ro-RO"/>
        </w:rPr>
      </w:pPr>
      <w:r>
        <w:rPr>
          <w:rFonts w:eastAsia="Times New Roman" w:cs="Calibri" w:cstheme="minorHAnsi"/>
          <w:lang w:val="ro-RO"/>
        </w:rPr>
        <w:t xml:space="preserve">În România, accesul la finanțare prin piața de capital este deficitar, </w:t>
      </w:r>
      <w:r>
        <w:rPr>
          <w:rFonts w:cs="Calibri" w:cstheme="minorHAnsi"/>
          <w:lang w:val="ro-RO"/>
        </w:rPr>
        <w:t>sectorul corporativ fiind mult dependent de sistemul bancar, o mare parte a firmelor rămânând constrânse de creditele bancare pentru a se finanța. Finanțarea prin piața de capital poate ajuta la acoperirea deficitului de finanțare, crescând în același timp reziliența financiară în sectorul corporativ, prin sprijinirea afacerilor viabile și prin reducerea perioadei necesare pentru redresare. O piață de capital care funcționează bine asigură accesul la diferite surse de finanțare care vor fi esențiale pentru promovarea dezvoltării economice durabile în România.</w:t>
      </w:r>
    </w:p>
    <w:p>
      <w:pPr>
        <w:pStyle w:val="Normal"/>
        <w:spacing w:before="160" w:after="160"/>
        <w:jc w:val="both"/>
        <w:rPr>
          <w:rFonts w:eastAsia="Times New Roman" w:cs="Calibri" w:cstheme="minorHAnsi"/>
          <w:lang w:val="ro-RO"/>
        </w:rPr>
      </w:pPr>
      <w:r>
        <w:rPr>
          <w:rFonts w:eastAsia="Times New Roman" w:cs="Calibri" w:cstheme="minorHAnsi"/>
          <w:lang w:val="ro-RO"/>
        </w:rPr>
        <w:t xml:space="preserve">În prezent, </w:t>
      </w:r>
      <w:r>
        <w:rPr>
          <w:rFonts w:eastAsia="Times New Roman" w:cs="Calibri" w:cstheme="minorHAnsi"/>
          <w:b/>
          <w:lang w:val="ro-RO"/>
        </w:rPr>
        <w:t>Piața de capital din România este subdimensionată</w:t>
      </w:r>
      <w:r>
        <w:rPr>
          <w:rFonts w:eastAsia="Times New Roman" w:cs="Calibri" w:cstheme="minorHAnsi"/>
          <w:lang w:val="ro-RO"/>
        </w:rPr>
        <w:t xml:space="preserve">, caracterizându-se printr-o pierdere de companii (delistări) și o lipsă generală de activitate. Din 2008, 45 de companii s-au radiat de pe Piața Principală a Bursei de Valori București, iar doar 14 noi listări au avut loc. Din 2019 până în 2021, la BVB nu a mai avut loc nici un IPO, iar până în 2020 activitatea SPO a fost la fel de scăzută. Ponderea capitalizării pieței de capital din România în capitalizarea bursieră totală a Uniunii Europene este cu mult sub ponderea sa în PIB. </w:t>
      </w:r>
    </w:p>
    <w:p>
      <w:pPr>
        <w:pStyle w:val="Normal"/>
        <w:spacing w:before="160" w:after="160"/>
        <w:jc w:val="both"/>
        <w:rPr>
          <w:rFonts w:cs="Calibri" w:cstheme="minorHAnsi"/>
          <w:lang w:val="ro-RO"/>
        </w:rPr>
      </w:pPr>
      <w:r>
        <w:rPr>
          <w:rFonts w:eastAsia="Times New Roman" w:cs="Calibri" w:cstheme="minorHAnsi"/>
          <w:lang w:val="ro-RO"/>
        </w:rPr>
        <w:t xml:space="preserve">Deși 99% din finanțarea prin îndatorare a companiilor românești este alcătuită din împrumuturi bancare, totalul creditelor bancare în PIB reprezintă doar o treime din media UE. Finanțarea prin piața de capital reprezintă doar o optime din nivelul mediu al UE. Mai mult, IMM-urile din România prezintă niveluri scăzute de capitalizare, astfel încât o pondere semnificativă a companiilor sunt constrânse de credit. Cu toate că în 2007 a luat naștere sistemul de </w:t>
      </w:r>
      <w:r>
        <w:rPr>
          <w:rFonts w:cs="Calibri" w:cstheme="minorHAnsi"/>
          <w:lang w:val="ro-RO"/>
        </w:rPr>
        <w:t>fonduri de pensii private din România, progresul limitat al pieței de capital împiedică fondurile de pensii să-și diversifice portofoliile către o echilibrare mai eficientă a riscului și rentabilității.</w:t>
      </w:r>
    </w:p>
    <w:p>
      <w:pPr>
        <w:pStyle w:val="Normal"/>
        <w:spacing w:before="160" w:after="160"/>
        <w:jc w:val="both"/>
        <w:rPr>
          <w:rFonts w:cs="Calibri" w:cstheme="minorHAnsi"/>
          <w:lang w:val="ro-RO"/>
        </w:rPr>
      </w:pPr>
      <w:r>
        <w:rPr>
          <w:rFonts w:cs="Calibri" w:cstheme="minorHAnsi"/>
          <w:lang w:val="ro-RO"/>
        </w:rPr>
        <w:t xml:space="preserve">Piața de acțiuni din România se caracterizează prin niveluri scăzute de lichiditate, determinate de un număr mare de acțiuni inactive, în special pe segmentul AeRO. Lichiditatea de pe piață este dominată de acțiunile câtorva companii mari. Cu toate că piața de acțiuni AeRO a fost înființată încă din 2015, ofertele de acțiuni au fost limitate și majoritatea au fost efectuate ca plasamente private.  </w:t>
      </w:r>
    </w:p>
    <w:p>
      <w:pPr>
        <w:pStyle w:val="Normal"/>
        <w:spacing w:before="160" w:after="160"/>
        <w:jc w:val="both"/>
        <w:rPr>
          <w:rFonts w:cs="Calibri" w:cstheme="minorHAnsi"/>
          <w:lang w:val="ro-RO"/>
        </w:rPr>
      </w:pPr>
      <w:r>
        <w:rPr>
          <w:rFonts w:cs="Calibri" w:cstheme="minorHAnsi"/>
          <w:lang w:val="ro-RO"/>
        </w:rPr>
        <w:t xml:space="preserve">În contextul în care nivelul de free-float este o componentă esențială pentru asigurarea lichidității, pe piața de capital din România există un număr redus de societăți cu niveluri mai ridicate de free-float, majoritatea companiilor listate având niveluri scăzute ale acestui indicator. </w:t>
      </w:r>
    </w:p>
    <w:p>
      <w:pPr>
        <w:pStyle w:val="Normal"/>
        <w:spacing w:before="160" w:after="160"/>
        <w:jc w:val="both"/>
        <w:rPr>
          <w:rFonts w:cs="Calibri" w:cstheme="minorHAnsi"/>
          <w:lang w:val="ro-RO"/>
        </w:rPr>
      </w:pPr>
      <w:r>
        <w:rPr>
          <w:rFonts w:cs="Calibri" w:cstheme="minorHAnsi"/>
          <w:lang w:val="ro-RO"/>
        </w:rPr>
        <w:t>România nu mai are o piață a instrumentelor derivate prin care să permită investitorilor posibilitatea de a-și acoperi riscurile. Existența unei piațe de instrumente derivate reprezintă o componentă importantă pentru dezvoltarea pieței de capital, oferind totodată oportunități de creștere a lichidității instrumentelor suport.</w:t>
      </w:r>
    </w:p>
    <w:p>
      <w:pPr>
        <w:pStyle w:val="Normal"/>
        <w:spacing w:before="160" w:after="160"/>
        <w:jc w:val="both"/>
        <w:rPr>
          <w:rFonts w:cs="Calibri" w:cstheme="minorHAnsi"/>
          <w:lang w:val="ro-RO"/>
        </w:rPr>
      </w:pPr>
      <w:r>
        <w:rPr>
          <w:rFonts w:cs="Calibri" w:cstheme="minorHAnsi"/>
          <w:lang w:val="ro-RO"/>
        </w:rPr>
        <w:t xml:space="preserve">IMM-urile din România se confruntă cu bariere semnificative în accesul la finanțare. Nivelurile scăzute de capitalizare, constrângerile semnificative de credit și sursele limitate de finanțare externă i-au împiedicat să profite de oportunitățile de creștere. Piețele de acțiuni publice care funcționează bine, care vizează IMM-urile, precum și piețele de capital privat, pot juca un rol important în susținerea creșterii acestora.  Un grad ridicat de dependență de finanțarea internă și de împrumuturile bancare ar putea indica faptul că antreprenorii IMM-urilor nu cunosc alte surse de finanțare. CCIR (Camera de Comerț și Industrie a României) reprezintă peste 15000 companii din țară, reprezentând totodată un bun canal de comunicare a unor recomandări sau politici care să faciliteze accesul la finanțare ale IMM-urilor. </w:t>
      </w:r>
    </w:p>
    <w:p>
      <w:pPr>
        <w:pStyle w:val="Normal"/>
        <w:spacing w:before="160" w:after="160"/>
        <w:jc w:val="both"/>
        <w:rPr>
          <w:rFonts w:cs="Calibri" w:cstheme="minorHAnsi"/>
          <w:lang w:val="ro-RO"/>
        </w:rPr>
      </w:pPr>
      <w:r>
        <w:rPr>
          <w:rFonts w:cs="Calibri" w:cstheme="minorHAnsi"/>
          <w:lang w:val="ro-RO"/>
        </w:rPr>
        <w:t>Industria de private equity din România este încă într-o fază de dezvoltare, rămânând în urma celor din țările similare, în special în ceea ce privește finanțările.</w:t>
      </w:r>
      <w:r>
        <w:rPr>
          <w:rFonts w:eastAsia="Times New Roman" w:cs="Calibri" w:cstheme="minorHAnsi"/>
          <w:b/>
          <w:color w:val="202124"/>
          <w:lang w:val="ro-RO"/>
        </w:rPr>
        <w:t xml:space="preserve"> Între 2007 și 2019, firmele de private equity din România au strâns 222 de milioane de euro, </w:t>
      </w:r>
      <w:r>
        <w:rPr>
          <w:rFonts w:eastAsia="Times New Roman" w:cs="Calibri" w:cstheme="minorHAnsi"/>
          <w:color w:val="202124"/>
          <w:lang w:val="ro-RO"/>
        </w:rPr>
        <w:t>reprezentând doar 1% din suma totală de private equity atrasă în regiunea ECE și a fost cu mult sub ponderea medie anuală a României în PIB-ul ECE pentru aceeași perioadă (11,7%).</w:t>
      </w:r>
    </w:p>
    <w:p>
      <w:pPr>
        <w:pStyle w:val="Normal"/>
        <w:spacing w:before="160" w:after="160"/>
        <w:jc w:val="both"/>
        <w:rPr>
          <w:rFonts w:eastAsia="Times New Roman" w:cs="Calibri" w:cstheme="minorHAnsi"/>
          <w:color w:val="202124"/>
          <w:lang w:val="ro-RO"/>
        </w:rPr>
      </w:pPr>
      <w:r>
        <w:rPr>
          <w:rFonts w:eastAsia="Times New Roman" w:cs="Calibri" w:cstheme="minorHAnsi"/>
          <w:color w:val="202124"/>
          <w:lang w:val="ro-RO"/>
        </w:rPr>
        <w:t xml:space="preserve">Unul dintre principalele obstacole în extinderea piețeI de capital din România îl reprezintă nivelurile </w:t>
      </w:r>
      <w:r>
        <w:rPr>
          <w:rFonts w:eastAsia="Times New Roman" w:cs="Calibri" w:cstheme="minorHAnsi"/>
          <w:b/>
          <w:color w:val="202124"/>
          <w:lang w:val="ro-RO"/>
        </w:rPr>
        <w:t xml:space="preserve">limitate ale economiilor populației </w:t>
      </w:r>
      <w:r>
        <w:rPr>
          <w:rFonts w:eastAsia="Times New Roman" w:cs="Calibri" w:cstheme="minorHAnsi"/>
          <w:color w:val="202124"/>
          <w:lang w:val="ro-RO"/>
        </w:rPr>
        <w:t xml:space="preserve">și </w:t>
      </w:r>
      <w:r>
        <w:rPr>
          <w:rFonts w:eastAsia="Times New Roman" w:cs="Calibri" w:cstheme="minorHAnsi"/>
          <w:b/>
          <w:color w:val="202124"/>
          <w:lang w:val="ro-RO"/>
        </w:rPr>
        <w:t>alocarea redusă a acestora către produsele de capital de pe piața de capital.</w:t>
      </w:r>
      <w:r>
        <w:rPr>
          <w:rFonts w:eastAsia="Times New Roman" w:cs="Calibri" w:cstheme="minorHAnsi"/>
          <w:color w:val="202124"/>
          <w:lang w:val="ro-RO"/>
        </w:rPr>
        <w:t xml:space="preserve">  Piețele de capital care funcționează bine oferă populației mai multe oportunități de economisire și permit diversificarea și o planificare mai bună a pensionării. Incluziunea financiară în România s-a îmbunătățit considerabil în ultima perioadă, dar rămâne încă în urma țărilor similare.</w:t>
      </w:r>
    </w:p>
    <w:p>
      <w:pPr>
        <w:pStyle w:val="Normal"/>
        <w:spacing w:before="160" w:after="160"/>
        <w:jc w:val="both"/>
        <w:rPr>
          <w:rFonts w:eastAsia="Times New Roman" w:cs="Calibri" w:cstheme="minorHAnsi"/>
          <w:color w:val="202124"/>
          <w:lang w:val="ro-RO"/>
        </w:rPr>
      </w:pPr>
      <w:r>
        <w:rPr>
          <w:rFonts w:eastAsia="Times New Roman" w:cs="Calibri" w:cstheme="minorHAnsi"/>
          <w:color w:val="202124"/>
          <w:lang w:val="ro-RO"/>
        </w:rPr>
        <w:t xml:space="preserve">În ceea ce privește situația investitorilor instituționali, sistemul din România este încă tânăr și cu multe provocări. Aceștia ar putea contribui la impulsionarea dezvoltării piețelor de capital, oferind sectorului real capital pe termen lung pentru a investi, a inova și a crește. </w:t>
      </w:r>
    </w:p>
    <w:p>
      <w:pPr>
        <w:pStyle w:val="Normal"/>
        <w:spacing w:before="160" w:after="160"/>
        <w:jc w:val="both"/>
        <w:rPr>
          <w:rFonts w:eastAsia="Times New Roman" w:cs="Calibri" w:cstheme="minorHAnsi"/>
          <w:color w:val="202124"/>
          <w:lang w:val="ro-RO"/>
        </w:rPr>
      </w:pPr>
      <w:r>
        <w:rPr>
          <w:rFonts w:eastAsia="Times New Roman" w:cs="Calibri" w:cstheme="minorHAnsi"/>
          <w:color w:val="202124"/>
          <w:lang w:val="ro-RO"/>
        </w:rPr>
      </w:r>
    </w:p>
    <w:p>
      <w:pPr>
        <w:pStyle w:val="Heading3"/>
        <w:shd w:val="clear" w:color="auto" w:fill="DEEAF6" w:themeFill="accent1" w:themeFillTint="33"/>
        <w:spacing w:before="160" w:after="300"/>
        <w:rPr>
          <w:rFonts w:ascii="Calibri" w:hAnsi="Calibri" w:cs="Calibri" w:asciiTheme="minorHAnsi" w:cstheme="minorHAnsi" w:hAnsiTheme="minorHAnsi"/>
          <w:b/>
          <w:b/>
          <w:lang w:val="ro-RO"/>
        </w:rPr>
      </w:pPr>
      <w:bookmarkStart w:id="8" w:name="_Toc110535988"/>
      <w:r>
        <w:rPr>
          <w:rFonts w:cs="Calibri" w:ascii="Calibri" w:hAnsi="Calibri" w:asciiTheme="minorHAnsi" w:cstheme="minorHAnsi" w:hAnsiTheme="minorHAnsi"/>
          <w:b/>
          <w:lang w:val="ro-RO"/>
        </w:rPr>
        <w:t>2. Contextul macroeconomic</w:t>
      </w:r>
      <w:bookmarkEnd w:id="8"/>
    </w:p>
    <w:p>
      <w:pPr>
        <w:pStyle w:val="Normal"/>
        <w:spacing w:before="480" w:after="240"/>
        <w:rPr>
          <w:b/>
          <w:b/>
          <w:lang w:val="ro-RO"/>
        </w:rPr>
      </w:pPr>
      <w:r>
        <w:rPr>
          <w:b/>
          <w:lang w:val="ro-RO"/>
        </w:rPr>
        <w:t>Creșterea economică</w:t>
      </w:r>
    </w:p>
    <w:p>
      <w:pPr>
        <w:pStyle w:val="Normal"/>
        <w:jc w:val="both"/>
        <w:rPr>
          <w:lang w:val="ro-RO"/>
        </w:rPr>
      </w:pPr>
      <w:r>
        <w:rPr>
          <w:lang w:val="ro-RO"/>
        </w:rPr>
        <w:t>La începutul anului 2022, în mare parte ca urmare a conflictul armat dintre Rusia și Ucraina, perspectivele economice globale s-au deteriorat semnificativ, cu toate că înainte de izbucnirea războiului se prevedea o redresare rapidă după efectuele cauzate din perioada pandemiei.</w:t>
      </w:r>
    </w:p>
    <w:p>
      <w:pPr>
        <w:pStyle w:val="Normal"/>
        <w:jc w:val="both"/>
        <w:rPr>
          <w:lang w:val="ro-RO"/>
        </w:rPr>
      </w:pPr>
      <w:r>
        <w:rPr>
          <w:lang w:val="ro-RO"/>
        </w:rPr>
        <w:t>Printre implicațiile negative cauzate de război se numără: noi întreruperi în lanțul de aprovizionare global, presiuni asupa prețurilor mărfurilor, înăsprirea condițiilor financiare și diminuarea încrederii consumatorilor și acompaniilor.</w:t>
      </w:r>
    </w:p>
    <w:p>
      <w:pPr>
        <w:pStyle w:val="Normal"/>
        <w:spacing w:lineRule="auto" w:line="276" w:before="120" w:after="120"/>
        <w:contextualSpacing/>
        <w:jc w:val="both"/>
        <w:rPr>
          <w:rFonts w:ascii="Calibri" w:hAnsi="Calibri" w:eastAsia="Calibri" w:cs="Calibri"/>
          <w:szCs w:val="21"/>
          <w:lang w:val="ro-RO"/>
        </w:rPr>
      </w:pPr>
      <w:r>
        <w:rPr>
          <w:rFonts w:eastAsia="Calibri" w:cs="Calibri"/>
          <w:szCs w:val="21"/>
          <w:lang w:val="ro-RO"/>
        </w:rPr>
        <w:t>În acest context, perpectivele de creștere economică emise de principalele insituții internaționale au fost revizuite în scădere. În cadrul previziunilor economice de vară</w:t>
      </w:r>
      <w:r>
        <w:rPr>
          <w:rStyle w:val="FootnoteCharacters"/>
          <w:rStyle w:val="FootnoteAnchor"/>
          <w:rFonts w:eastAsia="Calibri"/>
          <w:szCs w:val="21"/>
          <w:lang w:val="ro-RO"/>
        </w:rPr>
        <w:footnoteReference w:id="4"/>
      </w:r>
      <w:r>
        <w:rPr>
          <w:rFonts w:eastAsia="Calibri" w:cs="Calibri"/>
          <w:szCs w:val="21"/>
          <w:lang w:val="ro-RO"/>
        </w:rPr>
        <w:t xml:space="preserve">, </w:t>
      </w:r>
      <w:r>
        <w:rPr>
          <w:rFonts w:eastAsia="Calibri" w:cs="Calibri"/>
          <w:b/>
          <w:szCs w:val="21"/>
          <w:lang w:val="ro-RO"/>
        </w:rPr>
        <w:t>Comisia Europeană</w:t>
      </w:r>
      <w:r>
        <w:rPr>
          <w:rFonts w:eastAsia="Calibri" w:cs="Calibri"/>
          <w:szCs w:val="21"/>
          <w:lang w:val="ro-RO"/>
        </w:rPr>
        <w:t xml:space="preserve"> estimează o creștere a PIB-ului real de 2,7 % în 2022 și la 1,5 % în </w:t>
      </w:r>
      <w:r>
        <w:rPr>
          <w:rFonts w:cs="Calibri"/>
          <w:szCs w:val="21"/>
          <w:lang w:val="ro-RO"/>
        </w:rPr>
        <w:t>2023 la nivelul UE, respectiv de 2,6% în 2022 și 1,4% în 2023 la nivelul zonei euro</w:t>
      </w:r>
      <w:r>
        <w:rPr>
          <w:rFonts w:eastAsia="Calibri" w:cs="Calibri"/>
          <w:szCs w:val="21"/>
          <w:lang w:val="ro-RO"/>
        </w:rPr>
        <w:t xml:space="preserve">. În ceea ce privește </w:t>
      </w:r>
      <w:r>
        <w:rPr>
          <w:rFonts w:eastAsia="Calibri" w:cs="Calibri"/>
          <w:b/>
          <w:szCs w:val="21"/>
          <w:lang w:val="ro-RO"/>
        </w:rPr>
        <w:t>economia României</w:t>
      </w:r>
      <w:r>
        <w:rPr>
          <w:rFonts w:eastAsia="Calibri" w:cs="Calibri"/>
          <w:szCs w:val="21"/>
          <w:lang w:val="ro-RO"/>
        </w:rPr>
        <w:t xml:space="preserve">, aceasta urmează să încetinească până la 3,9% în 2022 și 2,9% în 2023. Conform previziunilor din luna aprilie 2022 (World Economic Outlook), </w:t>
      </w:r>
      <w:r>
        <w:rPr>
          <w:rFonts w:eastAsia="Calibri" w:cs="Calibri"/>
          <w:b/>
          <w:szCs w:val="21"/>
          <w:lang w:val="ro-RO"/>
        </w:rPr>
        <w:t>FMI</w:t>
      </w:r>
      <w:r>
        <w:rPr>
          <w:rFonts w:eastAsia="Calibri" w:cs="Calibri"/>
          <w:szCs w:val="21"/>
          <w:lang w:val="ro-RO"/>
        </w:rPr>
        <w:t xml:space="preserve"> a revizuit în scădere creșterea economică pentru economia zonei euro (față de previziunile din ianuarie 2022), de la 3,9% la 2,8% în 2022 și de la 2,5% la 2,3% în 2023. </w:t>
      </w:r>
      <w:r>
        <w:rPr>
          <w:rFonts w:eastAsia="Calibri" w:cs="Calibri"/>
          <w:b/>
          <w:szCs w:val="21"/>
          <w:lang w:val="ro-RO"/>
        </w:rPr>
        <w:t>OECD</w:t>
      </w:r>
      <w:r>
        <w:rPr>
          <w:rFonts w:eastAsia="Calibri" w:cs="Calibri"/>
          <w:szCs w:val="21"/>
          <w:lang w:val="ro-RO"/>
        </w:rPr>
        <w:t xml:space="preserve"> (OECD Economic Outlook) și-a redus de asemenea proiecțiile cu privire la creșterea economică, estimând pentru zona euro o creștere de 2,62% în 2022 ( de la 4,32% când a fost proiectat în decembrie 2021).</w:t>
      </w:r>
    </w:p>
    <w:p>
      <w:pPr>
        <w:pStyle w:val="Normal"/>
        <w:spacing w:lineRule="auto" w:line="276" w:before="0" w:after="120"/>
        <w:jc w:val="both"/>
        <w:rPr>
          <w:rFonts w:ascii="Calibri" w:hAnsi="Calibri" w:eastAsia="Calibri" w:cs="Calibri"/>
          <w:szCs w:val="21"/>
          <w:lang w:val="ro-RO"/>
        </w:rPr>
      </w:pPr>
      <w:r>
        <w:rPr>
          <w:rFonts w:eastAsia="Calibri" w:cs="Calibri"/>
          <w:szCs w:val="21"/>
          <w:lang w:val="ro-RO"/>
        </w:rPr>
        <w:t xml:space="preserve">Pe plan local, </w:t>
      </w:r>
      <w:r>
        <w:rPr>
          <w:rFonts w:eastAsia="Calibri" w:cs="Calibri"/>
          <w:b/>
          <w:szCs w:val="21"/>
          <w:lang w:val="ro-RO"/>
        </w:rPr>
        <w:t>Comisia Națională de Strategie și Prognoză</w:t>
      </w:r>
      <w:r>
        <w:rPr>
          <w:rFonts w:eastAsia="Calibri" w:cs="Calibri"/>
          <w:szCs w:val="21"/>
          <w:lang w:val="ro-RO"/>
        </w:rPr>
        <w:t xml:space="preserve"> (CNSP) a revizuit în sens pozitiv creșterea economică prognozată pentru anul 2022, la 3,5% (de la 2,9% conform prognozei  de primăvară). </w:t>
      </w:r>
      <w:r>
        <w:rPr>
          <w:lang w:val="ro-RO"/>
        </w:rPr>
        <w:t>Pentru anul 2023, CNSP estimează o scădere a creșterii economiei românești față de prognoza de primăvară, de la 4,4% la 3,7%.</w:t>
      </w:r>
    </w:p>
    <w:p>
      <w:pPr>
        <w:pStyle w:val="Normal"/>
        <w:spacing w:before="240" w:after="240"/>
        <w:jc w:val="both"/>
        <w:rPr>
          <w:b/>
          <w:b/>
          <w:lang w:val="ro-RO"/>
        </w:rPr>
      </w:pPr>
      <w:bookmarkStart w:id="9" w:name="_Toc110530366"/>
      <w:r>
        <w:rPr>
          <w:i/>
          <w:iCs/>
          <w:color w:val="44546A" w:themeColor="text2"/>
          <w:sz w:val="18"/>
          <w:szCs w:val="18"/>
          <w:lang w:val="ro-RO"/>
        </w:rPr>
        <w:t xml:space="preserve">Tabelul </w:t>
      </w:r>
      <w:r>
        <w:rPr>
          <w:i/>
          <w:iCs/>
          <w:color w:val="44546A" w:themeColor="text2"/>
          <w:sz w:val="18"/>
          <w:szCs w:val="18"/>
          <w:lang w:val="ro-RO"/>
        </w:rPr>
        <w:fldChar w:fldCharType="begin"/>
      </w:r>
      <w:r>
        <w:rPr>
          <w:sz w:val="18"/>
          <w:i/>
          <w:szCs w:val="18"/>
          <w:iCs/>
        </w:rPr>
        <w:instrText> SEQ Tabelul \* ARABIC </w:instrText>
      </w:r>
      <w:r>
        <w:rPr>
          <w:sz w:val="18"/>
          <w:i/>
          <w:szCs w:val="18"/>
          <w:iCs/>
        </w:rPr>
        <w:fldChar w:fldCharType="separate"/>
      </w:r>
      <w:r>
        <w:rPr>
          <w:sz w:val="18"/>
          <w:i/>
          <w:szCs w:val="18"/>
          <w:iCs/>
        </w:rPr>
        <w:t>1</w:t>
      </w:r>
      <w:r>
        <w:rPr>
          <w:sz w:val="18"/>
          <w:i/>
          <w:szCs w:val="18"/>
          <w:iCs/>
        </w:rPr>
        <w:fldChar w:fldCharType="end"/>
      </w:r>
      <w:r>
        <w:rPr>
          <w:i/>
          <w:iCs/>
          <w:color w:val="44546A" w:themeColor="text2"/>
          <w:sz w:val="18"/>
          <w:szCs w:val="18"/>
          <w:lang w:val="ro-RO"/>
        </w:rPr>
        <w:t xml:space="preserve"> Prognozele FMI, CE și CNSP de creștere economică pentru România</w:t>
      </w:r>
      <w:bookmarkEnd w:id="9"/>
      <w:r>
        <w:rPr>
          <w:i/>
          <w:iCs/>
          <w:color w:val="44546A" w:themeColor="text2"/>
          <w:sz w:val="18"/>
          <w:szCs w:val="18"/>
          <w:lang w:val="ro-RO"/>
        </w:rPr>
        <w:tab/>
      </w:r>
    </w:p>
    <w:tbl>
      <w:tblPr>
        <w:tblStyle w:val="TableGrid"/>
        <w:tblW w:w="4550" w:type="pct"/>
        <w:jc w:val="left"/>
        <w:tblInd w:w="0" w:type="dxa"/>
        <w:tblCellMar>
          <w:top w:w="0" w:type="dxa"/>
          <w:left w:w="108" w:type="dxa"/>
          <w:bottom w:w="0" w:type="dxa"/>
          <w:right w:w="108" w:type="dxa"/>
        </w:tblCellMar>
        <w:tblLook w:firstRow="1" w:noVBand="1" w:lastRow="0" w:firstColumn="1" w:lastColumn="0" w:noHBand="0" w:val="04a0"/>
      </w:tblPr>
      <w:tblGrid>
        <w:gridCol w:w="1962"/>
        <w:gridCol w:w="934"/>
        <w:gridCol w:w="939"/>
        <w:gridCol w:w="1203"/>
        <w:gridCol w:w="1071"/>
        <w:gridCol w:w="1"/>
        <w:gridCol w:w="1071"/>
        <w:gridCol w:w="1335"/>
      </w:tblGrid>
      <w:tr>
        <w:trPr/>
        <w:tc>
          <w:tcPr>
            <w:tcW w:w="1962" w:type="dxa"/>
            <w:vMerge w:val="restart"/>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both"/>
              <w:rPr>
                <w:color w:val="1F4E79" w:themeColor="accent1" w:themeShade="80"/>
                <w:sz w:val="20"/>
                <w:szCs w:val="20"/>
                <w:lang w:val="fr-FR"/>
              </w:rPr>
            </w:pPr>
            <w:r>
              <w:rPr>
                <w:color w:val="1F4E79" w:themeColor="accent1" w:themeShade="80"/>
                <w:sz w:val="20"/>
                <w:szCs w:val="20"/>
                <w:lang w:val="fr-FR"/>
              </w:rPr>
            </w:r>
          </w:p>
        </w:tc>
        <w:tc>
          <w:tcPr>
            <w:tcW w:w="1873" w:type="dxa"/>
            <w:gridSpan w:val="2"/>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b/>
                <w:b/>
                <w:color w:val="1F4E79" w:themeColor="accent1" w:themeShade="80"/>
                <w:sz w:val="20"/>
                <w:szCs w:val="20"/>
              </w:rPr>
            </w:pPr>
            <w:r>
              <w:rPr>
                <w:b/>
                <w:sz w:val="20"/>
                <w:szCs w:val="20"/>
              </w:rPr>
              <w:t>FMI</w:t>
            </w:r>
          </w:p>
        </w:tc>
        <w:tc>
          <w:tcPr>
            <w:tcW w:w="2275" w:type="dxa"/>
            <w:gridSpan w:val="3"/>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color w:val="1F4E79" w:themeColor="accent1" w:themeShade="80"/>
                <w:sz w:val="20"/>
                <w:szCs w:val="20"/>
              </w:rPr>
            </w:pPr>
            <w:r>
              <w:rPr>
                <w:b/>
                <w:sz w:val="20"/>
                <w:szCs w:val="20"/>
              </w:rPr>
              <w:t>CE</w:t>
            </w:r>
          </w:p>
        </w:tc>
        <w:tc>
          <w:tcPr>
            <w:tcW w:w="2406" w:type="dxa"/>
            <w:gridSpan w:val="2"/>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color w:val="1F4E79" w:themeColor="accent1" w:themeShade="80"/>
                <w:sz w:val="20"/>
                <w:szCs w:val="20"/>
              </w:rPr>
            </w:pPr>
            <w:r>
              <w:rPr>
                <w:b/>
                <w:sz w:val="20"/>
                <w:szCs w:val="20"/>
              </w:rPr>
              <w:t>CNSP</w:t>
            </w:r>
          </w:p>
        </w:tc>
      </w:tr>
      <w:tr>
        <w:trPr/>
        <w:tc>
          <w:tcPr>
            <w:tcW w:w="1962" w:type="dxa"/>
            <w:vMerge w:val="continue"/>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both"/>
              <w:rPr>
                <w:color w:val="1F4E79" w:themeColor="accent1" w:themeShade="80"/>
                <w:sz w:val="20"/>
                <w:szCs w:val="20"/>
              </w:rPr>
            </w:pPr>
            <w:r>
              <w:rPr>
                <w:color w:val="1F4E79" w:themeColor="accent1" w:themeShade="80"/>
                <w:sz w:val="20"/>
                <w:szCs w:val="20"/>
              </w:rPr>
            </w:r>
          </w:p>
        </w:tc>
        <w:tc>
          <w:tcPr>
            <w:tcW w:w="9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b/>
                <w:b/>
                <w:sz w:val="20"/>
                <w:szCs w:val="20"/>
              </w:rPr>
            </w:pPr>
            <w:r>
              <w:rPr>
                <w:b/>
                <w:sz w:val="20"/>
                <w:szCs w:val="20"/>
              </w:rPr>
              <w:t>2022f</w:t>
            </w:r>
          </w:p>
        </w:tc>
        <w:tc>
          <w:tcPr>
            <w:tcW w:w="939"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b/>
                <w:b/>
                <w:sz w:val="20"/>
                <w:szCs w:val="20"/>
              </w:rPr>
            </w:pPr>
            <w:r>
              <w:rPr>
                <w:b/>
                <w:sz w:val="20"/>
                <w:szCs w:val="20"/>
              </w:rPr>
              <w:t>2023f</w:t>
            </w:r>
          </w:p>
        </w:tc>
        <w:tc>
          <w:tcPr>
            <w:tcW w:w="1203"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b/>
                <w:b/>
                <w:sz w:val="20"/>
                <w:szCs w:val="20"/>
              </w:rPr>
            </w:pPr>
            <w:r>
              <w:rPr>
                <w:b/>
                <w:sz w:val="20"/>
                <w:szCs w:val="20"/>
              </w:rPr>
              <w:t>2022f</w:t>
            </w:r>
          </w:p>
        </w:tc>
        <w:tc>
          <w:tcPr>
            <w:tcW w:w="1071"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b/>
                <w:b/>
                <w:sz w:val="20"/>
                <w:szCs w:val="20"/>
              </w:rPr>
            </w:pPr>
            <w:r>
              <w:rPr>
                <w:b/>
                <w:sz w:val="20"/>
                <w:szCs w:val="20"/>
              </w:rPr>
              <w:t>2023f</w:t>
            </w:r>
          </w:p>
        </w:tc>
        <w:tc>
          <w:tcPr>
            <w:tcW w:w="1072" w:type="dxa"/>
            <w:gridSpan w:val="2"/>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b/>
                <w:b/>
                <w:sz w:val="20"/>
                <w:szCs w:val="20"/>
              </w:rPr>
            </w:pPr>
            <w:r>
              <w:rPr>
                <w:b/>
                <w:sz w:val="20"/>
                <w:szCs w:val="20"/>
              </w:rPr>
              <w:t>2022f</w:t>
            </w:r>
          </w:p>
        </w:tc>
        <w:tc>
          <w:tcPr>
            <w:tcW w:w="133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b/>
                <w:b/>
                <w:sz w:val="20"/>
                <w:szCs w:val="20"/>
              </w:rPr>
            </w:pPr>
            <w:r>
              <w:rPr>
                <w:b/>
                <w:sz w:val="20"/>
                <w:szCs w:val="20"/>
              </w:rPr>
              <w:t>2023f</w:t>
            </w:r>
          </w:p>
        </w:tc>
      </w:tr>
      <w:tr>
        <w:trPr/>
        <w:tc>
          <w:tcPr>
            <w:tcW w:w="1962"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b/>
                <w:b/>
                <w:color w:val="1F4E79" w:themeColor="accent1" w:themeShade="80"/>
                <w:sz w:val="20"/>
                <w:szCs w:val="20"/>
              </w:rPr>
            </w:pPr>
            <w:r>
              <w:rPr>
                <w:b/>
                <w:sz w:val="20"/>
                <w:szCs w:val="20"/>
              </w:rPr>
              <w:t>Prognoza PIB real (%)</w:t>
            </w:r>
          </w:p>
        </w:tc>
        <w:tc>
          <w:tcPr>
            <w:tcW w:w="9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sz w:val="20"/>
                <w:szCs w:val="20"/>
              </w:rPr>
            </w:pPr>
            <w:r>
              <w:rPr>
                <w:sz w:val="20"/>
                <w:szCs w:val="20"/>
              </w:rPr>
              <w:t>2,2</w:t>
            </w:r>
          </w:p>
        </w:tc>
        <w:tc>
          <w:tcPr>
            <w:tcW w:w="939"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sz w:val="20"/>
                <w:szCs w:val="20"/>
              </w:rPr>
            </w:pPr>
            <w:r>
              <w:rPr>
                <w:sz w:val="20"/>
                <w:szCs w:val="20"/>
              </w:rPr>
              <w:t>3,4</w:t>
            </w:r>
          </w:p>
        </w:tc>
        <w:tc>
          <w:tcPr>
            <w:tcW w:w="1203"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sz w:val="20"/>
                <w:szCs w:val="20"/>
              </w:rPr>
            </w:pPr>
            <w:r>
              <w:rPr>
                <w:sz w:val="20"/>
                <w:szCs w:val="20"/>
              </w:rPr>
              <w:t>3,9</w:t>
            </w:r>
          </w:p>
        </w:tc>
        <w:tc>
          <w:tcPr>
            <w:tcW w:w="1071"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sz w:val="20"/>
                <w:szCs w:val="20"/>
              </w:rPr>
            </w:pPr>
            <w:r>
              <w:rPr>
                <w:sz w:val="20"/>
                <w:szCs w:val="20"/>
              </w:rPr>
              <w:t>2,9</w:t>
            </w:r>
          </w:p>
        </w:tc>
        <w:tc>
          <w:tcPr>
            <w:tcW w:w="1072" w:type="dxa"/>
            <w:gridSpan w:val="2"/>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sz w:val="20"/>
                <w:szCs w:val="20"/>
              </w:rPr>
            </w:pPr>
            <w:r>
              <w:rPr>
                <w:sz w:val="20"/>
                <w:szCs w:val="20"/>
              </w:rPr>
              <w:t>3,5</w:t>
            </w:r>
          </w:p>
        </w:tc>
        <w:tc>
          <w:tcPr>
            <w:tcW w:w="133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Normal"/>
              <w:spacing w:lineRule="auto" w:line="240" w:before="0" w:after="0"/>
              <w:jc w:val="center"/>
              <w:rPr>
                <w:sz w:val="20"/>
                <w:szCs w:val="20"/>
              </w:rPr>
            </w:pPr>
            <w:r>
              <w:rPr>
                <w:sz w:val="20"/>
                <w:szCs w:val="20"/>
              </w:rPr>
              <w:t>3,7</w:t>
            </w:r>
          </w:p>
        </w:tc>
      </w:tr>
    </w:tbl>
    <w:p>
      <w:pPr>
        <w:pStyle w:val="Normal"/>
        <w:spacing w:lineRule="auto" w:line="240" w:before="0" w:after="0"/>
        <w:jc w:val="center"/>
        <w:rPr>
          <w:rFonts w:ascii="Calibri" w:hAnsi="Calibri" w:eastAsia="Times New Roman" w:cs="Calibri"/>
          <w:i/>
          <w:i/>
          <w:sz w:val="16"/>
          <w:szCs w:val="16"/>
          <w:lang w:val="ro-RO"/>
        </w:rPr>
      </w:pPr>
      <w:r>
        <w:rPr>
          <w:rFonts w:eastAsia="Times New Roman" w:cs="Calibri"/>
          <w:i/>
          <w:sz w:val="16"/>
          <w:szCs w:val="16"/>
          <w:lang w:val="ro-RO"/>
        </w:rPr>
        <w:t>Sursa: FMI - World Economic Outlook –aprilie 2022, CE – prognoza de vară 2022, CNSP – Prognoza de vară pentru perioada 2022-2025</w:t>
      </w:r>
    </w:p>
    <w:p>
      <w:pPr>
        <w:pStyle w:val="Normal"/>
        <w:spacing w:lineRule="auto" w:line="240" w:before="0" w:after="0"/>
        <w:jc w:val="center"/>
        <w:rPr>
          <w:rFonts w:ascii="Calibri" w:hAnsi="Calibri" w:eastAsia="Times New Roman" w:cs="Calibri"/>
          <w:i/>
          <w:i/>
          <w:sz w:val="18"/>
          <w:lang w:val="ro-RO"/>
        </w:rPr>
      </w:pPr>
      <w:r>
        <w:rPr>
          <w:rFonts w:eastAsia="Times New Roman" w:cs="Calibri"/>
          <w:i/>
          <w:sz w:val="18"/>
          <w:lang w:val="ro-RO"/>
        </w:rPr>
      </w:r>
    </w:p>
    <w:p>
      <w:pPr>
        <w:pStyle w:val="Normal"/>
        <w:spacing w:lineRule="auto" w:line="276" w:before="120" w:after="120"/>
        <w:jc w:val="both"/>
        <w:rPr>
          <w:rFonts w:ascii="Calibri" w:hAnsi="Calibri" w:eastAsia="Calibri" w:cs="Calibri"/>
          <w:szCs w:val="21"/>
          <w:lang w:val="ro-RO"/>
        </w:rPr>
      </w:pPr>
      <w:r>
        <w:rPr>
          <w:rFonts w:eastAsia="Calibri" w:cs="Calibri"/>
          <w:szCs w:val="21"/>
          <w:lang w:val="ro-RO"/>
        </w:rPr>
        <w:t xml:space="preserve">În trimestrul II 2022, PIB-ul ajustat sezonier a crescut cu 0,8% în zona euro, respectiv cu 0,7% în UE comparativ cu trimestrul anterior. Față de aceeași perioadă a anului anterior, PIB-ul ajustat sezonier s-a majorat cu 4,1% în zona euro, respectiv cu 4,2% în UE. Pentru anul 2021, PIB-ul ajustat sezonier a crescut cu 5,2% în zona euro și cu 5,3% în UE, după ce în anul 2020 s-a înregistrat o scădere de 6,1% în zona euro și de 5,7% în UE. </w:t>
      </w:r>
    </w:p>
    <w:p>
      <w:pPr>
        <w:pStyle w:val="Normal"/>
        <w:spacing w:lineRule="auto" w:line="276" w:before="120" w:after="120"/>
        <w:jc w:val="both"/>
        <w:rPr>
          <w:rFonts w:ascii="Calibri" w:hAnsi="Calibri" w:eastAsia="Calibri" w:cs="Calibri"/>
          <w:szCs w:val="21"/>
          <w:lang w:val="ro-RO"/>
        </w:rPr>
      </w:pPr>
      <w:r>
        <w:rPr>
          <w:rFonts w:eastAsia="Calibri" w:cs="Calibri"/>
          <w:szCs w:val="21"/>
          <w:lang w:val="ro-RO"/>
        </w:rPr>
        <w:t xml:space="preserve">Conform datelor publicate (provizorii) de Institutul Național de Statistică (INS), pe plan local, faţă de acelaşi semestru din anul 2021, produsul intern brut  în semestruI 2022 a crescut cu 5,8% pe seria ajustată sezonier. </w:t>
      </w:r>
      <w:bookmarkStart w:id="10" w:name="_Toc100241889"/>
      <w:bookmarkStart w:id="11" w:name="_Toc97819107"/>
    </w:p>
    <w:p>
      <w:pPr>
        <w:pStyle w:val="Caption1"/>
        <w:tabs>
          <w:tab w:val="clear" w:pos="720"/>
          <w:tab w:val="right" w:pos="8931" w:leader="none"/>
        </w:tabs>
        <w:rPr>
          <w:rFonts w:cs="Calibri" w:cstheme="minorHAnsi"/>
          <w:i w:val="false"/>
          <w:i w:val="false"/>
          <w:color w:val="auto"/>
          <w:szCs w:val="22"/>
          <w:lang w:val="fr-FR"/>
        </w:rPr>
      </w:pPr>
      <w:bookmarkStart w:id="12" w:name="_Toc114571510"/>
      <w:r>
        <w:rPr/>
        <w:t xml:space="preserve">Figura </w:t>
      </w:r>
      <w:r>
        <w:rPr/>
        <w:fldChar w:fldCharType="begin"/>
      </w:r>
      <w:r>
        <w:rPr/>
        <w:instrText> SEQ Figura \* ARABIC </w:instrText>
      </w:r>
      <w:r>
        <w:rPr/>
        <w:fldChar w:fldCharType="separate"/>
      </w:r>
      <w:r>
        <w:rPr/>
        <w:t>1</w:t>
      </w:r>
      <w:r>
        <w:rPr/>
        <w:fldChar w:fldCharType="end"/>
      </w:r>
      <w:r>
        <w:rPr>
          <w:rFonts w:eastAsia="Times New Roman" w:cs="Calibri" w:cstheme="minorHAnsi"/>
          <w:i w:val="false"/>
          <w:szCs w:val="24"/>
        </w:rPr>
        <w:t xml:space="preserve"> </w:t>
      </w:r>
      <w:r>
        <w:rPr/>
        <w:t>Evoluția PIB (%) în perioada  T2 2020 –  T2 202</w:t>
      </w:r>
      <w:bookmarkEnd w:id="10"/>
      <w:bookmarkEnd w:id="11"/>
      <w:r>
        <w:rPr/>
        <w:t xml:space="preserve">2 </w:t>
      </w:r>
      <w:r>
        <w:rPr/>
        <w:drawing>
          <wp:inline distT="0" distB="0" distL="0" distR="0">
            <wp:extent cx="4572000" cy="2743200"/>
            <wp:effectExtent l="0" t="0" r="0" b="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bookmarkEnd w:id="12"/>
    </w:p>
    <w:p>
      <w:pPr>
        <w:pStyle w:val="Normal"/>
        <w:spacing w:before="0" w:after="0"/>
        <w:jc w:val="center"/>
        <w:rPr>
          <w:rFonts w:eastAsia="Times New Roman" w:cs="Calibri" w:cstheme="minorHAnsi"/>
          <w:bCs/>
          <w:i/>
          <w:i/>
          <w:sz w:val="16"/>
          <w:szCs w:val="16"/>
          <w:lang w:val="ro-RO" w:eastAsia="ro-RO"/>
        </w:rPr>
      </w:pPr>
      <w:r>
        <w:rPr>
          <w:rFonts w:eastAsia="Times New Roman" w:cs="Calibri" w:cstheme="minorHAnsi"/>
          <w:bCs/>
          <w:i/>
          <w:sz w:val="16"/>
          <w:szCs w:val="16"/>
          <w:lang w:val="ro-RO" w:eastAsia="ro-RO"/>
        </w:rPr>
        <w:t>Sursa: Prelucrare ASF pe baza datelor Eurostat, serii ajustate sezonier, modificare față de aceeași perioadă a anului anterior</w:t>
      </w:r>
    </w:p>
    <w:p>
      <w:pPr>
        <w:pStyle w:val="Normal"/>
        <w:jc w:val="both"/>
        <w:rPr>
          <w:lang w:val="ro-RO"/>
        </w:rPr>
      </w:pPr>
      <w:r>
        <w:rPr>
          <w:lang w:val="ro-RO"/>
        </w:rPr>
      </w:r>
    </w:p>
    <w:p>
      <w:pPr>
        <w:pStyle w:val="Normal"/>
        <w:spacing w:before="0" w:after="240"/>
        <w:jc w:val="both"/>
        <w:rPr>
          <w:b/>
          <w:b/>
          <w:lang w:val="ro-RO"/>
        </w:rPr>
      </w:pPr>
      <w:r>
        <w:rPr>
          <w:b/>
          <w:lang w:val="ro-RO"/>
        </w:rPr>
      </w:r>
    </w:p>
    <w:p>
      <w:pPr>
        <w:pStyle w:val="Normal"/>
        <w:spacing w:before="0" w:after="240"/>
        <w:jc w:val="both"/>
        <w:rPr>
          <w:b/>
          <w:b/>
          <w:lang w:val="ro-RO"/>
        </w:rPr>
      </w:pPr>
      <w:r>
        <w:rPr>
          <w:b/>
          <w:lang w:val="ro-RO"/>
        </w:rPr>
      </w:r>
    </w:p>
    <w:p>
      <w:pPr>
        <w:pStyle w:val="Normal"/>
        <w:spacing w:before="0" w:after="240"/>
        <w:jc w:val="both"/>
        <w:rPr>
          <w:b/>
          <w:b/>
          <w:lang w:val="ro-RO"/>
        </w:rPr>
      </w:pPr>
      <w:r>
        <w:rPr>
          <w:b/>
          <w:lang w:val="ro-RO"/>
        </w:rPr>
      </w:r>
    </w:p>
    <w:p>
      <w:pPr>
        <w:pStyle w:val="Normal"/>
        <w:spacing w:before="0" w:after="240"/>
        <w:jc w:val="both"/>
        <w:rPr>
          <w:b/>
          <w:b/>
          <w:lang w:val="ro-RO"/>
        </w:rPr>
      </w:pPr>
      <w:r>
        <w:rPr>
          <w:b/>
          <w:lang w:val="ro-RO"/>
        </w:rPr>
        <w:t xml:space="preserve">Datoria guvernamentală </w:t>
      </w:r>
    </w:p>
    <w:p>
      <w:pPr>
        <w:pStyle w:val="Normal"/>
        <w:spacing w:lineRule="auto" w:line="276" w:before="120" w:after="120"/>
        <w:jc w:val="both"/>
        <w:rPr>
          <w:rFonts w:ascii="Calibri" w:hAnsi="Calibri" w:eastAsia="Calibri" w:cs="Times New Roman"/>
          <w:lang w:val="ro-RO"/>
        </w:rPr>
      </w:pPr>
      <w:r>
        <w:rPr>
          <w:rFonts w:eastAsia="Calibri" w:cs="Times New Roman"/>
          <w:lang w:val="ro-RO"/>
        </w:rPr>
        <w:t>Conform datelor publicate de Eurostat, în primul trimestru al anului 2022, deficitul ajustat sezonier raportat la PIB a fost de 2,3% în Zona Euro, în scădere față de trimestrul IV 2021 (3,4%). Pentru România, deficitul ajustat sezonier raportat la PIB a fost de 5,8% în primul trimestru al anului 2022.</w:t>
      </w:r>
    </w:p>
    <w:p>
      <w:pPr>
        <w:pStyle w:val="Normal"/>
        <w:spacing w:lineRule="auto" w:line="276" w:before="120" w:after="120"/>
        <w:jc w:val="both"/>
        <w:rPr>
          <w:rFonts w:ascii="Calibri" w:hAnsi="Calibri" w:eastAsia="Calibri" w:cs="Times New Roman"/>
          <w:lang w:val="ro-RO"/>
        </w:rPr>
      </w:pPr>
      <w:r>
        <w:rPr>
          <w:rFonts w:eastAsia="Calibri" w:cs="Times New Roman"/>
          <w:lang w:val="ro-RO"/>
        </w:rPr>
        <w:t>În ceea ce privește raportul datorie guvernamentală/PIB, la sfârșitul trimestrului I 2022, acesta a scăzut ușor în zona Euro la 95,6%, de la 95,7% cât înregistrase la sfârșitul trimestrului IV 2021. Pentru România, raportul datorie guvernamentală/PIB la sfârșitul trimestrului I 2022 a fost de 48,4%.</w:t>
      </w:r>
    </w:p>
    <w:tbl>
      <w:tblPr>
        <w:tblStyle w:val="TableGrid"/>
        <w:tblW w:w="9498" w:type="dxa"/>
        <w:jc w:val="left"/>
        <w:tblInd w:w="0" w:type="dxa"/>
        <w:tblCellMar>
          <w:top w:w="0" w:type="dxa"/>
          <w:left w:w="108" w:type="dxa"/>
          <w:bottom w:w="0" w:type="dxa"/>
          <w:right w:w="108" w:type="dxa"/>
        </w:tblCellMar>
        <w:tblLook w:firstRow="1" w:noVBand="1" w:lastRow="0" w:firstColumn="1" w:lastColumn="0" w:noHBand="0" w:val="04a0"/>
      </w:tblPr>
      <w:tblGrid>
        <w:gridCol w:w="4765"/>
        <w:gridCol w:w="4732"/>
      </w:tblGrid>
      <w:tr>
        <w:trPr>
          <w:trHeight w:val="422" w:hRule="atLeast"/>
        </w:trPr>
        <w:tc>
          <w:tcPr>
            <w:tcW w:w="9497" w:type="dxa"/>
            <w:gridSpan w:val="2"/>
            <w:tcBorders>
              <w:top w:val="nil"/>
              <w:left w:val="nil"/>
              <w:bottom w:val="nil"/>
              <w:right w:val="nil"/>
              <w:insideH w:val="nil"/>
              <w:insideV w:val="nil"/>
            </w:tcBorders>
            <w:shd w:fill="auto" w:val="clear"/>
          </w:tcPr>
          <w:p>
            <w:pPr>
              <w:pStyle w:val="Normal"/>
              <w:spacing w:lineRule="auto" w:line="240" w:beforeAutospacing="1" w:after="0"/>
              <w:jc w:val="both"/>
              <w:rPr>
                <w:rFonts w:ascii="Calibri" w:hAnsi="Calibri" w:eastAsia="Calibri" w:cs="Times New Roman"/>
              </w:rPr>
            </w:pPr>
            <w:bookmarkStart w:id="13" w:name="_Toc114571511"/>
            <w:bookmarkStart w:id="14" w:name="_Toc84401771"/>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2</w:t>
            </w:r>
            <w:r>
              <w:rPr>
                <w:sz w:val="18"/>
                <w:i/>
                <w:szCs w:val="18"/>
                <w:iCs/>
              </w:rPr>
              <w:fldChar w:fldCharType="end"/>
            </w:r>
            <w:r>
              <w:rPr>
                <w:i/>
                <w:iCs/>
                <w:color w:val="44546A" w:themeColor="text2"/>
                <w:sz w:val="18"/>
                <w:szCs w:val="18"/>
                <w:lang w:val="ro-RO"/>
              </w:rPr>
              <w:t xml:space="preserve"> Evoluția deficitului bugetar (% din PIB) în zona euro (stânga) și în Romania (dreapta), date trimestriale ajustate sezonier și calendaristic</w:t>
            </w:r>
            <w:bookmarkEnd w:id="13"/>
            <w:bookmarkEnd w:id="14"/>
          </w:p>
        </w:tc>
      </w:tr>
      <w:tr>
        <w:trPr>
          <w:trHeight w:val="211" w:hRule="atLeast"/>
        </w:trPr>
        <w:tc>
          <w:tcPr>
            <w:tcW w:w="9497" w:type="dxa"/>
            <w:gridSpan w:val="2"/>
            <w:tcBorders>
              <w:top w:val="nil"/>
              <w:left w:val="nil"/>
              <w:bottom w:val="nil"/>
              <w:right w:val="nil"/>
              <w:insideH w:val="nil"/>
              <w:insideV w:val="nil"/>
            </w:tcBorders>
            <w:shd w:fill="auto" w:val="clear"/>
          </w:tcPr>
          <w:p>
            <w:pPr>
              <w:pStyle w:val="Normal"/>
              <w:spacing w:lineRule="auto" w:line="240" w:beforeAutospacing="1" w:after="0"/>
              <w:jc w:val="both"/>
              <w:rPr>
                <w:rFonts w:ascii="Calibri" w:hAnsi="Calibri" w:eastAsia="Times New Roman" w:cs="Calibri"/>
                <w:i/>
                <w:i/>
                <w:sz w:val="18"/>
                <w:szCs w:val="24"/>
                <w:lang w:val="ro-RO"/>
              </w:rPr>
            </w:pPr>
            <w:r>
              <w:rPr>
                <w:rFonts w:eastAsia="Times New Roman" w:cs="Calibri"/>
                <w:i/>
                <w:sz w:val="18"/>
                <w:szCs w:val="24"/>
                <w:lang w:val="ro-RO"/>
              </w:rPr>
            </w:r>
          </w:p>
        </w:tc>
      </w:tr>
      <w:tr>
        <w:trPr>
          <w:trHeight w:val="3544" w:hRule="atLeast"/>
        </w:trPr>
        <w:tc>
          <w:tcPr>
            <w:tcW w:w="4765" w:type="dxa"/>
            <w:tcBorders>
              <w:top w:val="nil"/>
              <w:left w:val="nil"/>
              <w:bottom w:val="nil"/>
              <w:right w:val="nil"/>
              <w:insideH w:val="nil"/>
              <w:insideV w:val="nil"/>
            </w:tcBorders>
            <w:shd w:fill="auto" w:val="clear"/>
          </w:tcPr>
          <w:p>
            <w:pPr>
              <w:pStyle w:val="Normal"/>
              <w:spacing w:lineRule="auto" w:line="240" w:before="0" w:after="0"/>
              <w:jc w:val="both"/>
              <w:rPr>
                <w:rFonts w:ascii="Calibri" w:hAnsi="Calibri" w:eastAsia="Calibri" w:cs="Times New Roman"/>
                <w:lang w:val="ro-RO"/>
              </w:rPr>
            </w:pPr>
            <w:r>
              <w:rPr/>
              <w:drawing>
                <wp:inline distT="0" distB="0" distL="0" distR="0">
                  <wp:extent cx="2888615" cy="2238375"/>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tc>
        <w:tc>
          <w:tcPr>
            <w:tcW w:w="4732" w:type="dxa"/>
            <w:tcBorders>
              <w:top w:val="nil"/>
              <w:left w:val="nil"/>
              <w:bottom w:val="nil"/>
              <w:right w:val="nil"/>
              <w:insideH w:val="nil"/>
              <w:insideV w:val="nil"/>
            </w:tcBorders>
            <w:shd w:fill="auto" w:val="clear"/>
          </w:tcPr>
          <w:p>
            <w:pPr>
              <w:pStyle w:val="Normal"/>
              <w:spacing w:lineRule="auto" w:line="240" w:before="0" w:after="0"/>
              <w:jc w:val="both"/>
              <w:rPr>
                <w:rFonts w:ascii="Calibri" w:hAnsi="Calibri" w:eastAsia="Calibri" w:cs="Times New Roman"/>
                <w:sz w:val="16"/>
                <w:szCs w:val="16"/>
                <w:lang w:val="ro-RO"/>
              </w:rPr>
            </w:pPr>
            <w:r>
              <w:rPr/>
              <w:drawing>
                <wp:inline distT="0" distB="0" distL="0" distR="0">
                  <wp:extent cx="2868295" cy="220408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tc>
      </w:tr>
      <w:tr>
        <w:trPr>
          <w:trHeight w:val="211" w:hRule="atLeast"/>
        </w:trPr>
        <w:tc>
          <w:tcPr>
            <w:tcW w:w="9497" w:type="dxa"/>
            <w:gridSpan w:val="2"/>
            <w:tcBorders>
              <w:top w:val="nil"/>
              <w:left w:val="nil"/>
              <w:bottom w:val="nil"/>
              <w:right w:val="nil"/>
              <w:insideH w:val="nil"/>
              <w:insideV w:val="nil"/>
            </w:tcBorders>
            <w:shd w:fill="auto" w:val="clear"/>
          </w:tcPr>
          <w:p>
            <w:pPr>
              <w:pStyle w:val="Normal"/>
              <w:spacing w:lineRule="auto" w:line="240" w:before="0" w:after="0"/>
              <w:jc w:val="center"/>
              <w:rPr>
                <w:rFonts w:ascii="Calibri" w:hAnsi="Calibri" w:eastAsia="Times New Roman" w:cs="Calibri"/>
                <w:i/>
                <w:i/>
                <w:sz w:val="16"/>
                <w:szCs w:val="16"/>
                <w:lang w:val="ro-RO"/>
              </w:rPr>
            </w:pPr>
            <w:r>
              <w:rPr>
                <w:rFonts w:eastAsia="Times New Roman" w:cs="Calibri"/>
                <w:i/>
                <w:sz w:val="16"/>
                <w:szCs w:val="16"/>
                <w:lang w:val="ro-RO"/>
              </w:rPr>
              <w:t xml:space="preserve">Sursa: </w:t>
            </w:r>
            <w:r>
              <w:rPr>
                <w:rFonts w:eastAsia="Calibri" w:cs="Calibri"/>
                <w:i/>
                <w:sz w:val="16"/>
                <w:szCs w:val="16"/>
                <w:lang w:val="ro-RO"/>
              </w:rPr>
              <w:t>Prelucrare ASF pe baza datelor</w:t>
            </w:r>
            <w:r>
              <w:rPr>
                <w:rFonts w:eastAsia="Times New Roman" w:cs="Calibri"/>
                <w:i/>
                <w:sz w:val="16"/>
                <w:szCs w:val="16"/>
                <w:lang w:val="ro-RO"/>
              </w:rPr>
              <w:t xml:space="preserve"> Eurostat</w:t>
            </w:r>
          </w:p>
        </w:tc>
      </w:tr>
    </w:tbl>
    <w:p>
      <w:pPr>
        <w:pStyle w:val="Normal"/>
        <w:jc w:val="both"/>
        <w:rPr>
          <w:rFonts w:ascii="Calibri" w:hAnsi="Calibri" w:eastAsia="Calibri" w:cs="Times New Roman"/>
          <w:lang w:val="ro-RO"/>
        </w:rPr>
      </w:pPr>
      <w:r>
        <w:rPr>
          <w:rFonts w:eastAsia="Calibri" w:cs="Times New Roman"/>
          <w:lang w:val="ro-RO"/>
        </w:rPr>
      </w:r>
    </w:p>
    <w:tbl>
      <w:tblPr>
        <w:tblStyle w:val="TableGrid"/>
        <w:tblW w:w="9582" w:type="dxa"/>
        <w:jc w:val="left"/>
        <w:tblInd w:w="0" w:type="dxa"/>
        <w:tblCellMar>
          <w:top w:w="0" w:type="dxa"/>
          <w:left w:w="108" w:type="dxa"/>
          <w:bottom w:w="0" w:type="dxa"/>
          <w:right w:w="108" w:type="dxa"/>
        </w:tblCellMar>
        <w:tblLook w:firstRow="1" w:noVBand="1" w:lastRow="0" w:firstColumn="1" w:lastColumn="0" w:noHBand="0" w:val="04a0"/>
      </w:tblPr>
      <w:tblGrid>
        <w:gridCol w:w="5287"/>
        <w:gridCol w:w="4294"/>
      </w:tblGrid>
      <w:tr>
        <w:trPr>
          <w:trHeight w:val="221" w:hRule="atLeast"/>
        </w:trPr>
        <w:tc>
          <w:tcPr>
            <w:tcW w:w="9581" w:type="dxa"/>
            <w:gridSpan w:val="2"/>
            <w:tcBorders>
              <w:top w:val="nil"/>
              <w:left w:val="nil"/>
              <w:bottom w:val="nil"/>
              <w:right w:val="nil"/>
              <w:insideH w:val="nil"/>
              <w:insideV w:val="nil"/>
            </w:tcBorders>
            <w:shd w:fill="auto" w:val="clear"/>
          </w:tcPr>
          <w:p>
            <w:pPr>
              <w:pStyle w:val="Normal"/>
              <w:spacing w:lineRule="auto" w:line="240" w:beforeAutospacing="1" w:after="0"/>
              <w:jc w:val="both"/>
              <w:rPr>
                <w:rFonts w:ascii="Calibri" w:hAnsi="Calibri" w:eastAsia="Calibri" w:cs="Times New Roman"/>
              </w:rPr>
            </w:pPr>
            <w:bookmarkStart w:id="15" w:name="_Toc114571512"/>
            <w:bookmarkStart w:id="16" w:name="_Toc84401772"/>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3</w:t>
            </w:r>
            <w:r>
              <w:rPr>
                <w:sz w:val="18"/>
                <w:i/>
                <w:szCs w:val="18"/>
                <w:iCs/>
              </w:rPr>
              <w:fldChar w:fldCharType="end"/>
            </w:r>
            <w:r>
              <w:rPr>
                <w:i/>
                <w:iCs/>
                <w:color w:val="44546A" w:themeColor="text2"/>
                <w:sz w:val="18"/>
                <w:szCs w:val="18"/>
                <w:lang w:val="ro-RO"/>
              </w:rPr>
              <w:t xml:space="preserve"> Stocul datoriei guvernamentale (% din PIB) în zona euro (stânga) și în România (dreapta)</w:t>
            </w:r>
            <w:bookmarkEnd w:id="15"/>
            <w:bookmarkEnd w:id="16"/>
          </w:p>
        </w:tc>
      </w:tr>
      <w:tr>
        <w:trPr>
          <w:trHeight w:val="221" w:hRule="atLeast"/>
        </w:trPr>
        <w:tc>
          <w:tcPr>
            <w:tcW w:w="9581" w:type="dxa"/>
            <w:gridSpan w:val="2"/>
            <w:tcBorders>
              <w:top w:val="nil"/>
              <w:left w:val="nil"/>
              <w:bottom w:val="nil"/>
              <w:right w:val="nil"/>
              <w:insideH w:val="nil"/>
              <w:insideV w:val="nil"/>
            </w:tcBorders>
            <w:shd w:fill="auto" w:val="clear"/>
          </w:tcPr>
          <w:p>
            <w:pPr>
              <w:pStyle w:val="Normal"/>
              <w:spacing w:lineRule="auto" w:line="240" w:beforeAutospacing="1" w:after="0"/>
              <w:jc w:val="both"/>
              <w:rPr>
                <w:rFonts w:ascii="Calibri" w:hAnsi="Calibri" w:eastAsia="Times New Roman" w:cs="Calibri"/>
                <w:i/>
                <w:i/>
                <w:sz w:val="18"/>
                <w:szCs w:val="24"/>
                <w:lang w:val="ro-RO"/>
              </w:rPr>
            </w:pPr>
            <w:r>
              <w:rPr>
                <w:rFonts w:eastAsia="Times New Roman" w:cs="Calibri"/>
                <w:i/>
                <w:sz w:val="18"/>
                <w:szCs w:val="24"/>
                <w:lang w:val="ro-RO"/>
              </w:rPr>
            </w:r>
          </w:p>
        </w:tc>
      </w:tr>
      <w:tr>
        <w:trPr>
          <w:trHeight w:val="4373" w:hRule="atLeast"/>
        </w:trPr>
        <w:tc>
          <w:tcPr>
            <w:tcW w:w="5287" w:type="dxa"/>
            <w:tcBorders>
              <w:top w:val="nil"/>
              <w:left w:val="nil"/>
              <w:bottom w:val="nil"/>
              <w:right w:val="nil"/>
              <w:insideH w:val="nil"/>
              <w:insideV w:val="nil"/>
            </w:tcBorders>
            <w:shd w:fill="auto" w:val="clear"/>
          </w:tcPr>
          <w:p>
            <w:pPr>
              <w:pStyle w:val="Normal"/>
              <w:spacing w:lineRule="auto" w:line="240" w:before="0" w:after="0"/>
              <w:jc w:val="both"/>
              <w:rPr>
                <w:rFonts w:ascii="Calibri" w:hAnsi="Calibri" w:eastAsia="Calibri" w:cs="Times New Roman"/>
                <w:lang w:val="ro-RO"/>
              </w:rPr>
            </w:pPr>
            <w:r>
              <w:rPr/>
              <w:drawing>
                <wp:inline distT="0" distB="0" distL="0" distR="0">
                  <wp:extent cx="3166110" cy="274320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4294" w:type="dxa"/>
            <w:tcBorders>
              <w:top w:val="nil"/>
              <w:left w:val="nil"/>
              <w:bottom w:val="nil"/>
              <w:right w:val="nil"/>
              <w:insideH w:val="nil"/>
              <w:insideV w:val="nil"/>
            </w:tcBorders>
            <w:shd w:fill="auto" w:val="clear"/>
          </w:tcPr>
          <w:p>
            <w:pPr>
              <w:pStyle w:val="Normal"/>
              <w:spacing w:lineRule="auto" w:line="240" w:before="0" w:after="0"/>
              <w:jc w:val="right"/>
              <w:rPr>
                <w:rFonts w:ascii="Calibri" w:hAnsi="Calibri" w:eastAsia="Calibri" w:cs="Times New Roman"/>
                <w:sz w:val="16"/>
                <w:szCs w:val="16"/>
                <w:lang w:val="ro-RO"/>
              </w:rPr>
            </w:pPr>
            <w:r>
              <w:rPr/>
              <w:drawing>
                <wp:inline distT="0" distB="0" distL="0" distR="0">
                  <wp:extent cx="2486025" cy="274320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r>
        <w:trPr>
          <w:trHeight w:val="221" w:hRule="atLeast"/>
        </w:trPr>
        <w:tc>
          <w:tcPr>
            <w:tcW w:w="9581" w:type="dxa"/>
            <w:gridSpan w:val="2"/>
            <w:tcBorders>
              <w:top w:val="nil"/>
              <w:left w:val="nil"/>
              <w:bottom w:val="nil"/>
              <w:right w:val="nil"/>
              <w:insideH w:val="nil"/>
              <w:insideV w:val="nil"/>
            </w:tcBorders>
            <w:shd w:fill="auto" w:val="clear"/>
          </w:tcPr>
          <w:p>
            <w:pPr>
              <w:pStyle w:val="Normal"/>
              <w:spacing w:lineRule="auto" w:line="240" w:before="0" w:after="0"/>
              <w:jc w:val="center"/>
              <w:rPr>
                <w:rFonts w:ascii="Calibri" w:hAnsi="Calibri" w:eastAsia="Times New Roman" w:cs="Calibri"/>
                <w:i/>
                <w:i/>
                <w:sz w:val="18"/>
                <w:lang w:val="ro-RO"/>
              </w:rPr>
            </w:pPr>
            <w:r>
              <w:rPr>
                <w:rFonts w:eastAsia="Times New Roman" w:cs="Calibri"/>
                <w:i/>
                <w:sz w:val="16"/>
                <w:szCs w:val="16"/>
                <w:lang w:val="ro-RO"/>
              </w:rPr>
              <w:t xml:space="preserve">Sursa: </w:t>
            </w:r>
            <w:r>
              <w:rPr>
                <w:rFonts w:eastAsia="Calibri" w:cs="Calibri"/>
                <w:i/>
                <w:sz w:val="16"/>
                <w:szCs w:val="16"/>
                <w:lang w:val="ro-RO"/>
              </w:rPr>
              <w:t>Prelucrare ASF pe baza datelor</w:t>
            </w:r>
            <w:r>
              <w:rPr>
                <w:rFonts w:eastAsia="Times New Roman" w:cs="Calibri"/>
                <w:i/>
                <w:sz w:val="18"/>
                <w:lang w:val="ro-RO"/>
              </w:rPr>
              <w:t xml:space="preserve"> Eurostat</w:t>
            </w:r>
          </w:p>
        </w:tc>
      </w:tr>
    </w:tbl>
    <w:p>
      <w:pPr>
        <w:pStyle w:val="Normal"/>
        <w:jc w:val="both"/>
        <w:rPr>
          <w:rFonts w:ascii="Calibri" w:hAnsi="Calibri" w:eastAsia="Calibri" w:cs="Times New Roman"/>
          <w:b/>
          <w:b/>
          <w:lang w:val="ro-RO"/>
        </w:rPr>
      </w:pPr>
      <w:r>
        <w:rPr>
          <w:rFonts w:eastAsia="Calibri" w:cs="Times New Roman"/>
          <w:b/>
          <w:lang w:val="ro-RO"/>
        </w:rPr>
      </w:r>
    </w:p>
    <w:p>
      <w:pPr>
        <w:pStyle w:val="Normal"/>
        <w:tabs>
          <w:tab w:val="clear" w:pos="720"/>
          <w:tab w:val="left" w:pos="142" w:leader="none"/>
        </w:tabs>
        <w:jc w:val="both"/>
        <w:rPr>
          <w:rFonts w:ascii="Calibri" w:hAnsi="Calibri" w:eastAsia="Calibri" w:cs="Calibri"/>
          <w:b/>
          <w:b/>
          <w:lang w:val="ro-RO"/>
        </w:rPr>
      </w:pPr>
      <w:r>
        <w:rPr>
          <w:rFonts w:eastAsia="Calibri" w:cs="Calibri"/>
          <w:b/>
          <w:lang w:val="ro-RO"/>
        </w:rPr>
        <w:t>Deficitul de cont curent al României și finanțarea acestuia</w:t>
      </w:r>
    </w:p>
    <w:p>
      <w:pPr>
        <w:pStyle w:val="Normal"/>
        <w:spacing w:lineRule="auto" w:line="276" w:before="120" w:after="120"/>
        <w:jc w:val="both"/>
        <w:rPr>
          <w:rFonts w:ascii="Calibri" w:hAnsi="Calibri" w:eastAsia="Calibri" w:cs="Times New Roman"/>
        </w:rPr>
      </w:pPr>
      <w:r>
        <w:rPr>
          <w:rFonts w:eastAsia="Calibri" w:cs="Times New Roman"/>
          <w:lang w:val="ro-RO"/>
        </w:rPr>
        <w:t>În primul semestru al anului 2022, deficitul de cont curent a ajuns la valoarea de 12,3 miliarde EUR, cu aproximativ 71% mai mult decât valoarea din semestrul I al anului 2021 (7,2 miliarde EUR) și cu 206% mai mult decât în semestrul I 2020 (4 miliarde EUR). În trimestul II 2022 se remarcă o creștere substanțială a deficitului de cont curent la aproximativ 7 miliarde EUR, cea mai mare valoare trimestrială înregistrată din perioada analizată (2005 – 2022). De asemenea, deficitul de cont curent în trimestrul I 2022 a fost ridicat în comparație cu alte trimestre, situându-se la aproximativ 5,3 miliarde EUR.</w:t>
      </w:r>
      <w:r>
        <mc:AlternateContent>
          <mc:Choice Requires="wps">
            <w:drawing>
              <wp:anchor behindDoc="0" distT="0" distB="0" distL="114300" distR="114300" simplePos="0" locked="0" layoutInCell="1" allowOverlap="1" relativeHeight="3">
                <wp:simplePos x="0" y="0"/>
                <wp:positionH relativeFrom="column">
                  <wp:posOffset>-68580</wp:posOffset>
                </wp:positionH>
                <wp:positionV relativeFrom="paragraph">
                  <wp:posOffset>635</wp:posOffset>
                </wp:positionV>
                <wp:extent cx="3136900" cy="2625090"/>
                <wp:effectExtent l="0" t="0" r="0" b="0"/>
                <wp:wrapSquare wrapText="bothSides"/>
                <wp:docPr id="6" name="Frame1"/>
                <a:graphic xmlns:a="http://schemas.openxmlformats.org/drawingml/2006/main">
                  <a:graphicData uri="http://schemas.microsoft.com/office/word/2010/wordprocessingShape">
                    <wps:wsp>
                      <wps:cNvSpPr txBox="1"/>
                      <wps:spPr>
                        <a:xfrm>
                          <a:off x="0" y="0"/>
                          <a:ext cx="3136900" cy="2625090"/>
                        </a:xfrm>
                        <a:prstGeom prst="rect"/>
                      </wps:spPr>
                      <wps:txbx>
                        <w:txbxContent>
                          <w:tbl>
                            <w:tblPr>
                              <w:tblpPr w:bottomFromText="0" w:horzAnchor="text" w:leftFromText="180" w:rightFromText="180" w:tblpX="0" w:tblpY="1" w:topFromText="0" w:vertAnchor="text"/>
                              <w:tblW w:w="4940" w:type="dxa"/>
                              <w:jc w:val="left"/>
                              <w:tblInd w:w="0" w:type="dxa"/>
                              <w:tblBorders/>
                              <w:tblCellMar>
                                <w:top w:w="0" w:type="dxa"/>
                                <w:left w:w="108" w:type="dxa"/>
                                <w:bottom w:w="0" w:type="dxa"/>
                                <w:right w:w="108" w:type="dxa"/>
                              </w:tblCellMar>
                              <w:tblLook w:firstRow="1" w:noVBand="1" w:lastRow="0" w:firstColumn="1" w:lastColumn="0" w:noHBand="0" w:val="04a0"/>
                            </w:tblPr>
                            <w:tblGrid>
                              <w:gridCol w:w="4940"/>
                            </w:tblGrid>
                            <w:tr>
                              <w:trPr/>
                              <w:tc>
                                <w:tcPr>
                                  <w:tcW w:w="4940" w:type="dxa"/>
                                  <w:tcBorders/>
                                  <w:shd w:fill="auto" w:val="clear"/>
                                </w:tcPr>
                                <w:p>
                                  <w:pPr>
                                    <w:pStyle w:val="Normal"/>
                                    <w:spacing w:beforeAutospacing="1" w:after="120"/>
                                    <w:jc w:val="both"/>
                                    <w:rPr/>
                                  </w:pPr>
                                  <w:bookmarkStart w:id="17" w:name="_Toc1145715131"/>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4</w:t>
                                  </w:r>
                                  <w:r>
                                    <w:rPr>
                                      <w:sz w:val="18"/>
                                      <w:i/>
                                      <w:szCs w:val="18"/>
                                      <w:iCs/>
                                    </w:rPr>
                                    <w:fldChar w:fldCharType="end"/>
                                  </w:r>
                                  <w:r>
                                    <w:rPr>
                                      <w:i/>
                                      <w:iCs/>
                                      <w:color w:val="44546A" w:themeColor="text2"/>
                                      <w:sz w:val="18"/>
                                      <w:szCs w:val="18"/>
                                      <w:lang w:val="ro-RO"/>
                                    </w:rPr>
                                    <w:t xml:space="preserve"> Evoluția contului curent, miliarde EUR</w:t>
                                  </w:r>
                                  <w:bookmarkEnd w:id="17"/>
                                </w:p>
                              </w:tc>
                            </w:tr>
                            <w:tr>
                              <w:trPr/>
                              <w:tc>
                                <w:tcPr>
                                  <w:tcW w:w="4940" w:type="dxa"/>
                                  <w:tcBorders/>
                                  <w:shd w:fill="auto" w:val="clear"/>
                                  <w:vAlign w:val="center"/>
                                </w:tcPr>
                                <w:p>
                                  <w:pPr>
                                    <w:pStyle w:val="Normal"/>
                                    <w:spacing w:before="0" w:after="0"/>
                                    <w:jc w:val="both"/>
                                    <w:rPr/>
                                  </w:pPr>
                                  <w:r>
                                    <w:rPr/>
                                    <w:drawing>
                                      <wp:inline distT="0" distB="0" distL="0" distR="0">
                                        <wp:extent cx="2999740" cy="2091690"/>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trPr/>
                              <w:tc>
                                <w:tcPr>
                                  <w:tcW w:w="4940" w:type="dxa"/>
                                  <w:tcBorders/>
                                  <w:shd w:fill="auto" w:val="clear"/>
                                </w:tcPr>
                                <w:p>
                                  <w:pPr>
                                    <w:pStyle w:val="Normal"/>
                                    <w:spacing w:before="0" w:after="0"/>
                                    <w:jc w:val="center"/>
                                    <w:rPr/>
                                  </w:pPr>
                                  <w:r>
                                    <w:rPr>
                                      <w:rFonts w:eastAsia="Times New Roman" w:cs="Calibri"/>
                                      <w:i/>
                                      <w:sz w:val="18"/>
                                      <w:lang w:val="ro-RO"/>
                                    </w:rPr>
                                    <w:t>Sursa:</w:t>
                                  </w:r>
                                  <w:r>
                                    <w:rPr>
                                      <w:rFonts w:eastAsia="Calibri" w:cs="Calibri"/>
                                      <w:i/>
                                      <w:sz w:val="16"/>
                                      <w:szCs w:val="16"/>
                                      <w:lang w:val="ro-RO"/>
                                    </w:rPr>
                                    <w:t xml:space="preserve"> Prelucrare ASF pe baza datelor BNR</w:t>
                                  </w:r>
                                </w:p>
                              </w:tc>
                            </w:tr>
                          </w:tbl>
                        </w:txbxContent>
                      </wps:txbx>
                      <wps:bodyPr anchor="t" lIns="0" tIns="0" rIns="0" bIns="0">
                        <a:spAutoFit/>
                      </wps:bodyPr>
                    </wps:wsp>
                  </a:graphicData>
                </a:graphic>
              </wp:anchor>
            </w:drawing>
          </mc:Choice>
          <mc:Fallback>
            <w:pict>
              <v:rect style="position:absolute;rotation:0;width:247pt;height:206.7pt;mso-wrap-distance-left:9pt;mso-wrap-distance-right:9pt;mso-wrap-distance-top:0pt;mso-wrap-distance-bottom:0pt;margin-top:0.05pt;mso-position-vertical-relative:text;margin-left:-5.4pt;mso-position-horizontal-relative:text">
                <v:textbox inset="0in,0in,0in,0in">
                  <w:txbxContent>
                    <w:tbl>
                      <w:tblPr>
                        <w:tblpPr w:bottomFromText="0" w:horzAnchor="text" w:leftFromText="180" w:rightFromText="180" w:tblpX="0" w:tblpY="1" w:topFromText="0" w:vertAnchor="text"/>
                        <w:tblW w:w="4940" w:type="dxa"/>
                        <w:jc w:val="left"/>
                        <w:tblInd w:w="0" w:type="dxa"/>
                        <w:tblBorders/>
                        <w:tblCellMar>
                          <w:top w:w="0" w:type="dxa"/>
                          <w:left w:w="108" w:type="dxa"/>
                          <w:bottom w:w="0" w:type="dxa"/>
                          <w:right w:w="108" w:type="dxa"/>
                        </w:tblCellMar>
                        <w:tblLook w:firstRow="1" w:noVBand="1" w:lastRow="0" w:firstColumn="1" w:lastColumn="0" w:noHBand="0" w:val="04a0"/>
                      </w:tblPr>
                      <w:tblGrid>
                        <w:gridCol w:w="4940"/>
                      </w:tblGrid>
                      <w:tr>
                        <w:trPr/>
                        <w:tc>
                          <w:tcPr>
                            <w:tcW w:w="4940" w:type="dxa"/>
                            <w:tcBorders/>
                            <w:shd w:fill="auto" w:val="clear"/>
                          </w:tcPr>
                          <w:p>
                            <w:pPr>
                              <w:pStyle w:val="Normal"/>
                              <w:spacing w:beforeAutospacing="1" w:after="120"/>
                              <w:jc w:val="both"/>
                              <w:rPr/>
                            </w:pPr>
                            <w:bookmarkStart w:id="18" w:name="_Toc1145715131"/>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4</w:t>
                            </w:r>
                            <w:r>
                              <w:rPr>
                                <w:sz w:val="18"/>
                                <w:i/>
                                <w:szCs w:val="18"/>
                                <w:iCs/>
                              </w:rPr>
                              <w:fldChar w:fldCharType="end"/>
                            </w:r>
                            <w:r>
                              <w:rPr>
                                <w:i/>
                                <w:iCs/>
                                <w:color w:val="44546A" w:themeColor="text2"/>
                                <w:sz w:val="18"/>
                                <w:szCs w:val="18"/>
                                <w:lang w:val="ro-RO"/>
                              </w:rPr>
                              <w:t xml:space="preserve"> Evoluția contului curent, miliarde EUR</w:t>
                            </w:r>
                            <w:bookmarkEnd w:id="18"/>
                          </w:p>
                        </w:tc>
                      </w:tr>
                      <w:tr>
                        <w:trPr/>
                        <w:tc>
                          <w:tcPr>
                            <w:tcW w:w="4940" w:type="dxa"/>
                            <w:tcBorders/>
                            <w:shd w:fill="auto" w:val="clear"/>
                            <w:vAlign w:val="center"/>
                          </w:tcPr>
                          <w:p>
                            <w:pPr>
                              <w:pStyle w:val="Normal"/>
                              <w:spacing w:before="0" w:after="0"/>
                              <w:jc w:val="both"/>
                              <w:rPr/>
                            </w:pPr>
                            <w:r>
                              <w:rPr/>
                              <w:drawing>
                                <wp:inline distT="0" distB="0" distL="0" distR="0">
                                  <wp:extent cx="2999740" cy="2091690"/>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trPr/>
                        <w:tc>
                          <w:tcPr>
                            <w:tcW w:w="4940" w:type="dxa"/>
                            <w:tcBorders/>
                            <w:shd w:fill="auto" w:val="clear"/>
                          </w:tcPr>
                          <w:p>
                            <w:pPr>
                              <w:pStyle w:val="Normal"/>
                              <w:spacing w:before="0" w:after="0"/>
                              <w:jc w:val="center"/>
                              <w:rPr/>
                            </w:pPr>
                            <w:r>
                              <w:rPr>
                                <w:rFonts w:eastAsia="Times New Roman" w:cs="Calibri"/>
                                <w:i/>
                                <w:sz w:val="18"/>
                                <w:lang w:val="ro-RO"/>
                              </w:rPr>
                              <w:t>Sursa:</w:t>
                            </w:r>
                            <w:r>
                              <w:rPr>
                                <w:rFonts w:eastAsia="Calibri" w:cs="Calibri"/>
                                <w:i/>
                                <w:sz w:val="16"/>
                                <w:szCs w:val="16"/>
                                <w:lang w:val="ro-RO"/>
                              </w:rPr>
                              <w:t xml:space="preserve"> Prelucrare ASF pe baza datelor BNR</w:t>
                            </w:r>
                          </w:p>
                        </w:tc>
                      </w:tr>
                    </w:tbl>
                  </w:txbxContent>
                </v:textbox>
                <w10:wrap type="square"/>
              </v:rect>
            </w:pict>
          </mc:Fallback>
        </mc:AlternateContent>
      </w:r>
    </w:p>
    <w:p>
      <w:pPr>
        <w:pStyle w:val="Normal"/>
        <w:spacing w:before="0" w:after="240"/>
        <w:jc w:val="both"/>
        <w:rPr>
          <w:b/>
          <w:b/>
          <w:lang w:val="ro-RO"/>
        </w:rPr>
      </w:pPr>
      <w:r>
        <w:rPr>
          <w:b/>
          <w:lang w:val="ro-RO"/>
        </w:rPr>
      </w:r>
    </w:p>
    <w:p>
      <w:pPr>
        <w:pStyle w:val="Normal"/>
        <w:jc w:val="both"/>
        <w:rPr>
          <w:b/>
          <w:b/>
          <w:lang w:val="ro-RO"/>
        </w:rPr>
      </w:pPr>
      <w:r>
        <w:rPr>
          <w:b/>
          <w:lang w:val="ro-RO"/>
        </w:rPr>
        <w:t xml:space="preserve">Inflația </w:t>
      </w:r>
    </w:p>
    <w:p>
      <w:pPr>
        <w:pStyle w:val="Normal"/>
        <w:jc w:val="both"/>
        <w:rPr>
          <w:rFonts w:ascii="Calibri" w:hAnsi="Calibri" w:eastAsia="Calibri" w:cs="Times New Roman"/>
          <w:lang w:val="ro-RO"/>
        </w:rPr>
      </w:pPr>
      <w:r>
        <w:rPr>
          <w:rFonts w:eastAsia="Calibri" w:cs="Times New Roman"/>
          <w:lang w:val="ro-RO"/>
        </w:rPr>
        <w:t xml:space="preserve">În Zona Euro, conform datelor semnal publicate de Eurostat, rata inflației (măsurată prin IAPC – Indicele Armonizat al Prețurilor de Consum) a fost estimată la 9,1% în luna august 2022. </w:t>
      </w:r>
    </w:p>
    <w:p>
      <w:pPr>
        <w:pStyle w:val="Normal"/>
        <w:spacing w:before="120" w:after="120"/>
        <w:jc w:val="both"/>
        <w:rPr>
          <w:lang w:val="ro-RO"/>
        </w:rPr>
      </w:pPr>
      <w:r>
        <w:rPr>
          <w:lang w:val="ro-RO"/>
        </w:rPr>
        <w:t xml:space="preserve">Concomitent cu creșterea inflației, se remarcă o creștere a randamentelor obligațiunilor pe termen lung cu debut la începutul anului 2022 . </w:t>
      </w:r>
    </w:p>
    <w:tbl>
      <w:tblPr>
        <w:tblStyle w:val="TableGrid"/>
        <w:tblW w:w="9360" w:type="dxa"/>
        <w:jc w:val="left"/>
        <w:tblInd w:w="0" w:type="dxa"/>
        <w:tblCellMar>
          <w:top w:w="0" w:type="dxa"/>
          <w:left w:w="108" w:type="dxa"/>
          <w:bottom w:w="0" w:type="dxa"/>
          <w:right w:w="108" w:type="dxa"/>
        </w:tblCellMar>
        <w:tblLook w:firstRow="1" w:noVBand="1" w:lastRow="0" w:firstColumn="1" w:lastColumn="0" w:noHBand="0" w:val="04a0"/>
      </w:tblPr>
      <w:tblGrid>
        <w:gridCol w:w="5242"/>
        <w:gridCol w:w="4117"/>
      </w:tblGrid>
      <w:tr>
        <w:trPr/>
        <w:tc>
          <w:tcPr>
            <w:tcW w:w="5242" w:type="dxa"/>
            <w:tcBorders>
              <w:top w:val="nil"/>
              <w:left w:val="nil"/>
              <w:bottom w:val="nil"/>
              <w:right w:val="nil"/>
              <w:insideH w:val="nil"/>
              <w:insideV w:val="nil"/>
            </w:tcBorders>
            <w:shd w:fill="auto" w:val="clear"/>
          </w:tcPr>
          <w:p>
            <w:pPr>
              <w:pStyle w:val="Normal"/>
              <w:spacing w:lineRule="auto" w:line="240" w:beforeAutospacing="1" w:after="0"/>
              <w:jc w:val="both"/>
              <w:rPr>
                <w:sz w:val="16"/>
                <w:szCs w:val="16"/>
              </w:rPr>
            </w:pPr>
            <w:bookmarkStart w:id="19" w:name="_Toc114571514"/>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5</w:t>
            </w:r>
            <w:r>
              <w:rPr>
                <w:sz w:val="18"/>
                <w:i/>
                <w:szCs w:val="18"/>
                <w:iCs/>
              </w:rPr>
              <w:fldChar w:fldCharType="end"/>
            </w:r>
            <w:r>
              <w:rPr>
                <w:i/>
                <w:iCs/>
                <w:color w:val="44546A" w:themeColor="text2"/>
                <w:sz w:val="18"/>
                <w:szCs w:val="18"/>
                <w:lang w:val="ro-RO"/>
              </w:rPr>
              <w:t xml:space="preserve"> Randamentele obligațiunilor guvernamentale din Zona Euro</w:t>
            </w:r>
            <w:bookmarkEnd w:id="19"/>
          </w:p>
        </w:tc>
        <w:tc>
          <w:tcPr>
            <w:tcW w:w="4117" w:type="dxa"/>
            <w:tcBorders>
              <w:top w:val="nil"/>
              <w:left w:val="nil"/>
              <w:bottom w:val="nil"/>
              <w:right w:val="nil"/>
              <w:insideH w:val="nil"/>
              <w:insideV w:val="nil"/>
            </w:tcBorders>
            <w:shd w:fill="auto" w:val="clear"/>
          </w:tcPr>
          <w:p>
            <w:pPr>
              <w:pStyle w:val="Normal"/>
              <w:spacing w:lineRule="auto" w:line="240" w:beforeAutospacing="1" w:after="0"/>
              <w:jc w:val="both"/>
              <w:rPr>
                <w:sz w:val="16"/>
                <w:szCs w:val="16"/>
              </w:rPr>
            </w:pPr>
            <w:bookmarkStart w:id="20" w:name="_Toc114571515"/>
            <w:bookmarkStart w:id="21" w:name="_Toc76976829"/>
            <w:bookmarkStart w:id="22" w:name="_Toc75441634"/>
            <w:bookmarkStart w:id="23" w:name="_Toc74756772"/>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6</w:t>
            </w:r>
            <w:r>
              <w:rPr>
                <w:sz w:val="18"/>
                <w:i/>
                <w:szCs w:val="18"/>
                <w:iCs/>
              </w:rPr>
              <w:fldChar w:fldCharType="end"/>
            </w:r>
            <w:r>
              <w:rPr>
                <w:i/>
                <w:iCs/>
                <w:color w:val="44546A" w:themeColor="text2"/>
                <w:sz w:val="18"/>
                <w:szCs w:val="18"/>
                <w:lang w:val="ro-RO"/>
              </w:rPr>
              <w:t xml:space="preserve"> Randamentele obligațiunilor guvernamentale din </w:t>
            </w:r>
            <w:bookmarkEnd w:id="21"/>
            <w:bookmarkEnd w:id="22"/>
            <w:bookmarkEnd w:id="23"/>
            <w:r>
              <w:rPr>
                <w:i/>
                <w:iCs/>
                <w:color w:val="44546A" w:themeColor="text2"/>
                <w:sz w:val="18"/>
                <w:szCs w:val="18"/>
                <w:lang w:val="ro-RO"/>
              </w:rPr>
              <w:t>România</w:t>
            </w:r>
            <w:bookmarkEnd w:id="20"/>
          </w:p>
        </w:tc>
      </w:tr>
      <w:tr>
        <w:trPr/>
        <w:tc>
          <w:tcPr>
            <w:tcW w:w="5242" w:type="dxa"/>
            <w:tcBorders>
              <w:top w:val="nil"/>
              <w:left w:val="nil"/>
              <w:bottom w:val="nil"/>
              <w:right w:val="nil"/>
              <w:insideH w:val="nil"/>
              <w:insideV w:val="nil"/>
            </w:tcBorders>
            <w:shd w:fill="auto" w:val="clear"/>
            <w:vAlign w:val="center"/>
          </w:tcPr>
          <w:p>
            <w:pPr>
              <w:pStyle w:val="Normal"/>
              <w:spacing w:lineRule="auto" w:line="240" w:before="0" w:after="0"/>
              <w:jc w:val="both"/>
              <w:rPr>
                <w:sz w:val="16"/>
                <w:szCs w:val="16"/>
                <w:lang w:val="ro-RO"/>
              </w:rPr>
            </w:pPr>
            <w:r>
              <w:rPr/>
              <w:drawing>
                <wp:inline distT="0" distB="0" distL="0" distR="0">
                  <wp:extent cx="3302635" cy="2488565"/>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117" w:type="dxa"/>
            <w:tcBorders>
              <w:top w:val="nil"/>
              <w:left w:val="nil"/>
              <w:bottom w:val="nil"/>
              <w:right w:val="nil"/>
              <w:insideH w:val="nil"/>
              <w:insideV w:val="nil"/>
            </w:tcBorders>
            <w:shd w:fill="auto" w:val="clear"/>
            <w:vAlign w:val="center"/>
          </w:tcPr>
          <w:p>
            <w:pPr>
              <w:pStyle w:val="Normal"/>
              <w:spacing w:lineRule="auto" w:line="240" w:before="0" w:after="0"/>
              <w:jc w:val="both"/>
              <w:rPr>
                <w:sz w:val="16"/>
                <w:szCs w:val="16"/>
                <w:lang w:val="ro-RO"/>
              </w:rPr>
            </w:pPr>
            <w:r>
              <w:rPr/>
              <w:drawing>
                <wp:inline distT="0" distB="0" distL="0" distR="0">
                  <wp:extent cx="2565400" cy="2522220"/>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trPr/>
        <w:tc>
          <w:tcPr>
            <w:tcW w:w="5242" w:type="dxa"/>
            <w:tcBorders>
              <w:top w:val="nil"/>
              <w:left w:val="nil"/>
              <w:bottom w:val="nil"/>
              <w:right w:val="nil"/>
              <w:insideH w:val="nil"/>
              <w:insideV w:val="nil"/>
            </w:tcBorders>
            <w:shd w:fill="auto" w:val="clear"/>
          </w:tcPr>
          <w:p>
            <w:pPr>
              <w:pStyle w:val="Source"/>
              <w:spacing w:lineRule="auto" w:line="240" w:before="0" w:after="0"/>
              <w:rPr/>
            </w:pPr>
            <w:r>
              <w:rPr/>
              <w:t>Sursa: Eurostat</w:t>
            </w:r>
          </w:p>
        </w:tc>
        <w:tc>
          <w:tcPr>
            <w:tcW w:w="4117" w:type="dxa"/>
            <w:tcBorders>
              <w:top w:val="nil"/>
              <w:left w:val="nil"/>
              <w:bottom w:val="nil"/>
              <w:right w:val="nil"/>
              <w:insideH w:val="nil"/>
              <w:insideV w:val="nil"/>
            </w:tcBorders>
            <w:shd w:fill="auto" w:val="clear"/>
          </w:tcPr>
          <w:p>
            <w:pPr>
              <w:pStyle w:val="Source"/>
              <w:spacing w:lineRule="auto" w:line="240" w:before="0" w:after="0"/>
              <w:rPr/>
            </w:pPr>
            <w:r>
              <w:rPr/>
              <w:t>Sursa: Eurostat</w:t>
            </w:r>
          </w:p>
        </w:tc>
      </w:tr>
    </w:tbl>
    <w:p>
      <w:pPr>
        <w:pStyle w:val="Normal"/>
        <w:spacing w:lineRule="auto" w:line="240" w:before="0" w:after="160"/>
        <w:contextualSpacing/>
        <w:jc w:val="both"/>
        <w:rPr/>
      </w:pPr>
      <w:r>
        <w:rPr/>
      </w:r>
    </w:p>
    <w:p>
      <w:pPr>
        <w:pStyle w:val="Normal"/>
        <w:spacing w:lineRule="auto" w:line="276" w:before="120" w:after="120"/>
        <w:jc w:val="both"/>
        <w:rPr>
          <w:rFonts w:ascii="Calibri" w:hAnsi="Calibri" w:eastAsia="Calibri" w:cs="Times New Roman"/>
          <w:lang w:val="ro-RO"/>
        </w:rPr>
      </w:pPr>
      <w:r>
        <w:rPr>
          <w:rFonts w:eastAsia="Calibri" w:cs="Times New Roman"/>
          <w:b/>
          <w:lang w:val="ro-RO"/>
        </w:rPr>
        <w:t>În România</w:t>
      </w:r>
      <w:r>
        <w:rPr>
          <w:rFonts w:eastAsia="Calibri" w:cs="Times New Roman"/>
          <w:lang w:val="ro-RO"/>
        </w:rPr>
        <w:t xml:space="preserve">, rata anuală a inflației (măsurată prin IPC – indicele prețurilor de consum) </w:t>
      </w:r>
      <w:r>
        <w:rPr>
          <w:rFonts w:eastAsia="Calibri" w:cs="Times New Roman"/>
        </w:rPr>
        <w:t>în luna iulie 2022 comparativ cu luna iulie 2021 a fost de 15,0%, iar de la începutul anului (iulie 2022 comparativ cu decembrie 2021) a fost de 11,0%.</w:t>
      </w:r>
    </w:p>
    <w:p>
      <w:pPr>
        <w:pStyle w:val="Normal"/>
        <w:spacing w:lineRule="auto" w:line="276" w:before="120" w:after="120"/>
        <w:jc w:val="both"/>
        <w:rPr>
          <w:rFonts w:ascii="Calibri" w:hAnsi="Calibri" w:eastAsia="Calibri" w:cs="Times New Roman"/>
        </w:rPr>
      </w:pPr>
      <w:r>
        <w:rPr>
          <w:rFonts w:eastAsia="Calibri" w:cs="Times New Roman"/>
          <w:lang w:val="ro-RO"/>
        </w:rPr>
        <w:t xml:space="preserve">Conform „Raportului asupra inflației” publicat în luna august 2022, Banca Națională a României (BNR) anticipează că </w:t>
      </w:r>
      <w:r>
        <w:rPr>
          <w:rFonts w:eastAsia="Calibri" w:cs="Times New Roman"/>
        </w:rPr>
        <w:t>rata inflației IPC se va situa la 13,9% în decembrie 2022, respectiv 7,5 % în decembrie 2023 (față de previziunea de 6,7 % prezentată în Raportul din mai) și, ulterior, 2,3 la sută în iunie 2024.</w:t>
      </w:r>
    </w:p>
    <w:tbl>
      <w:tblPr>
        <w:tblW w:w="9360" w:type="dxa"/>
        <w:jc w:val="left"/>
        <w:tblInd w:w="0" w:type="dxa"/>
        <w:tblBorders/>
        <w:tblCellMar>
          <w:top w:w="0" w:type="dxa"/>
          <w:left w:w="108" w:type="dxa"/>
          <w:bottom w:w="0" w:type="dxa"/>
          <w:right w:w="108" w:type="dxa"/>
        </w:tblCellMar>
        <w:tblLook w:firstRow="1" w:noVBand="1" w:lastRow="0" w:firstColumn="1" w:lastColumn="0" w:noHBand="0" w:val="04a0"/>
      </w:tblPr>
      <w:tblGrid>
        <w:gridCol w:w="9360"/>
      </w:tblGrid>
      <w:tr>
        <w:trPr/>
        <w:tc>
          <w:tcPr>
            <w:tcW w:w="9360" w:type="dxa"/>
            <w:tcBorders/>
            <w:shd w:fill="auto" w:val="clear"/>
          </w:tcPr>
          <w:p>
            <w:pPr>
              <w:pStyle w:val="Normal"/>
              <w:spacing w:before="0" w:after="0"/>
              <w:rPr>
                <w:rFonts w:ascii="Calibri" w:hAnsi="Calibri" w:eastAsia="Calibri" w:cs="Times New Roman"/>
                <w:lang w:val="ro-RO"/>
              </w:rPr>
            </w:pPr>
            <w:bookmarkStart w:id="24" w:name="_Toc114571516"/>
            <w:bookmarkStart w:id="25" w:name="_Toc84401775"/>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7</w:t>
            </w:r>
            <w:r>
              <w:rPr>
                <w:sz w:val="18"/>
                <w:i/>
                <w:szCs w:val="18"/>
                <w:iCs/>
              </w:rPr>
              <w:fldChar w:fldCharType="end"/>
            </w:r>
            <w:r>
              <w:rPr>
                <w:i/>
                <w:iCs/>
                <w:color w:val="44546A" w:themeColor="text2"/>
                <w:sz w:val="18"/>
                <w:szCs w:val="18"/>
                <w:lang w:val="ro-RO"/>
              </w:rPr>
              <w:t xml:space="preserve"> Inflația (IPC) % și prognoza BNR a IPC</w:t>
            </w:r>
            <w:bookmarkEnd w:id="24"/>
            <w:bookmarkEnd w:id="25"/>
          </w:p>
        </w:tc>
      </w:tr>
      <w:tr>
        <w:trPr/>
        <w:tc>
          <w:tcPr>
            <w:tcW w:w="9360" w:type="dxa"/>
            <w:tcBorders/>
            <w:shd w:fill="auto" w:val="clear"/>
          </w:tcPr>
          <w:p>
            <w:pPr>
              <w:pStyle w:val="Normal"/>
              <w:spacing w:before="0" w:after="0"/>
              <w:rPr>
                <w:rFonts w:ascii="Calibri" w:hAnsi="Calibri" w:eastAsia="Calibri" w:cs="Times New Roman"/>
                <w:lang w:val="ro-RO"/>
              </w:rPr>
            </w:pPr>
            <w:r>
              <w:rPr/>
              <w:drawing>
                <wp:inline distT="0" distB="0" distL="0" distR="0">
                  <wp:extent cx="5827395" cy="3080385"/>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trPr/>
        <w:tc>
          <w:tcPr>
            <w:tcW w:w="9360" w:type="dxa"/>
            <w:tcBorders/>
            <w:shd w:fill="auto" w:val="clear"/>
          </w:tcPr>
          <w:p>
            <w:pPr>
              <w:pStyle w:val="Normal"/>
              <w:spacing w:before="0" w:after="0"/>
              <w:jc w:val="center"/>
              <w:rPr>
                <w:rFonts w:ascii="Calibri" w:hAnsi="Calibri" w:eastAsia="Calibri" w:cs="Times New Roman"/>
                <w:lang w:val="ro-RO"/>
              </w:rPr>
            </w:pPr>
            <w:r>
              <w:rPr>
                <w:rFonts w:eastAsia="Times New Roman" w:cs="Calibri"/>
                <w:i/>
                <w:sz w:val="18"/>
                <w:szCs w:val="24"/>
                <w:lang w:val="ro-RO"/>
              </w:rPr>
              <w:t>Sursa:</w:t>
            </w:r>
            <w:r>
              <w:rPr>
                <w:rFonts w:eastAsia="Calibri" w:cs="Calibri"/>
                <w:i/>
                <w:sz w:val="16"/>
                <w:szCs w:val="16"/>
                <w:lang w:val="ro-RO"/>
              </w:rPr>
              <w:t xml:space="preserve"> Prelucrare ASF pe baza datelor</w:t>
            </w:r>
            <w:r>
              <w:rPr>
                <w:rFonts w:eastAsia="Times New Roman" w:cs="Calibri"/>
                <w:i/>
                <w:sz w:val="18"/>
                <w:szCs w:val="24"/>
                <w:lang w:val="ro-RO"/>
              </w:rPr>
              <w:t xml:space="preserve"> INS, BNR</w:t>
            </w:r>
          </w:p>
        </w:tc>
      </w:tr>
    </w:tbl>
    <w:p>
      <w:pPr>
        <w:pStyle w:val="Normal"/>
        <w:tabs>
          <w:tab w:val="clear" w:pos="720"/>
          <w:tab w:val="left" w:pos="142" w:leader="none"/>
        </w:tabs>
        <w:jc w:val="both"/>
        <w:rPr>
          <w:rFonts w:cs="Calibri" w:cstheme="minorHAnsi"/>
          <w:b/>
          <w:b/>
          <w:lang w:val="ro-RO"/>
        </w:rPr>
      </w:pPr>
      <w:r>
        <w:rPr>
          <w:rFonts w:cs="Calibri" w:cstheme="minorHAnsi"/>
          <w:b/>
          <w:lang w:val="ro-RO"/>
        </w:rPr>
      </w:r>
    </w:p>
    <w:p>
      <w:pPr>
        <w:pStyle w:val="Normal"/>
        <w:tabs>
          <w:tab w:val="clear" w:pos="720"/>
          <w:tab w:val="left" w:pos="142" w:leader="none"/>
        </w:tabs>
        <w:spacing w:before="360" w:after="160"/>
        <w:jc w:val="both"/>
        <w:rPr>
          <w:rFonts w:cs="Calibri" w:cstheme="minorHAnsi"/>
          <w:b/>
          <w:b/>
          <w:lang w:val="ro-RO"/>
        </w:rPr>
      </w:pPr>
      <w:r>
        <w:rPr>
          <w:rFonts w:cs="Calibri" w:cstheme="minorHAnsi"/>
          <w:b/>
          <w:lang w:val="ro-RO"/>
        </w:rPr>
        <w:t>Indicatorul sentimentului economic (ESI)</w:t>
      </w:r>
    </w:p>
    <w:p>
      <w:pPr>
        <w:pStyle w:val="Normal"/>
        <w:jc w:val="both"/>
        <w:rPr>
          <w:lang w:val="ro-RO"/>
        </w:rPr>
      </w:pPr>
      <w:r>
        <w:rPr>
          <w:lang w:val="ro-RO"/>
        </w:rPr>
        <w:t>După creșteri continue aproape de maximele istorice înregistrate pe tot parcursul anului 2021 pe fondul  optimismului cu privire la succesul campaniei de vaccinare și a relansării activității economice, începând cu anul 2022 indicatorii</w:t>
      </w:r>
      <w:r>
        <w:rPr>
          <w:b/>
          <w:lang w:val="ro-RO"/>
        </w:rPr>
        <w:t xml:space="preserve"> calculați de Comisia Europeană pentru gradul de încredere în economie au început să scadă ușor pentru UE.</w:t>
      </w:r>
    </w:p>
    <w:p>
      <w:pPr>
        <w:pStyle w:val="Normal"/>
        <w:tabs>
          <w:tab w:val="clear" w:pos="720"/>
          <w:tab w:val="left" w:pos="142" w:leader="none"/>
        </w:tabs>
        <w:spacing w:lineRule="auto" w:line="276" w:before="120" w:after="120"/>
        <w:jc w:val="both"/>
        <w:rPr>
          <w:rFonts w:ascii="Calibri" w:hAnsi="Calibri" w:eastAsia="Calibri" w:cs="Calibri"/>
          <w:bCs/>
          <w:lang w:val="ro-RO"/>
        </w:rPr>
      </w:pPr>
      <w:r>
        <w:rPr>
          <w:rFonts w:eastAsia="Calibri" w:cs="Calibri"/>
          <w:b/>
          <w:lang w:val="ro-RO"/>
        </w:rPr>
        <w:t>Indicatorul sentimentului economic (ESI)</w:t>
      </w:r>
      <w:r>
        <w:rPr>
          <w:rFonts w:cs="Calibri" w:cstheme="minorHAnsi"/>
          <w:lang w:val="ro-RO"/>
        </w:rPr>
        <w:t xml:space="preserve"> </w:t>
      </w:r>
      <w:r>
        <w:rPr>
          <w:rFonts w:eastAsia="Calibri" w:cs="Calibri"/>
          <w:bCs/>
          <w:lang w:val="ro-RO"/>
        </w:rPr>
        <w:t>a atins valoarea de 96,5 puncte în Uniunea Europeană în luna august 2022, în scădere cu 17,4 puncte față de valoarea înregistrată la sfârșitul anului 2021 (113,9) și cu 19,2 puncte față de aceeași perioadă a anului precendent (115,7).</w:t>
      </w:r>
      <w:r>
        <w:rPr>
          <w:rFonts w:eastAsia="Calibri" w:cs="Calibri" w:cstheme="minorHAnsi"/>
          <w:szCs w:val="24"/>
          <w:lang w:val="ro-RO"/>
        </w:rPr>
        <w:t xml:space="preserve"> În luna august 2022, încrederea în servicii și în sectorul comerțului cu amănuntul a scăzut față de valoarea înregistrată în luna precedentă (+0.9 puncte). Încrederea în sectorul contrucțiilor a scăzut cu 1 punct, iar în industrie cu 1,4 puncte. </w:t>
      </w:r>
      <w:r>
        <w:rPr>
          <w:rFonts w:eastAsia="Calibri" w:cs="Calibri"/>
          <w:bCs/>
          <w:lang w:val="ro-RO"/>
        </w:rPr>
        <w:t xml:space="preserve">În România, indicatorul sentimentului economic înregistrează o valoare mai crescută față de media UE, situându-se în luna august 2022 la un nivel de 100,1 puncte,  în ușoară scădere față de luna iulie 2022 (101,1). În România, încrederea în sectorul comerțului cu amănuntul a scăzut cu 1,6 puncte față de valoarea înregistrată în luna anterioară ( de la 9,1 puncte la 7,5 puncte). </w:t>
      </w:r>
    </w:p>
    <w:p>
      <w:pPr>
        <w:pStyle w:val="Normal"/>
        <w:jc w:val="both"/>
        <w:rPr>
          <w:lang w:val="ro-RO"/>
        </w:rPr>
      </w:pPr>
      <w:r>
        <w:rPr>
          <w:lang w:val="ro-RO"/>
        </w:rPr>
      </w:r>
    </w:p>
    <w:tbl>
      <w:tblPr>
        <w:tblStyle w:val="TableGrid"/>
        <w:tblW w:w="9360" w:type="dxa"/>
        <w:jc w:val="left"/>
        <w:tblInd w:w="0" w:type="dxa"/>
        <w:tblCellMar>
          <w:top w:w="0" w:type="dxa"/>
          <w:left w:w="108" w:type="dxa"/>
          <w:bottom w:w="0" w:type="dxa"/>
          <w:right w:w="108" w:type="dxa"/>
        </w:tblCellMar>
        <w:tblLook w:firstRow="1" w:noVBand="1" w:lastRow="0" w:firstColumn="1" w:lastColumn="0" w:noHBand="0" w:val="04a0"/>
      </w:tblPr>
      <w:tblGrid>
        <w:gridCol w:w="9360"/>
      </w:tblGrid>
      <w:tr>
        <w:trPr/>
        <w:tc>
          <w:tcPr>
            <w:tcW w:w="9360" w:type="dxa"/>
            <w:tcBorders>
              <w:top w:val="nil"/>
              <w:left w:val="nil"/>
              <w:bottom w:val="nil"/>
              <w:right w:val="nil"/>
              <w:insideH w:val="nil"/>
              <w:insideV w:val="nil"/>
            </w:tcBorders>
            <w:shd w:fill="auto" w:val="clear"/>
          </w:tcPr>
          <w:p>
            <w:pPr>
              <w:pStyle w:val="Normal"/>
              <w:spacing w:lineRule="auto" w:line="240" w:beforeAutospacing="1" w:after="0"/>
              <w:jc w:val="both"/>
              <w:rPr/>
            </w:pPr>
            <w:bookmarkStart w:id="26" w:name="_Toc114571517"/>
            <w:bookmarkStart w:id="27" w:name="_Toc76976833"/>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8</w:t>
            </w:r>
            <w:r>
              <w:rPr>
                <w:sz w:val="18"/>
                <w:i/>
                <w:szCs w:val="18"/>
                <w:iCs/>
              </w:rPr>
              <w:fldChar w:fldCharType="end"/>
            </w:r>
            <w:r>
              <w:rPr>
                <w:i/>
                <w:iCs/>
                <w:color w:val="44546A" w:themeColor="text2"/>
                <w:sz w:val="18"/>
                <w:szCs w:val="18"/>
                <w:lang w:val="ro-RO"/>
              </w:rPr>
              <w:t xml:space="preserve"> Indicatorul ESI</w:t>
            </w:r>
            <w:bookmarkEnd w:id="26"/>
            <w:bookmarkEnd w:id="27"/>
          </w:p>
        </w:tc>
      </w:tr>
      <w:tr>
        <w:trPr/>
        <w:tc>
          <w:tcPr>
            <w:tcW w:w="9360" w:type="dxa"/>
            <w:tcBorders>
              <w:top w:val="nil"/>
              <w:left w:val="nil"/>
              <w:bottom w:val="nil"/>
              <w:right w:val="nil"/>
              <w:insideH w:val="nil"/>
              <w:insideV w:val="nil"/>
            </w:tcBorders>
            <w:shd w:fill="auto" w:val="clear"/>
          </w:tcPr>
          <w:p>
            <w:pPr>
              <w:pStyle w:val="Normal"/>
              <w:spacing w:lineRule="auto" w:line="240" w:before="0" w:after="0"/>
              <w:rPr>
                <w:lang w:val="ro-RO"/>
              </w:rPr>
            </w:pPr>
            <w:r>
              <w:rPr/>
              <w:drawing>
                <wp:inline distT="0" distB="0" distL="0" distR="0">
                  <wp:extent cx="5807075" cy="258572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spacing w:lineRule="auto" w:line="240" w:before="0" w:after="0"/>
              <w:jc w:val="center"/>
              <w:rPr>
                <w:lang w:val="ro-RO"/>
              </w:rPr>
            </w:pPr>
            <w:r>
              <w:rPr>
                <w:lang w:val="ro-RO"/>
              </w:rPr>
            </w:r>
          </w:p>
        </w:tc>
      </w:tr>
      <w:tr>
        <w:trPr>
          <w:trHeight w:val="63" w:hRule="atLeast"/>
        </w:trPr>
        <w:tc>
          <w:tcPr>
            <w:tcW w:w="9360" w:type="dxa"/>
            <w:tcBorders>
              <w:top w:val="nil"/>
              <w:left w:val="nil"/>
              <w:bottom w:val="nil"/>
              <w:right w:val="nil"/>
              <w:insideH w:val="nil"/>
              <w:insideV w:val="nil"/>
            </w:tcBorders>
            <w:shd w:fill="auto" w:val="clear"/>
          </w:tcPr>
          <w:p>
            <w:pPr>
              <w:pStyle w:val="Normal"/>
              <w:spacing w:lineRule="auto" w:line="240" w:before="0" w:after="0"/>
              <w:jc w:val="center"/>
              <w:rPr>
                <w:i/>
                <w:i/>
                <w:sz w:val="18"/>
                <w:szCs w:val="18"/>
                <w:lang w:val="ro-RO"/>
              </w:rPr>
            </w:pPr>
            <w:r>
              <w:rPr>
                <w:rFonts w:eastAsia="Calibri" w:cs="Calibri"/>
                <w:i/>
                <w:sz w:val="16"/>
                <w:szCs w:val="16"/>
                <w:lang w:val="ro-RO"/>
              </w:rPr>
              <w:t>Sursa: Prelucrare ASF pe baza datelor Comisiei Europene</w:t>
            </w:r>
          </w:p>
        </w:tc>
      </w:tr>
    </w:tbl>
    <w:p>
      <w:pPr>
        <w:pStyle w:val="Normal"/>
        <w:spacing w:before="240" w:after="160"/>
        <w:jc w:val="both"/>
        <w:rPr>
          <w:lang w:val="ro-RO"/>
        </w:rPr>
      </w:pPr>
      <w:r>
        <w:rPr>
          <w:lang w:val="ro-RO"/>
        </w:rPr>
      </w:r>
    </w:p>
    <w:tbl>
      <w:tblPr>
        <w:tblStyle w:val="TableGrid"/>
        <w:tblW w:w="10206" w:type="dxa"/>
        <w:jc w:val="left"/>
        <w:tblInd w:w="0" w:type="dxa"/>
        <w:tblCellMar>
          <w:top w:w="0" w:type="dxa"/>
          <w:left w:w="108" w:type="dxa"/>
          <w:bottom w:w="0" w:type="dxa"/>
          <w:right w:w="108" w:type="dxa"/>
        </w:tblCellMar>
        <w:tblLook w:firstRow="1" w:noVBand="1" w:lastRow="0" w:firstColumn="1" w:lastColumn="0" w:noHBand="0" w:val="04a0"/>
      </w:tblPr>
      <w:tblGrid>
        <w:gridCol w:w="5226"/>
        <w:gridCol w:w="4979"/>
      </w:tblGrid>
      <w:tr>
        <w:trPr>
          <w:trHeight w:val="274" w:hRule="atLeast"/>
        </w:trPr>
        <w:tc>
          <w:tcPr>
            <w:tcW w:w="10205" w:type="dxa"/>
            <w:gridSpan w:val="2"/>
            <w:tcBorders>
              <w:top w:val="nil"/>
              <w:left w:val="nil"/>
              <w:bottom w:val="nil"/>
              <w:right w:val="nil"/>
              <w:insideH w:val="nil"/>
              <w:insideV w:val="nil"/>
            </w:tcBorders>
            <w:shd w:fill="auto" w:val="clear"/>
          </w:tcPr>
          <w:p>
            <w:pPr>
              <w:pStyle w:val="Normal"/>
              <w:spacing w:lineRule="auto" w:line="240" w:beforeAutospacing="1" w:after="0"/>
              <w:jc w:val="both"/>
              <w:rPr/>
            </w:pPr>
            <w:bookmarkStart w:id="28" w:name="_Toc114571518"/>
            <w:bookmarkStart w:id="29" w:name="_Toc76976834"/>
            <w:r>
              <w:rPr>
                <w:i/>
                <w:iCs/>
                <w:color w:val="44546A" w:themeColor="text2"/>
                <w:sz w:val="18"/>
                <w:szCs w:val="18"/>
                <w:lang w:val="ro-RO"/>
              </w:rPr>
              <w:t xml:space="preserve">Figura </w:t>
            </w:r>
            <w:r>
              <w:rPr>
                <w:i/>
                <w:iCs/>
                <w:color w:val="44546A" w:themeColor="text2"/>
                <w:sz w:val="18"/>
                <w:szCs w:val="18"/>
                <w:lang w:val="ro-RO"/>
              </w:rPr>
              <w:fldChar w:fldCharType="begin"/>
            </w:r>
            <w:r>
              <w:rPr>
                <w:sz w:val="18"/>
                <w:i/>
                <w:szCs w:val="18"/>
                <w:iCs/>
              </w:rPr>
              <w:instrText> SEQ Figura \* ARABIC </w:instrText>
            </w:r>
            <w:r>
              <w:rPr>
                <w:sz w:val="18"/>
                <w:i/>
                <w:szCs w:val="18"/>
                <w:iCs/>
              </w:rPr>
              <w:fldChar w:fldCharType="separate"/>
            </w:r>
            <w:r>
              <w:rPr>
                <w:sz w:val="18"/>
                <w:i/>
                <w:szCs w:val="18"/>
                <w:iCs/>
              </w:rPr>
              <w:t>9</w:t>
            </w:r>
            <w:r>
              <w:rPr>
                <w:sz w:val="18"/>
                <w:i/>
                <w:szCs w:val="18"/>
                <w:iCs/>
              </w:rPr>
              <w:fldChar w:fldCharType="end"/>
            </w:r>
            <w:r>
              <w:rPr>
                <w:i/>
                <w:iCs/>
                <w:color w:val="44546A" w:themeColor="text2"/>
                <w:sz w:val="18"/>
                <w:szCs w:val="18"/>
                <w:lang w:val="ro-RO"/>
              </w:rPr>
              <w:t xml:space="preserve"> Componentele indicelui ESI</w:t>
            </w:r>
            <w:bookmarkEnd w:id="28"/>
            <w:bookmarkEnd w:id="29"/>
          </w:p>
        </w:tc>
      </w:tr>
      <w:tr>
        <w:trPr>
          <w:trHeight w:val="3924" w:hRule="atLeast"/>
        </w:trPr>
        <w:tc>
          <w:tcPr>
            <w:tcW w:w="5226" w:type="dxa"/>
            <w:tcBorders>
              <w:top w:val="nil"/>
              <w:left w:val="nil"/>
              <w:bottom w:val="nil"/>
              <w:right w:val="nil"/>
              <w:insideH w:val="nil"/>
              <w:insideV w:val="nil"/>
            </w:tcBorders>
            <w:shd w:fill="auto" w:val="clear"/>
          </w:tcPr>
          <w:p>
            <w:pPr>
              <w:pStyle w:val="Normal"/>
              <w:spacing w:lineRule="auto" w:line="240" w:before="0" w:after="0"/>
              <w:jc w:val="both"/>
              <w:rPr>
                <w:lang w:val="ro-RO"/>
              </w:rPr>
            </w:pPr>
            <w:r>
              <w:rPr/>
              <w:drawing>
                <wp:inline distT="0" distB="0" distL="0" distR="0">
                  <wp:extent cx="3181350" cy="2790825"/>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979" w:type="dxa"/>
            <w:tcBorders>
              <w:top w:val="nil"/>
              <w:left w:val="nil"/>
              <w:bottom w:val="nil"/>
              <w:right w:val="nil"/>
              <w:insideH w:val="nil"/>
              <w:insideV w:val="nil"/>
            </w:tcBorders>
            <w:shd w:fill="auto" w:val="clear"/>
          </w:tcPr>
          <w:p>
            <w:pPr>
              <w:pStyle w:val="Normal"/>
              <w:spacing w:lineRule="auto" w:line="240" w:before="0" w:after="0"/>
              <w:jc w:val="both"/>
              <w:rPr>
                <w:lang w:val="ro-RO"/>
              </w:rPr>
            </w:pPr>
            <w:r>
              <w:rPr/>
              <w:drawing>
                <wp:inline distT="0" distB="0" distL="0" distR="0">
                  <wp:extent cx="3036570" cy="274320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trPr>
          <w:trHeight w:val="256" w:hRule="atLeast"/>
        </w:trPr>
        <w:tc>
          <w:tcPr>
            <w:tcW w:w="10205" w:type="dxa"/>
            <w:gridSpan w:val="2"/>
            <w:tcBorders>
              <w:top w:val="nil"/>
              <w:left w:val="nil"/>
              <w:bottom w:val="nil"/>
              <w:right w:val="nil"/>
              <w:insideH w:val="nil"/>
              <w:insideV w:val="nil"/>
            </w:tcBorders>
            <w:shd w:fill="auto" w:val="clear"/>
          </w:tcPr>
          <w:p>
            <w:pPr>
              <w:pStyle w:val="Normal"/>
              <w:spacing w:lineRule="auto" w:line="240" w:before="0" w:after="0"/>
              <w:jc w:val="center"/>
              <w:rPr>
                <w:i/>
                <w:i/>
                <w:sz w:val="16"/>
                <w:szCs w:val="16"/>
                <w:lang w:val="ro-RO"/>
              </w:rPr>
            </w:pPr>
            <w:r>
              <w:rPr>
                <w:i/>
                <w:sz w:val="16"/>
                <w:szCs w:val="16"/>
                <w:lang w:val="ro-RO"/>
              </w:rPr>
              <w:t xml:space="preserve">Sursa: </w:t>
            </w:r>
            <w:r>
              <w:rPr>
                <w:rFonts w:eastAsia="Calibri" w:cs="Calibri"/>
                <w:i/>
                <w:sz w:val="16"/>
                <w:szCs w:val="16"/>
                <w:lang w:val="ro-RO"/>
              </w:rPr>
              <w:t>Prelucrare ASF pe baza datelor</w:t>
            </w:r>
            <w:r>
              <w:rPr>
                <w:i/>
                <w:sz w:val="16"/>
                <w:szCs w:val="16"/>
                <w:lang w:val="ro-RO"/>
              </w:rPr>
              <w:t xml:space="preserve"> Comisia Europeană</w:t>
            </w:r>
          </w:p>
        </w:tc>
      </w:tr>
    </w:tbl>
    <w:p>
      <w:pPr>
        <w:pStyle w:val="Normal"/>
        <w:spacing w:before="120" w:after="120"/>
        <w:jc w:val="both"/>
        <w:rPr>
          <w:rFonts w:cs="Calibri" w:cstheme="minorHAnsi"/>
          <w:lang w:val="ro-RO"/>
        </w:rPr>
      </w:pPr>
      <w:r>
        <w:rPr>
          <w:rFonts w:cs="Calibri" w:cstheme="minorHAnsi"/>
          <w:lang w:val="ro-RO"/>
        </w:rPr>
      </w:r>
    </w:p>
    <w:p>
      <w:pPr>
        <w:pStyle w:val="Normal"/>
        <w:spacing w:before="120" w:after="120"/>
        <w:jc w:val="both"/>
        <w:rPr>
          <w:rFonts w:cs="Calibri" w:cstheme="minorHAnsi"/>
          <w:lang w:val="ro-RO"/>
        </w:rPr>
      </w:pPr>
      <w:r>
        <w:rPr>
          <w:rFonts w:cs="Calibri" w:cstheme="minorHAnsi"/>
          <w:lang w:val="ro-RO"/>
        </w:rPr>
      </w:r>
    </w:p>
    <w:p>
      <w:pPr>
        <w:pStyle w:val="Normal"/>
        <w:spacing w:before="120" w:after="120"/>
        <w:jc w:val="both"/>
        <w:rPr>
          <w:rFonts w:cs="Calibri" w:cstheme="minorHAnsi"/>
          <w:lang w:val="ro-RO"/>
        </w:rPr>
      </w:pPr>
      <w:r>
        <w:rPr>
          <w:rFonts w:cs="Calibri" w:cstheme="minorHAnsi"/>
          <w:lang w:val="ro-RO"/>
        </w:rPr>
        <w:t xml:space="preserve">La 31 decembrie 2021, piața fondurilor de investiții din Europa cuprindea 65.212 fonduri de investiții (în creștere cu 1,90% față de numărul de la finele anului 2020: </w:t>
      </w:r>
      <w:bookmarkStart w:id="30" w:name="OLE_LINK5"/>
      <w:bookmarkStart w:id="31" w:name="OLE_LINK4"/>
      <w:r>
        <w:rPr>
          <w:rFonts w:cs="Calibri" w:cstheme="minorHAnsi"/>
          <w:lang w:val="ro-RO"/>
        </w:rPr>
        <w:t>63.999</w:t>
      </w:r>
      <w:bookmarkEnd w:id="30"/>
      <w:bookmarkEnd w:id="31"/>
      <w:r>
        <w:rPr>
          <w:rFonts w:cs="Calibri" w:cstheme="minorHAnsi"/>
          <w:lang w:val="ro-RO"/>
        </w:rPr>
        <w:t>), dintre care 35.040 organisme de plasament colectiv în valori mobiliare (OPCVM), respectiv 30.172 fonduri de investiții alternative (FIA).</w:t>
      </w:r>
      <w:bookmarkStart w:id="32" w:name="_Toc12538328"/>
    </w:p>
    <w:p>
      <w:pPr>
        <w:pStyle w:val="Normal"/>
        <w:spacing w:before="120" w:after="120"/>
        <w:jc w:val="both"/>
        <w:rPr>
          <w:rFonts w:cs="Calibri" w:cstheme="minorHAnsi"/>
          <w:lang w:val="ro-RO"/>
        </w:rPr>
      </w:pPr>
      <w:r>
        <w:rPr>
          <w:rFonts w:cs="Calibri" w:cstheme="minorHAnsi"/>
          <w:lang w:val="ro-RO"/>
        </w:rPr>
      </w:r>
    </w:p>
    <w:p>
      <w:pPr>
        <w:pStyle w:val="Caption1"/>
        <w:spacing w:lineRule="auto" w:line="259"/>
        <w:rPr/>
      </w:pPr>
      <w:bookmarkStart w:id="33" w:name="_Toc114571519"/>
      <w:bookmarkStart w:id="34" w:name="_Toc100232867"/>
      <w:bookmarkStart w:id="35" w:name="_Toc100225211"/>
      <w:r>
        <w:rPr/>
        <w:t xml:space="preserve">Figura </w:t>
      </w:r>
      <w:r>
        <w:rPr/>
        <w:fldChar w:fldCharType="begin"/>
      </w:r>
      <w:r>
        <w:rPr/>
        <w:instrText> SEQ Figura \* ARABIC </w:instrText>
      </w:r>
      <w:r>
        <w:rPr/>
        <w:fldChar w:fldCharType="separate"/>
      </w:r>
      <w:r>
        <w:rPr/>
        <w:t>10</w:t>
      </w:r>
      <w:r>
        <w:rPr/>
        <w:fldChar w:fldCharType="end"/>
      </w:r>
      <w:r>
        <w:rPr/>
        <w:t xml:space="preserve"> Activele nete (miliarde EUR) ale organismelor de plasament colectiv în valori mobiliare din Europa la</w:t>
      </w:r>
      <w:bookmarkEnd w:id="32"/>
      <w:r>
        <w:rPr/>
        <w:t xml:space="preserve"> 31 decembrie 2021</w:t>
      </w:r>
      <w:bookmarkEnd w:id="33"/>
      <w:bookmarkEnd w:id="34"/>
      <w:bookmarkEnd w:id="35"/>
    </w:p>
    <w:p>
      <w:pPr>
        <w:pStyle w:val="Normal"/>
        <w:spacing w:before="0" w:after="60"/>
        <w:jc w:val="center"/>
        <w:rPr>
          <w:rFonts w:cs="Calibri" w:cstheme="minorHAnsi"/>
          <w:i/>
          <w:i/>
          <w:iCs/>
          <w:sz w:val="18"/>
          <w:szCs w:val="18"/>
          <w:lang w:val="ro-RO"/>
        </w:rPr>
      </w:pPr>
      <w:r>
        <w:rPr/>
        <w:drawing>
          <wp:inline distT="0" distB="0" distL="0" distR="0">
            <wp:extent cx="5867400" cy="3357245"/>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jc w:val="center"/>
        <w:rPr>
          <w:rFonts w:eastAsia="Times New Roman" w:cs="Calibri" w:cstheme="minorHAnsi"/>
          <w:i/>
          <w:i/>
          <w:sz w:val="18"/>
          <w:szCs w:val="20"/>
          <w:lang w:val="ro-RO" w:eastAsia="ro-RO"/>
        </w:rPr>
      </w:pPr>
      <w:r>
        <w:rPr>
          <w:rFonts w:eastAsia="Times New Roman" w:cs="Calibri" w:cstheme="minorHAnsi"/>
          <w:i/>
          <w:sz w:val="18"/>
          <w:szCs w:val="20"/>
          <w:lang w:val="ro-RO" w:eastAsia="ro-RO"/>
        </w:rPr>
        <w:t>Sursa: EFAMA</w:t>
      </w:r>
    </w:p>
    <w:p>
      <w:pPr>
        <w:pStyle w:val="Normal"/>
        <w:spacing w:before="120" w:after="120"/>
        <w:jc w:val="both"/>
        <w:rPr>
          <w:rFonts w:eastAsia="Times New Roman" w:cs="Calibri" w:cstheme="minorHAnsi"/>
          <w:szCs w:val="20"/>
          <w:lang w:val="ro-RO" w:eastAsia="ro-RO"/>
        </w:rPr>
      </w:pPr>
      <w:r>
        <w:rPr>
          <w:rFonts w:eastAsia="Times New Roman" w:cs="Calibri" w:cstheme="minorHAnsi"/>
          <w:szCs w:val="20"/>
          <w:lang w:val="ro-RO" w:eastAsia="ro-RO"/>
        </w:rPr>
        <w:t>Activele nete ale organismelor de plasament colectiv în valori mobiliare (OPCVM) s-au situat la o valoare de aproximativ 13.890 miliarde EUR la finalul lunii decembrie 2021, în creștere cu 19,29% față de finalul anului 2020.</w:t>
      </w:r>
    </w:p>
    <w:p>
      <w:pPr>
        <w:pStyle w:val="Normal"/>
        <w:spacing w:before="120" w:after="120"/>
        <w:jc w:val="both"/>
        <w:rPr>
          <w:rFonts w:eastAsia="Times New Roman" w:cs="Calibri" w:cstheme="minorHAnsi"/>
          <w:szCs w:val="20"/>
          <w:lang w:val="ro-RO" w:eastAsia="ro-RO"/>
        </w:rPr>
      </w:pPr>
      <w:r>
        <w:rPr>
          <w:rFonts w:eastAsia="Times New Roman" w:cs="Calibri" w:cstheme="minorHAnsi"/>
          <w:szCs w:val="20"/>
          <w:lang w:val="ro-RO" w:eastAsia="ro-RO"/>
        </w:rPr>
      </w:r>
    </w:p>
    <w:p>
      <w:pPr>
        <w:pStyle w:val="Normal"/>
        <w:spacing w:before="0" w:after="0"/>
        <w:jc w:val="both"/>
        <w:rPr>
          <w:rFonts w:cs="Calibri" w:cstheme="minorHAnsi"/>
          <w:i/>
          <w:i/>
          <w:color w:val="002060"/>
          <w:sz w:val="18"/>
          <w:szCs w:val="20"/>
          <w:lang w:val="ro-RO"/>
        </w:rPr>
      </w:pPr>
      <w:bookmarkStart w:id="36" w:name="_Toc100232812"/>
      <w:bookmarkStart w:id="37" w:name="_Toc12538389"/>
      <w:r>
        <w:rPr>
          <w:i/>
          <w:iCs/>
          <w:color w:val="44546A" w:themeColor="text2"/>
          <w:sz w:val="18"/>
          <w:szCs w:val="18"/>
          <w:lang w:val="ro-RO"/>
        </w:rPr>
        <w:t xml:space="preserve"> </w:t>
      </w:r>
      <w:bookmarkStart w:id="38" w:name="_Toc110530367"/>
      <w:r>
        <w:rPr>
          <w:i/>
          <w:iCs/>
          <w:color w:val="44546A" w:themeColor="text2"/>
          <w:sz w:val="18"/>
          <w:szCs w:val="18"/>
          <w:lang w:val="ro-RO"/>
        </w:rPr>
        <w:t xml:space="preserve">Tabelul </w:t>
      </w:r>
      <w:r>
        <w:rPr>
          <w:i/>
          <w:iCs/>
          <w:color w:val="44546A" w:themeColor="text2"/>
          <w:sz w:val="18"/>
          <w:szCs w:val="18"/>
          <w:lang w:val="ro-RO"/>
        </w:rPr>
        <w:fldChar w:fldCharType="begin"/>
      </w:r>
      <w:r>
        <w:rPr>
          <w:sz w:val="18"/>
          <w:i/>
          <w:szCs w:val="18"/>
          <w:iCs/>
        </w:rPr>
        <w:instrText> SEQ Tabelul \* ARABIC </w:instrText>
      </w:r>
      <w:r>
        <w:rPr>
          <w:sz w:val="18"/>
          <w:i/>
          <w:szCs w:val="18"/>
          <w:iCs/>
        </w:rPr>
        <w:fldChar w:fldCharType="separate"/>
      </w:r>
      <w:r>
        <w:rPr>
          <w:sz w:val="18"/>
          <w:i/>
          <w:szCs w:val="18"/>
          <w:iCs/>
        </w:rPr>
        <w:t>2</w:t>
      </w:r>
      <w:r>
        <w:rPr>
          <w:sz w:val="18"/>
          <w:i/>
          <w:szCs w:val="18"/>
          <w:iCs/>
        </w:rPr>
        <w:fldChar w:fldCharType="end"/>
      </w:r>
      <w:r>
        <w:rPr>
          <w:i/>
          <w:iCs/>
          <w:color w:val="44546A" w:themeColor="text2"/>
          <w:sz w:val="18"/>
          <w:szCs w:val="18"/>
          <w:lang w:val="ro-RO"/>
        </w:rPr>
        <w:t xml:space="preserve"> Activele nete ale OPCVM (milioane EUR) în funcție de țările de domiciliu</w:t>
      </w:r>
      <w:bookmarkEnd w:id="36"/>
      <w:bookmarkEnd w:id="37"/>
      <w:bookmarkEnd w:id="38"/>
    </w:p>
    <w:tbl>
      <w:tblPr>
        <w:tblStyle w:val="LightShading-Accent11"/>
        <w:tblW w:w="9425" w:type="dxa"/>
        <w:jc w:val="left"/>
        <w:tblInd w:w="0" w:type="dxa"/>
        <w:tblCellMar>
          <w:top w:w="0" w:type="dxa"/>
          <w:left w:w="108" w:type="dxa"/>
          <w:bottom w:w="0" w:type="dxa"/>
          <w:right w:w="108" w:type="dxa"/>
        </w:tblCellMar>
        <w:tblLook w:firstRow="1" w:noVBand="1" w:lastRow="0" w:firstColumn="1" w:lastColumn="0" w:noHBand="0" w:val="04a0"/>
      </w:tblPr>
      <w:tblGrid>
        <w:gridCol w:w="1507"/>
        <w:gridCol w:w="1245"/>
        <w:gridCol w:w="1333"/>
        <w:gridCol w:w="1282"/>
        <w:gridCol w:w="1342"/>
        <w:gridCol w:w="1342"/>
        <w:gridCol w:w="1373"/>
      </w:tblGrid>
      <w:tr>
        <w:trPr>
          <w:trHeight w:val="71" w:hRule="atLeast"/>
        </w:trPr>
        <w:tc>
          <w:tcPr>
            <w:tcW w:w="1507" w:type="dxa"/>
            <w:vMerge w:val="restart"/>
            <w:tcBorders>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Țara</w:t>
            </w:r>
          </w:p>
        </w:tc>
        <w:tc>
          <w:tcPr>
            <w:tcW w:w="3860" w:type="dxa"/>
            <w:gridSpan w:val="3"/>
            <w:tcBorders>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31.12.2020</w:t>
            </w:r>
          </w:p>
        </w:tc>
        <w:tc>
          <w:tcPr>
            <w:tcW w:w="4057" w:type="dxa"/>
            <w:gridSpan w:val="3"/>
            <w:tcBorders>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31.12.2021</w:t>
            </w:r>
          </w:p>
        </w:tc>
      </w:tr>
      <w:tr>
        <w:trPr>
          <w:trHeight w:val="71" w:hRule="atLeast"/>
        </w:trPr>
        <w:tc>
          <w:tcPr>
            <w:tcW w:w="1507" w:type="dxa"/>
            <w:vMerge w:val="continue"/>
            <w:tcBorders>
              <w:top w:val="nil"/>
              <w:bottom w:val="nil"/>
              <w:insideH w:val="nil"/>
            </w:tcBorders>
            <w:shd w:fill="auto" w:val="clear"/>
            <w:vAlign w:val="center"/>
          </w:tcPr>
          <w:p>
            <w:pPr>
              <w:pStyle w:val="Normal"/>
              <w:spacing w:lineRule="auto" w:line="259" w:before="0" w:after="0"/>
              <w:jc w:val="center"/>
              <w:rPr>
                <w:rFonts w:ascii="Calibri" w:hAnsi="Calibri" w:eastAsia="Times New Roman" w:cs="Times New Roman"/>
                <w:b/>
                <w:b/>
                <w:color w:val="365F91"/>
                <w:sz w:val="20"/>
                <w:szCs w:val="20"/>
                <w:lang w:val="ro-RO"/>
              </w:rPr>
            </w:pPr>
            <w:r>
              <w:rPr>
                <w:rFonts w:eastAsia="Times New Roman" w:cs="Times New Roman"/>
                <w:b/>
                <w:color w:val="365F91"/>
                <w:sz w:val="20"/>
                <w:szCs w:val="20"/>
                <w:lang w:val="ro-RO"/>
              </w:rPr>
            </w:r>
          </w:p>
        </w:tc>
        <w:tc>
          <w:tcPr>
            <w:tcW w:w="1245" w:type="dxa"/>
            <w:tcBorders>
              <w:top w:val="nil"/>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Număr OPCVM</w:t>
            </w:r>
          </w:p>
        </w:tc>
        <w:tc>
          <w:tcPr>
            <w:tcW w:w="1333" w:type="dxa"/>
            <w:tcBorders>
              <w:top w:val="nil"/>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Activ net</w:t>
            </w:r>
          </w:p>
        </w:tc>
        <w:tc>
          <w:tcPr>
            <w:tcW w:w="1282" w:type="dxa"/>
            <w:tcBorders>
              <w:top w:val="nil"/>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Cotă de piață</w:t>
            </w:r>
          </w:p>
        </w:tc>
        <w:tc>
          <w:tcPr>
            <w:tcW w:w="1342" w:type="dxa"/>
            <w:tcBorders>
              <w:top w:val="nil"/>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Număr OPCVM</w:t>
            </w:r>
          </w:p>
        </w:tc>
        <w:tc>
          <w:tcPr>
            <w:tcW w:w="1342" w:type="dxa"/>
            <w:tcBorders>
              <w:top w:val="nil"/>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Activ net</w:t>
            </w:r>
          </w:p>
        </w:tc>
        <w:tc>
          <w:tcPr>
            <w:tcW w:w="1373" w:type="dxa"/>
            <w:tcBorders>
              <w:top w:val="nil"/>
              <w:bottom w:val="nil"/>
              <w:insideH w:val="nil"/>
            </w:tcBorders>
            <w:shd w:fill="auto" w:val="clear"/>
            <w:vAlign w:val="center"/>
          </w:tcPr>
          <w:p>
            <w:pPr>
              <w:pStyle w:val="Normal"/>
              <w:spacing w:lineRule="auto" w:line="259" w:before="0" w:after="0"/>
              <w:jc w:val="center"/>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Modificare Trim. IV 2021 față de Trim. IV 2020 (%)</w:t>
            </w:r>
          </w:p>
        </w:tc>
      </w:tr>
      <w:tr>
        <w:trPr>
          <w:trHeight w:val="71" w:hRule="atLeast"/>
        </w:trPr>
        <w:tc>
          <w:tcPr>
            <w:tcW w:w="1507" w:type="dxa"/>
            <w:tcBorders>
              <w:top w:val="nil"/>
              <w:bottom w:val="nil"/>
              <w:insideH w:val="nil"/>
            </w:tcBorders>
            <w:shd w:fill="auto" w:val="clear"/>
          </w:tcPr>
          <w:p>
            <w:pPr>
              <w:pStyle w:val="Normal"/>
              <w:spacing w:lineRule="auto" w:line="259" w:before="0" w:after="0"/>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Austria</w:t>
            </w:r>
          </w:p>
        </w:tc>
        <w:tc>
          <w:tcPr>
            <w:tcW w:w="1245"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901</w:t>
            </w:r>
          </w:p>
        </w:tc>
        <w:tc>
          <w:tcPr>
            <w:tcW w:w="133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89.947</w:t>
            </w:r>
          </w:p>
        </w:tc>
        <w:tc>
          <w:tcPr>
            <w:tcW w:w="128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0,77%</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898</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105.957</w:t>
            </w:r>
          </w:p>
        </w:tc>
        <w:tc>
          <w:tcPr>
            <w:tcW w:w="137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17,80%</w:t>
            </w:r>
          </w:p>
        </w:tc>
      </w:tr>
      <w:tr>
        <w:trPr>
          <w:trHeight w:val="71" w:hRule="atLeast"/>
        </w:trPr>
        <w:tc>
          <w:tcPr>
            <w:tcW w:w="1507" w:type="dxa"/>
            <w:tcBorders>
              <w:top w:val="nil"/>
              <w:bottom w:val="nil"/>
              <w:insideH w:val="nil"/>
            </w:tcBorders>
            <w:shd w:fill="auto" w:val="clear"/>
          </w:tcPr>
          <w:p>
            <w:pPr>
              <w:pStyle w:val="Normal"/>
              <w:spacing w:lineRule="auto" w:line="259" w:before="0" w:after="0"/>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Cehia</w:t>
            </w:r>
          </w:p>
        </w:tc>
        <w:tc>
          <w:tcPr>
            <w:tcW w:w="1245"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166</w:t>
            </w:r>
          </w:p>
        </w:tc>
        <w:tc>
          <w:tcPr>
            <w:tcW w:w="133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13.541</w:t>
            </w:r>
          </w:p>
        </w:tc>
        <w:tc>
          <w:tcPr>
            <w:tcW w:w="128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0,12%</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179</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16.176</w:t>
            </w:r>
          </w:p>
        </w:tc>
        <w:tc>
          <w:tcPr>
            <w:tcW w:w="137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19,46%</w:t>
            </w:r>
          </w:p>
        </w:tc>
      </w:tr>
      <w:tr>
        <w:trPr>
          <w:trHeight w:val="201" w:hRule="atLeast"/>
        </w:trPr>
        <w:tc>
          <w:tcPr>
            <w:tcW w:w="1507" w:type="dxa"/>
            <w:tcBorders>
              <w:top w:val="nil"/>
              <w:bottom w:val="nil"/>
              <w:insideH w:val="nil"/>
            </w:tcBorders>
            <w:shd w:fill="auto" w:val="clear"/>
          </w:tcPr>
          <w:p>
            <w:pPr>
              <w:pStyle w:val="Normal"/>
              <w:spacing w:lineRule="auto" w:line="259" w:before="0" w:after="0"/>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Franța</w:t>
            </w:r>
          </w:p>
        </w:tc>
        <w:tc>
          <w:tcPr>
            <w:tcW w:w="1245"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3.012</w:t>
            </w:r>
          </w:p>
        </w:tc>
        <w:tc>
          <w:tcPr>
            <w:tcW w:w="133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884.296</w:t>
            </w:r>
          </w:p>
        </w:tc>
        <w:tc>
          <w:tcPr>
            <w:tcW w:w="128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7,59%</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2,984</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936.043</w:t>
            </w:r>
          </w:p>
        </w:tc>
        <w:tc>
          <w:tcPr>
            <w:tcW w:w="137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5,85%</w:t>
            </w:r>
          </w:p>
        </w:tc>
      </w:tr>
      <w:tr>
        <w:trPr>
          <w:trHeight w:val="71" w:hRule="atLeast"/>
        </w:trPr>
        <w:tc>
          <w:tcPr>
            <w:tcW w:w="1507" w:type="dxa"/>
            <w:tcBorders>
              <w:top w:val="nil"/>
              <w:bottom w:val="nil"/>
              <w:insideH w:val="nil"/>
            </w:tcBorders>
            <w:shd w:fill="auto" w:val="clear"/>
          </w:tcPr>
          <w:p>
            <w:pPr>
              <w:pStyle w:val="Normal"/>
              <w:spacing w:lineRule="auto" w:line="259" w:before="0" w:after="0"/>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Germania</w:t>
            </w:r>
          </w:p>
        </w:tc>
        <w:tc>
          <w:tcPr>
            <w:tcW w:w="1245"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2.481</w:t>
            </w:r>
          </w:p>
        </w:tc>
        <w:tc>
          <w:tcPr>
            <w:tcW w:w="133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418.145</w:t>
            </w:r>
          </w:p>
        </w:tc>
        <w:tc>
          <w:tcPr>
            <w:tcW w:w="128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3,59%</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2,606</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527.629</w:t>
            </w:r>
          </w:p>
        </w:tc>
        <w:tc>
          <w:tcPr>
            <w:tcW w:w="137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26,18%</w:t>
            </w:r>
          </w:p>
        </w:tc>
      </w:tr>
      <w:tr>
        <w:trPr>
          <w:trHeight w:val="71" w:hRule="atLeast"/>
        </w:trPr>
        <w:tc>
          <w:tcPr>
            <w:tcW w:w="1507" w:type="dxa"/>
            <w:tcBorders>
              <w:top w:val="nil"/>
              <w:bottom w:val="nil"/>
              <w:insideH w:val="nil"/>
            </w:tcBorders>
            <w:shd w:fill="auto" w:val="clear"/>
          </w:tcPr>
          <w:p>
            <w:pPr>
              <w:pStyle w:val="Normal"/>
              <w:spacing w:lineRule="auto" w:line="259" w:before="0" w:after="0"/>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Ungaria</w:t>
            </w:r>
          </w:p>
        </w:tc>
        <w:tc>
          <w:tcPr>
            <w:tcW w:w="1245"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34</w:t>
            </w:r>
          </w:p>
        </w:tc>
        <w:tc>
          <w:tcPr>
            <w:tcW w:w="133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1.336</w:t>
            </w:r>
          </w:p>
        </w:tc>
        <w:tc>
          <w:tcPr>
            <w:tcW w:w="128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0,01%</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34</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1.548</w:t>
            </w:r>
          </w:p>
        </w:tc>
        <w:tc>
          <w:tcPr>
            <w:tcW w:w="137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15,87%</w:t>
            </w:r>
          </w:p>
        </w:tc>
      </w:tr>
      <w:tr>
        <w:trPr>
          <w:trHeight w:val="71" w:hRule="atLeast"/>
        </w:trPr>
        <w:tc>
          <w:tcPr>
            <w:tcW w:w="1507" w:type="dxa"/>
            <w:tcBorders>
              <w:top w:val="nil"/>
              <w:bottom w:val="nil"/>
              <w:insideH w:val="nil"/>
            </w:tcBorders>
            <w:shd w:fill="auto" w:val="clear"/>
          </w:tcPr>
          <w:p>
            <w:pPr>
              <w:pStyle w:val="Normal"/>
              <w:spacing w:lineRule="auto" w:line="259" w:before="0" w:after="0"/>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Polonia</w:t>
            </w:r>
          </w:p>
        </w:tc>
        <w:tc>
          <w:tcPr>
            <w:tcW w:w="1245"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302</w:t>
            </w:r>
          </w:p>
        </w:tc>
        <w:tc>
          <w:tcPr>
            <w:tcW w:w="133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27.005</w:t>
            </w:r>
          </w:p>
        </w:tc>
        <w:tc>
          <w:tcPr>
            <w:tcW w:w="128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0,23%</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303</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27.296</w:t>
            </w:r>
          </w:p>
        </w:tc>
        <w:tc>
          <w:tcPr>
            <w:tcW w:w="137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1,08%</w:t>
            </w:r>
          </w:p>
        </w:tc>
      </w:tr>
      <w:tr>
        <w:trPr>
          <w:trHeight w:val="51" w:hRule="atLeast"/>
        </w:trPr>
        <w:tc>
          <w:tcPr>
            <w:tcW w:w="1507" w:type="dxa"/>
            <w:tcBorders>
              <w:top w:val="nil"/>
              <w:bottom w:val="nil"/>
              <w:insideH w:val="nil"/>
            </w:tcBorders>
            <w:shd w:fill="auto" w:val="clear"/>
          </w:tcPr>
          <w:p>
            <w:pPr>
              <w:pStyle w:val="Normal"/>
              <w:spacing w:lineRule="auto" w:line="259" w:before="0" w:after="0"/>
              <w:rPr>
                <w:rFonts w:ascii="Calibri" w:hAnsi="Calibri" w:cs="Calibri" w:asciiTheme="minorHAnsi" w:cstheme="minorHAnsi" w:hAnsiTheme="minorHAnsi"/>
                <w:b/>
                <w:b/>
                <w:bCs/>
                <w:color w:val="auto"/>
                <w:sz w:val="16"/>
                <w:szCs w:val="16"/>
                <w:lang w:val="ro-RO"/>
              </w:rPr>
            </w:pPr>
            <w:r>
              <w:rPr>
                <w:rFonts w:eastAsia="Times New Roman" w:cs="Calibri" w:cstheme="minorHAnsi"/>
                <w:b/>
                <w:bCs/>
                <w:color w:val="auto"/>
                <w:sz w:val="16"/>
                <w:szCs w:val="16"/>
                <w:lang w:val="ro-RO"/>
              </w:rPr>
              <w:t>România</w:t>
            </w:r>
          </w:p>
        </w:tc>
        <w:tc>
          <w:tcPr>
            <w:tcW w:w="1245"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b/>
                <w:b/>
                <w:bCs/>
                <w:color w:val="auto"/>
                <w:sz w:val="16"/>
                <w:szCs w:val="16"/>
              </w:rPr>
            </w:pPr>
            <w:r>
              <w:rPr>
                <w:rFonts w:eastAsia="Times New Roman" w:cs="Calibri" w:cstheme="minorHAnsi"/>
                <w:b/>
                <w:bCs/>
                <w:color w:val="auto"/>
                <w:sz w:val="16"/>
                <w:szCs w:val="16"/>
              </w:rPr>
              <w:t>81</w:t>
            </w:r>
          </w:p>
        </w:tc>
        <w:tc>
          <w:tcPr>
            <w:tcW w:w="133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b/>
                <w:b/>
                <w:bCs/>
                <w:color w:val="auto"/>
                <w:sz w:val="16"/>
                <w:szCs w:val="16"/>
              </w:rPr>
            </w:pPr>
            <w:r>
              <w:rPr>
                <w:rFonts w:eastAsia="Times New Roman" w:cs="Calibri" w:cstheme="minorHAnsi"/>
                <w:b/>
                <w:bCs/>
                <w:color w:val="auto"/>
                <w:sz w:val="16"/>
                <w:szCs w:val="16"/>
              </w:rPr>
              <w:t>4.037</w:t>
            </w:r>
          </w:p>
        </w:tc>
        <w:tc>
          <w:tcPr>
            <w:tcW w:w="128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b/>
                <w:b/>
                <w:bCs/>
                <w:color w:val="auto"/>
                <w:sz w:val="16"/>
                <w:szCs w:val="16"/>
              </w:rPr>
            </w:pPr>
            <w:r>
              <w:rPr>
                <w:rFonts w:eastAsia="Times New Roman" w:cs="Calibri" w:cstheme="minorHAnsi"/>
                <w:b/>
                <w:bCs/>
                <w:color w:val="auto"/>
                <w:sz w:val="16"/>
                <w:szCs w:val="16"/>
              </w:rPr>
              <w:t>0,03%</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b/>
                <w:b/>
                <w:color w:val="auto"/>
                <w:sz w:val="16"/>
                <w:szCs w:val="16"/>
              </w:rPr>
            </w:pPr>
            <w:r>
              <w:rPr>
                <w:rFonts w:eastAsia="Times New Roman" w:cs="Calibri" w:cstheme="minorHAnsi"/>
                <w:b/>
                <w:color w:val="auto"/>
                <w:sz w:val="16"/>
                <w:szCs w:val="16"/>
              </w:rPr>
              <w:t>86</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b/>
                <w:b/>
                <w:color w:val="auto"/>
                <w:sz w:val="16"/>
                <w:szCs w:val="16"/>
              </w:rPr>
            </w:pPr>
            <w:r>
              <w:rPr>
                <w:rFonts w:eastAsia="Times New Roman" w:cs="Calibri" w:cstheme="minorHAnsi"/>
                <w:b/>
                <w:color w:val="auto"/>
                <w:sz w:val="16"/>
                <w:szCs w:val="16"/>
              </w:rPr>
              <w:t>4.546</w:t>
            </w:r>
          </w:p>
        </w:tc>
        <w:tc>
          <w:tcPr>
            <w:tcW w:w="137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b/>
                <w:b/>
                <w:color w:val="auto"/>
                <w:sz w:val="16"/>
                <w:szCs w:val="16"/>
              </w:rPr>
            </w:pPr>
            <w:r>
              <w:rPr>
                <w:rFonts w:eastAsia="Times New Roman" w:cs="Calibri" w:cstheme="minorHAnsi"/>
                <w:b/>
                <w:color w:val="auto"/>
                <w:sz w:val="16"/>
                <w:szCs w:val="16"/>
              </w:rPr>
              <w:t>12,60%</w:t>
            </w:r>
          </w:p>
        </w:tc>
      </w:tr>
      <w:tr>
        <w:trPr>
          <w:trHeight w:val="51" w:hRule="atLeast"/>
        </w:trPr>
        <w:tc>
          <w:tcPr>
            <w:tcW w:w="1507" w:type="dxa"/>
            <w:tcBorders>
              <w:top w:val="nil"/>
              <w:bottom w:val="nil"/>
              <w:insideH w:val="nil"/>
            </w:tcBorders>
            <w:shd w:fill="auto" w:val="clear"/>
          </w:tcPr>
          <w:p>
            <w:pPr>
              <w:pStyle w:val="Normal"/>
              <w:spacing w:lineRule="auto" w:line="259" w:before="0" w:after="0"/>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Total țări analizate</w:t>
            </w:r>
          </w:p>
        </w:tc>
        <w:tc>
          <w:tcPr>
            <w:tcW w:w="1245"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6.977</w:t>
            </w:r>
          </w:p>
        </w:tc>
        <w:tc>
          <w:tcPr>
            <w:tcW w:w="133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1.438.307</w:t>
            </w:r>
          </w:p>
        </w:tc>
        <w:tc>
          <w:tcPr>
            <w:tcW w:w="128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12,35%</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7,090</w:t>
            </w:r>
          </w:p>
        </w:tc>
        <w:tc>
          <w:tcPr>
            <w:tcW w:w="1342"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1.619.195</w:t>
            </w:r>
          </w:p>
        </w:tc>
        <w:tc>
          <w:tcPr>
            <w:tcW w:w="1373" w:type="dxa"/>
            <w:tcBorders>
              <w:top w:val="nil"/>
              <w:bottom w:val="nil"/>
              <w:insideH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12,58%</w:t>
            </w:r>
          </w:p>
        </w:tc>
      </w:tr>
      <w:tr>
        <w:trPr>
          <w:trHeight w:val="71" w:hRule="atLeast"/>
        </w:trPr>
        <w:tc>
          <w:tcPr>
            <w:tcW w:w="1507" w:type="dxa"/>
            <w:tcBorders>
              <w:top w:val="nil"/>
            </w:tcBorders>
            <w:shd w:fill="auto" w:val="clear"/>
          </w:tcPr>
          <w:p>
            <w:pPr>
              <w:pStyle w:val="Normal"/>
              <w:spacing w:lineRule="auto" w:line="259" w:before="0" w:after="0"/>
              <w:rPr>
                <w:rFonts w:ascii="Calibri" w:hAnsi="Calibri" w:cs="Calibri" w:asciiTheme="minorHAnsi" w:cstheme="minorHAnsi" w:hAnsiTheme="minorHAnsi"/>
                <w:b/>
                <w:b/>
                <w:color w:val="auto"/>
                <w:sz w:val="16"/>
                <w:szCs w:val="16"/>
                <w:lang w:val="ro-RO"/>
              </w:rPr>
            </w:pPr>
            <w:r>
              <w:rPr>
                <w:rFonts w:eastAsia="Times New Roman" w:cs="Calibri" w:cstheme="minorHAnsi"/>
                <w:b/>
                <w:color w:val="auto"/>
                <w:sz w:val="16"/>
                <w:szCs w:val="16"/>
                <w:lang w:val="ro-RO"/>
              </w:rPr>
              <w:t>Total OPCVM</w:t>
            </w:r>
          </w:p>
        </w:tc>
        <w:tc>
          <w:tcPr>
            <w:tcW w:w="1245" w:type="dxa"/>
            <w:tcBorders>
              <w:top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34.351</w:t>
            </w:r>
          </w:p>
        </w:tc>
        <w:tc>
          <w:tcPr>
            <w:tcW w:w="1333" w:type="dxa"/>
            <w:tcBorders>
              <w:top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11.644.513</w:t>
            </w:r>
          </w:p>
        </w:tc>
        <w:tc>
          <w:tcPr>
            <w:tcW w:w="1282" w:type="dxa"/>
            <w:tcBorders>
              <w:top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100,00%</w:t>
            </w:r>
          </w:p>
        </w:tc>
        <w:tc>
          <w:tcPr>
            <w:tcW w:w="1342" w:type="dxa"/>
            <w:tcBorders>
              <w:top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35,040</w:t>
            </w:r>
          </w:p>
        </w:tc>
        <w:tc>
          <w:tcPr>
            <w:tcW w:w="1342" w:type="dxa"/>
            <w:tcBorders>
              <w:top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13.890.285</w:t>
            </w:r>
          </w:p>
        </w:tc>
        <w:tc>
          <w:tcPr>
            <w:tcW w:w="1373" w:type="dxa"/>
            <w:tcBorders>
              <w:top w:val="nil"/>
            </w:tcBorders>
            <w:shd w:fill="auto" w:val="clear"/>
            <w:vAlign w:val="center"/>
          </w:tcPr>
          <w:p>
            <w:pPr>
              <w:pStyle w:val="NoSpacing"/>
              <w:spacing w:lineRule="auto" w:line="259" w:before="0" w:after="0"/>
              <w:jc w:val="center"/>
              <w:rPr>
                <w:rFonts w:ascii="Calibri" w:hAnsi="Calibri" w:cs="Calibri" w:asciiTheme="minorHAnsi" w:cstheme="minorHAnsi" w:hAnsiTheme="minorHAnsi"/>
                <w:color w:val="auto"/>
                <w:sz w:val="16"/>
                <w:szCs w:val="16"/>
              </w:rPr>
            </w:pPr>
            <w:r>
              <w:rPr>
                <w:rFonts w:eastAsia="Times New Roman" w:cs="Calibri" w:cstheme="minorHAnsi"/>
                <w:color w:val="auto"/>
                <w:sz w:val="16"/>
                <w:szCs w:val="16"/>
              </w:rPr>
              <w:t>19,29%</w:t>
            </w:r>
          </w:p>
        </w:tc>
      </w:tr>
    </w:tbl>
    <w:p>
      <w:pPr>
        <w:pStyle w:val="Normal"/>
        <w:spacing w:before="0" w:after="60"/>
        <w:jc w:val="center"/>
        <w:rPr>
          <w:rFonts w:eastAsia="Times New Roman" w:cs="Calibri" w:cstheme="minorHAnsi"/>
          <w:i/>
          <w:i/>
          <w:sz w:val="18"/>
          <w:szCs w:val="20"/>
          <w:lang w:val="ro-RO" w:eastAsia="ro-RO"/>
        </w:rPr>
      </w:pPr>
      <w:r>
        <w:rPr>
          <w:rFonts w:eastAsia="Times New Roman" w:cs="Calibri" w:cstheme="minorHAnsi"/>
          <w:i/>
          <w:sz w:val="18"/>
          <w:szCs w:val="20"/>
          <w:lang w:val="ro-RO" w:eastAsia="ro-RO"/>
        </w:rPr>
        <w:t>Sursa: EFAMA</w:t>
      </w:r>
    </w:p>
    <w:p>
      <w:pPr>
        <w:pStyle w:val="Normal"/>
        <w:spacing w:before="0" w:after="120"/>
        <w:jc w:val="center"/>
        <w:rPr>
          <w:rFonts w:eastAsia="Times New Roman" w:cs="Calibri" w:cstheme="minorHAnsi"/>
          <w:sz w:val="18"/>
          <w:szCs w:val="20"/>
          <w:lang w:val="ro-RO" w:eastAsia="ro-RO"/>
        </w:rPr>
      </w:pPr>
      <w:r>
        <w:rPr>
          <w:rFonts w:eastAsia="Times New Roman" w:cs="Calibri" w:cstheme="minorHAnsi"/>
          <w:sz w:val="18"/>
          <w:szCs w:val="20"/>
          <w:lang w:val="ro-RO" w:eastAsia="ro-RO"/>
        </w:rPr>
      </w:r>
    </w:p>
    <w:p>
      <w:pPr>
        <w:pStyle w:val="Normal"/>
        <w:spacing w:before="0" w:after="120"/>
        <w:jc w:val="both"/>
        <w:rPr>
          <w:rFonts w:eastAsia="Times New Roman" w:cs="Calibri" w:cstheme="minorHAnsi"/>
          <w:szCs w:val="20"/>
          <w:lang w:val="ro-RO" w:eastAsia="ro-RO"/>
        </w:rPr>
      </w:pPr>
      <w:r>
        <w:rPr>
          <w:rFonts w:eastAsia="Times New Roman" w:cs="Calibri" w:cstheme="minorHAnsi"/>
          <w:szCs w:val="20"/>
          <w:lang w:val="ro-RO" w:eastAsia="ro-RO"/>
        </w:rPr>
        <w:t>Pe plan regional, la finalul anului 2021 România avea cea mai redusă dimensiune a pieței bursiere, măsurată prin rata capitalizării domestice raportată la PIB, respectiv de 11,9%.</w:t>
      </w:r>
    </w:p>
    <w:p>
      <w:pPr>
        <w:pStyle w:val="Normal"/>
        <w:spacing w:before="0" w:after="120"/>
        <w:jc w:val="both"/>
        <w:rPr>
          <w:rFonts w:eastAsia="Times New Roman" w:cs="Calibri" w:cstheme="minorHAnsi"/>
          <w:szCs w:val="20"/>
          <w:lang w:val="ro-RO" w:eastAsia="ro-RO"/>
        </w:rPr>
      </w:pPr>
      <w:r>
        <w:rPr>
          <w:rFonts w:eastAsia="Times New Roman" w:cs="Calibri" w:cstheme="minorHAnsi"/>
          <w:szCs w:val="20"/>
          <w:lang w:val="ro-RO" w:eastAsia="ro-RO"/>
        </w:rPr>
      </w:r>
    </w:p>
    <w:p>
      <w:pPr>
        <w:pStyle w:val="Caption1"/>
        <w:spacing w:lineRule="auto" w:line="259"/>
        <w:rPr/>
      </w:pPr>
      <w:bookmarkStart w:id="39" w:name="_Toc114571520"/>
      <w:r>
        <w:rPr/>
        <w:t xml:space="preserve">Figura </w:t>
      </w:r>
      <w:r>
        <w:rPr/>
        <w:fldChar w:fldCharType="begin"/>
      </w:r>
      <w:r>
        <w:rPr/>
        <w:instrText> SEQ Figura \* ARABIC </w:instrText>
      </w:r>
      <w:r>
        <w:rPr/>
        <w:fldChar w:fldCharType="separate"/>
      </w:r>
      <w:r>
        <w:rPr/>
        <w:t>11</w:t>
      </w:r>
      <w:r>
        <w:rPr/>
        <w:fldChar w:fldCharType="end"/>
      </w:r>
      <w:r>
        <w:rPr/>
        <w:t xml:space="preserve"> Capitalizarea bursieră domestică raporată la PIB (%)</w:t>
      </w:r>
      <w:bookmarkEnd w:id="39"/>
    </w:p>
    <w:p>
      <w:pPr>
        <w:pStyle w:val="Normal"/>
        <w:tabs>
          <w:tab w:val="clear" w:pos="720"/>
          <w:tab w:val="left" w:pos="291" w:leader="none"/>
        </w:tabs>
        <w:spacing w:before="0" w:after="120"/>
        <w:rPr>
          <w:rFonts w:eastAsia="Times New Roman" w:cs="Calibri" w:cstheme="minorHAnsi"/>
          <w:sz w:val="18"/>
          <w:szCs w:val="20"/>
          <w:lang w:val="ro-RO" w:eastAsia="ro-RO"/>
        </w:rPr>
      </w:pPr>
      <w:r>
        <w:rPr/>
        <w:drawing>
          <wp:inline distT="0" distB="0" distL="0" distR="0">
            <wp:extent cx="5943600" cy="3651885"/>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spacing w:before="0" w:after="60"/>
        <w:jc w:val="center"/>
        <w:rPr>
          <w:rFonts w:eastAsia="Times New Roman" w:cs="Calibri" w:cstheme="minorHAnsi"/>
          <w:i/>
          <w:i/>
          <w:sz w:val="18"/>
          <w:szCs w:val="20"/>
          <w:lang w:val="ro-RO" w:eastAsia="ro-RO"/>
        </w:rPr>
      </w:pPr>
      <w:r>
        <w:rPr>
          <w:rFonts w:eastAsia="Times New Roman" w:cs="Calibri" w:cstheme="minorHAnsi"/>
          <w:i/>
          <w:sz w:val="18"/>
          <w:szCs w:val="20"/>
          <w:lang w:val="ro-RO" w:eastAsia="ro-RO"/>
        </w:rPr>
        <w:t>Sursa: FESE, INS, ASF</w:t>
      </w:r>
    </w:p>
    <w:p>
      <w:pPr>
        <w:pStyle w:val="Normal"/>
        <w:spacing w:before="0" w:after="120"/>
        <w:rPr>
          <w:rFonts w:eastAsia="Times New Roman" w:cs="Calibri" w:cstheme="minorHAnsi"/>
          <w:i/>
          <w:i/>
          <w:sz w:val="18"/>
          <w:szCs w:val="20"/>
          <w:lang w:val="ro-RO" w:eastAsia="ro-RO"/>
        </w:rPr>
      </w:pPr>
      <w:r>
        <w:rPr>
          <w:rFonts w:eastAsia="Times New Roman" w:cs="Calibri" w:cstheme="minorHAnsi"/>
          <w:i/>
          <w:sz w:val="18"/>
          <w:szCs w:val="20"/>
          <w:lang w:val="ro-RO" w:eastAsia="ro-RO"/>
        </w:rPr>
      </w:r>
    </w:p>
    <w:p>
      <w:pPr>
        <w:pStyle w:val="Normal"/>
        <w:rPr>
          <w:rFonts w:cs="Calibri" w:cstheme="minorHAnsi"/>
          <w:lang w:val="ro-RO"/>
        </w:rPr>
      </w:pPr>
      <w:r>
        <w:rPr>
          <w:rFonts w:cs="Calibri" w:cstheme="minorHAnsi"/>
          <w:lang w:val="ro-RO"/>
        </w:rPr>
      </w:r>
    </w:p>
    <w:p>
      <w:pPr>
        <w:pStyle w:val="Heading3"/>
        <w:shd w:val="clear" w:color="auto" w:fill="DEEAF6" w:themeFill="accent1" w:themeFillTint="33"/>
        <w:spacing w:before="160" w:after="300"/>
        <w:rPr>
          <w:rFonts w:ascii="Calibri" w:hAnsi="Calibri" w:cs="Calibri" w:asciiTheme="minorHAnsi" w:cstheme="minorHAnsi" w:hAnsiTheme="minorHAnsi"/>
          <w:b/>
          <w:b/>
          <w:lang w:val="ro-RO"/>
        </w:rPr>
      </w:pPr>
      <w:bookmarkStart w:id="40" w:name="_Toc110535989"/>
      <w:r>
        <w:rPr>
          <w:rFonts w:cs="Calibri" w:ascii="Calibri" w:hAnsi="Calibri" w:asciiTheme="minorHAnsi" w:cstheme="minorHAnsi" w:hAnsiTheme="minorHAnsi"/>
          <w:b/>
          <w:lang w:val="ro-RO"/>
        </w:rPr>
        <w:t>3. Piața de acțiuni listate</w:t>
      </w:r>
      <w:bookmarkEnd w:id="40"/>
    </w:p>
    <w:p>
      <w:pPr>
        <w:pStyle w:val="Normal"/>
        <w:jc w:val="both"/>
        <w:rPr>
          <w:rFonts w:eastAsia="" w:cs="Calibri" w:cstheme="minorHAnsi" w:eastAsiaTheme="majorEastAsia"/>
          <w:b/>
          <w:b/>
          <w:color w:val="1F3864" w:themeColor="accent5" w:themeShade="80"/>
          <w:lang w:val="ro-RO"/>
        </w:rPr>
      </w:pPr>
      <w:r>
        <w:rPr>
          <w:rFonts w:eastAsia="" w:cs="Calibri" w:cstheme="minorHAnsi" w:eastAsiaTheme="majorEastAsia"/>
          <w:b/>
          <w:color w:val="1F3864" w:themeColor="accent5" w:themeShade="80"/>
          <w:lang w:val="ro-RO"/>
        </w:rPr>
        <w:t>Infrastructura Bursei de Valori București (BVB)</w:t>
      </w:r>
    </w:p>
    <w:p>
      <w:pPr>
        <w:pStyle w:val="Normal"/>
        <w:jc w:val="both"/>
        <w:rPr>
          <w:rFonts w:cs="Calibri" w:cstheme="minorHAnsi"/>
          <w:lang w:val="ro-RO"/>
        </w:rPr>
      </w:pPr>
      <w:r>
        <w:rPr>
          <w:rFonts w:cs="Calibri" w:cstheme="minorHAnsi"/>
          <w:lang w:val="ro-RO"/>
        </w:rPr>
        <w:t xml:space="preserve">În România, societățile private au luat naștere în urma procesului de reformă care a avut loc în anii 1990, perioadă în care s-a creat cadrul legal de funcționare și de reglementare a acestora prin adoptarea Legii privind reorganizare a întreprinderilor ca regii autonome şi societăţi comerciale (Legea nr.15/1990) și Legii de înființare a societăților comerciale private noi (Legea nr.31/1990). </w:t>
      </w:r>
    </w:p>
    <w:p>
      <w:pPr>
        <w:pStyle w:val="Normal"/>
        <w:jc w:val="both"/>
        <w:rPr>
          <w:rFonts w:cs="Calibri" w:cstheme="minorHAnsi"/>
          <w:lang w:val="ro-RO"/>
        </w:rPr>
      </w:pPr>
      <w:r>
        <w:rPr>
          <w:rFonts w:cs="Calibri" w:cstheme="minorHAnsi"/>
          <w:lang w:val="ro-RO"/>
        </w:rPr>
        <w:t xml:space="preserve">În cadrul procesului de reformă, piaţa de capital din România a fost recreată integral în 1994 prin Legea nr. 52/1994 privind valorile mobiliare şi bursele de valori, iar în 1995 s-a reînființat Bursa de Valori București, ca instituție de interes public, operator al pieței de capital. În 1997, la BVB s-au listat primele companii de importanță națională și a fost creat primul indice bursier BET.  </w:t>
      </w:r>
    </w:p>
    <w:p>
      <w:pPr>
        <w:pStyle w:val="Normal"/>
        <w:jc w:val="both"/>
        <w:rPr>
          <w:rFonts w:cs="Calibri" w:cstheme="minorHAnsi"/>
          <w:lang w:val="ro-RO"/>
        </w:rPr>
      </w:pPr>
      <w:r>
        <w:rPr>
          <w:rFonts w:cs="Calibri" w:cstheme="minorHAnsi"/>
          <w:lang w:val="ro-RO"/>
        </w:rPr>
        <w:t xml:space="preserve">Începând cu 2006, cu scopul de a asigurara compensarea și decontarea tranzacțiilor realizate la BVB, precum și de a ține evidența registrelor societăților emitente, în 2006 a fost înființat </w:t>
      </w:r>
      <w:r>
        <w:rPr>
          <w:rFonts w:cs="Calibri" w:cstheme="minorHAnsi"/>
          <w:b/>
          <w:lang w:val="ro-RO"/>
        </w:rPr>
        <w:t>Depozitarul Central (DC)</w:t>
      </w:r>
      <w:r>
        <w:rPr>
          <w:rFonts w:cs="Calibri" w:cstheme="minorHAnsi"/>
          <w:lang w:val="ro-RO"/>
        </w:rPr>
        <w:t>.</w:t>
      </w:r>
    </w:p>
    <w:p>
      <w:pPr>
        <w:pStyle w:val="Normal"/>
        <w:jc w:val="both"/>
        <w:rPr>
          <w:lang w:val="ro-RO"/>
        </w:rPr>
      </w:pPr>
      <w:r>
        <w:rPr>
          <w:lang w:val="ro-RO"/>
        </w:rPr>
        <w:t xml:space="preserve">Depozitarul Central, alături de Bursa de Valori București, este cea mai importantă instituție de infrastructură a pieței de capital locale. Acesta îndeplinește multiple roluri, dintre care cele mai vizibile și mai importante sunt acelea de evidență a deținerilor și de asigurare a finalizării proceselor de compensare și decontare. La finalul anului 2019, Depozitarul Central a fost autorizat de către Autoritatea de Supraveghere Financiară (în calitate de autoritate competentă), Banca Națională a României și Banca Centrală Europeană (în calitate de autorități relevante) în conformitate cu Regulamentul UE nr. 909/2014 (CSDR) al Parlamentului European și al Consiliului din 23 iulie 2014 privind îmbunătățirea decontării titlurilor de valoare în Uniunea Europeană și privind depozitarii centrali de titluri de valoare, fiind înscris în Registrul Depozitarilor Centrali al ESMA. Autorizația confirmă faptul că Depozitarul Central îndeplinește cerințele CSDR, are un rol important în crearea unui cadru post tranzacționare unitar în Uniunea Europeană prin introducerea unui set de reguli comune și reducerea complexității reglementării la nivelul pieței financiare europene, cauzată de norme naționale diferite. Noile reglementări europene au rolul de a crește transparența, siguranța și eficiența operațiunilor de decontare și a serviciilor de registru ale Depozitarului Central. </w:t>
      </w:r>
    </w:p>
    <w:p>
      <w:pPr>
        <w:pStyle w:val="Normal"/>
        <w:jc w:val="both"/>
        <w:rPr>
          <w:rFonts w:cs="Calibri" w:cstheme="minorHAnsi"/>
          <w:lang w:val="ro-RO"/>
        </w:rPr>
      </w:pPr>
      <w:r>
        <w:rPr>
          <w:lang w:val="ro-RO"/>
        </w:rPr>
        <w:t>Îmbunătățirea infrastructurii post tranzacționare a avut loc în contextul clasificării BVB ca piață emergentă de către FTSE Russell în anul 2019, iar începând cu finalul lunii septembrie 2020 BVB a fost promovată la statutul de „piaţă emergentă”, în urma unei decizii luate de agenţia de evaluare financiară FTSE Russell. Totodată, Depozitarul Central este singura instituție din România autorizată să emită coduri LEI27 pentru entități juridice din România.</w:t>
      </w:r>
    </w:p>
    <w:p>
      <w:pPr>
        <w:pStyle w:val="Normal"/>
        <w:jc w:val="both"/>
        <w:rPr>
          <w:rFonts w:cs="Calibri" w:cstheme="minorHAnsi"/>
          <w:lang w:val="ro-RO"/>
        </w:rPr>
      </w:pPr>
      <w:r>
        <w:rPr>
          <w:rFonts w:cs="Calibri" w:cstheme="minorHAnsi"/>
          <w:lang w:val="ro-RO"/>
        </w:rPr>
        <w:t xml:space="preserve">Contrapartea Centrală CCP.RO Bucharest SA a fost înființată în anul 2019, având un capital social de 79,8 milioane de lei, de către acționarii majoritari BVB (59,52%) și OPCOM (19,06%), precum și de către ENEL (9,52%), TIMAR (2,97%), Banca Transilvania (2,97%), trei societăți de investiții financiare (SIF1, SIF3, SIF - ce dețin fiecare 1,79%) și SSIF Broker (0,59%). În prezent, contrapartea centrală nu este încă operațională. </w:t>
      </w:r>
    </w:p>
    <w:p>
      <w:pPr>
        <w:pStyle w:val="Normal"/>
        <w:jc w:val="both"/>
        <w:rPr>
          <w:rFonts w:cs="Calibri" w:cstheme="minorHAnsi"/>
          <w:lang w:val="ro-RO"/>
        </w:rPr>
      </w:pPr>
      <w:r>
        <w:rPr>
          <w:rFonts w:cs="Calibri" w:cstheme="minorHAnsi"/>
          <w:lang w:val="ro-RO"/>
        </w:rPr>
        <w:t xml:space="preserve"> </w:t>
      </w:r>
      <w:r>
        <w:rPr>
          <w:rFonts w:cs="Calibri" w:cstheme="minorHAnsi"/>
          <w:lang w:val="ro-RO"/>
        </w:rPr>
        <w:t xml:space="preserve">Cu toate acestea, în anul 2020, Bursa de Valori a încheiat un parteneriat cu Cassa di Compensazione e Garanzia (CC&amp;G), unul dintre furnizorii de servicii post-tranzacţionare şi parte a London Stock Exchange Group (LSEG). Prin acest parteneriat CC&amp;G oferă atât consultanţă privind stabilirea Contrapărţii Centrale în România, cât şi asistenţă tehnologică specifică serviciilor de compensare şi management al riscului care vor fi derulate de către CCP.RO. </w:t>
      </w:r>
    </w:p>
    <w:p>
      <w:pPr>
        <w:pStyle w:val="Normal"/>
        <w:jc w:val="both"/>
        <w:rPr>
          <w:rFonts w:cs="Calibri" w:cstheme="minorHAnsi"/>
          <w:lang w:val="ro-RO"/>
        </w:rPr>
      </w:pPr>
      <w:r>
        <w:rPr>
          <w:rFonts w:cs="Calibri" w:cstheme="minorHAnsi"/>
          <w:lang w:val="ro-RO"/>
        </w:rPr>
        <w:t>După obținerea tuturor autorizațiilor necesare, CCP.RO Bucharest SA va furniza infrastructura care va permite relansarea şi dezvoltarea pieţei derivatelor în România şi va asigura mecanisme noi pentru diminuarea şi transferul riscurilor la nivelul pieţelor deservite, şi anume pieţele operate de BVB şi, respectiv, de OPCOM SA, contribuind la creşterea încrederii şi activităţii pe aceste pieţe.</w:t>
      </w:r>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Segmentele pieței reglementate ale BVB</w:t>
      </w:r>
    </w:p>
    <w:p>
      <w:pPr>
        <w:pStyle w:val="Normal"/>
        <w:jc w:val="both"/>
        <w:rPr>
          <w:rFonts w:cs="Calibri" w:cstheme="minorHAnsi"/>
          <w:lang w:val="ro-RO"/>
        </w:rPr>
      </w:pPr>
      <w:r>
        <w:rPr>
          <w:rFonts w:cs="Calibri" w:cstheme="minorHAnsi"/>
          <w:lang w:val="ro-RO"/>
        </w:rPr>
        <w:t>Bursa de Valori București este autorizată de către Autoritatea de Supraveghere Financiară (ASF) să administreze două piețe: piața reglementată (PR) și sistemul multilateral de tranzacționare (SMT), denumirea comercială utilizată de BVB pentru segmentul principal al acestui sistem fiind AeRO.</w:t>
      </w:r>
    </w:p>
    <w:p>
      <w:pPr>
        <w:pStyle w:val="Normal"/>
        <w:jc w:val="both"/>
        <w:rPr>
          <w:rFonts w:cs="Calibri" w:cstheme="minorHAnsi"/>
          <w:lang w:val="ro-RO"/>
        </w:rPr>
      </w:pPr>
      <w:r>
        <w:rPr>
          <w:rFonts w:cs="Calibri" w:cstheme="minorHAnsi"/>
          <w:lang w:val="ro-RO"/>
        </w:rPr>
        <w:t>Piața reglementată este piața la vedere (spot) principală a BVB, care vizează companii mari. Pentru a deveni listate pe Piața Principală, companiile trebuie să fie înființate ca societăți pe acțiuni și să aibă o capitalizare bursieră minimă de 1 milion EUR. În plus, companiile trebuie să aibă cel puțin 25% free float și un istoric de raportare financiară de minim 3 ani. Pentru cele trei niveluri ale Pieței Principale: Premium, Standard și Internațional există cerințe specifice.</w:t>
      </w:r>
    </w:p>
    <w:p>
      <w:pPr>
        <w:pStyle w:val="Normal"/>
        <w:jc w:val="both"/>
        <w:rPr>
          <w:rFonts w:cs="Calibri" w:cstheme="minorHAnsi"/>
          <w:lang w:val="ro-RO"/>
        </w:rPr>
      </w:pPr>
      <w:r>
        <w:rPr>
          <w:rFonts w:eastAsia="Times New Roman" w:cs="Calibri" w:cstheme="minorHAnsi"/>
          <w:color w:val="000000"/>
          <w:sz w:val="20"/>
          <w:szCs w:val="20"/>
          <w:lang w:val="ro-RO"/>
        </w:rPr>
        <w:t xml:space="preserve">În </w:t>
      </w:r>
      <w:r>
        <w:rPr>
          <w:rFonts w:cs="Calibri" w:cstheme="minorHAnsi"/>
          <w:lang w:val="ro-RO"/>
        </w:rPr>
        <w:t xml:space="preserve">ceea ce privește procesul de listare pe piața principală a BVB, exista trei metode: </w:t>
      </w:r>
      <w:r>
        <w:rPr>
          <w:rFonts w:cs="Calibri" w:cstheme="minorHAnsi"/>
          <w:b/>
          <w:lang w:val="ro-RO"/>
        </w:rPr>
        <w:t>Ofertă Publică Inițială (Inițial Public Offering/ IPO)</w:t>
      </w:r>
      <w:r>
        <w:rPr>
          <w:rFonts w:cs="Calibri" w:cstheme="minorHAnsi"/>
          <w:lang w:val="ro-RO"/>
        </w:rPr>
        <w:t xml:space="preserve">, </w:t>
      </w:r>
      <w:r>
        <w:rPr>
          <w:rFonts w:cs="Calibri" w:cstheme="minorHAnsi"/>
          <w:b/>
          <w:lang w:val="ro-RO"/>
        </w:rPr>
        <w:t>Plasament Privat și Listare tehnică</w:t>
      </w:r>
      <w:r>
        <w:rPr>
          <w:rFonts w:cs="Calibri" w:cstheme="minorHAnsi"/>
          <w:lang w:val="ro-RO"/>
        </w:rPr>
        <w:t xml:space="preserve">. </w:t>
      </w:r>
    </w:p>
    <w:p>
      <w:pPr>
        <w:pStyle w:val="NormalWeb"/>
        <w:shd w:val="clear" w:color="auto" w:fill="FFFFFF"/>
        <w:spacing w:lineRule="auto" w:line="259" w:before="0" w:after="160"/>
        <w:jc w:val="both"/>
        <w:rPr>
          <w:rFonts w:ascii="Calibri" w:hAnsi="Calibri" w:eastAsia="Calibri" w:cs="Calibri" w:asciiTheme="minorHAnsi" w:cstheme="minorHAnsi" w:eastAsiaTheme="minorHAnsi" w:hAnsiTheme="minorHAnsi"/>
          <w:sz w:val="22"/>
          <w:szCs w:val="22"/>
          <w:lang w:val="ro-RO"/>
        </w:rPr>
      </w:pPr>
      <w:r>
        <w:rPr>
          <w:rFonts w:eastAsia="Calibri" w:cs="Calibri" w:ascii="Calibri" w:hAnsi="Calibri" w:asciiTheme="minorHAnsi" w:cstheme="minorHAnsi" w:eastAsiaTheme="minorHAnsi" w:hAnsiTheme="minorHAnsi"/>
          <w:sz w:val="22"/>
          <w:szCs w:val="22"/>
          <w:lang w:val="ro-RO"/>
        </w:rPr>
        <w:t>Începând cu anul 2015 este funcțional segmentul de acțiuni al Sistemului Alternativ de Tranzacționare al BVB (Piața AeRO) conceput pentru a permite listarea instrumentelor financiare emise de către IMM -uri și start-up-uri.</w:t>
      </w:r>
    </w:p>
    <w:p>
      <w:pPr>
        <w:pStyle w:val="NormalWeb"/>
        <w:shd w:val="clear" w:color="auto" w:fill="FFFFFF"/>
        <w:spacing w:lineRule="auto" w:line="259" w:before="0" w:after="160"/>
        <w:jc w:val="both"/>
        <w:rPr>
          <w:rFonts w:ascii="Calibri" w:hAnsi="Calibri" w:eastAsia="Calibri" w:cs="Calibri" w:asciiTheme="minorHAnsi" w:cstheme="minorHAnsi" w:eastAsiaTheme="minorHAnsi" w:hAnsiTheme="minorHAnsi"/>
          <w:sz w:val="22"/>
          <w:szCs w:val="22"/>
          <w:lang w:val="ro-RO"/>
        </w:rPr>
      </w:pPr>
      <w:r>
        <w:rPr>
          <w:rFonts w:eastAsia="Calibri" w:cs="Calibri" w:ascii="Calibri" w:hAnsi="Calibri" w:asciiTheme="minorHAnsi" w:cstheme="minorHAnsi" w:eastAsiaTheme="minorHAnsi" w:hAnsiTheme="minorHAnsi"/>
          <w:sz w:val="22"/>
          <w:szCs w:val="22"/>
          <w:lang w:val="ro-RO"/>
        </w:rPr>
        <w:t>Pentru a deveni listate pe Piața AeRO, companiile trebuie să fie înființate ca societăți pe acțiuni (SA), să aibă capitaluri proprii de minimum 250 mii EUR și un free float de 10% sau să aibă minimum 30 de acționari.</w:t>
      </w:r>
    </w:p>
    <w:p>
      <w:pPr>
        <w:pStyle w:val="Normal"/>
        <w:spacing w:before="0" w:after="0"/>
        <w:jc w:val="both"/>
        <w:rPr>
          <w:rFonts w:cs="Calibri" w:cstheme="minorHAnsi"/>
          <w:i/>
          <w:i/>
          <w:color w:val="1F3864" w:themeColor="accent5" w:themeShade="80"/>
          <w:sz w:val="18"/>
          <w:szCs w:val="20"/>
          <w:lang w:val="ro-RO"/>
        </w:rPr>
      </w:pPr>
      <w:bookmarkStart w:id="41" w:name="_Toc110530368"/>
      <w:r>
        <w:rPr>
          <w:rFonts w:cs="Calibri" w:cstheme="minorHAnsi"/>
          <w:i/>
          <w:color w:val="1F3864" w:themeColor="accent5" w:themeShade="80"/>
          <w:sz w:val="18"/>
          <w:szCs w:val="20"/>
          <w:lang w:val="ro-RO"/>
        </w:rPr>
        <w:t xml:space="preserve">Tabelul </w:t>
      </w:r>
      <w:r>
        <w:rPr>
          <w:rFonts w:cs="Calibri" w:cstheme="minorHAnsi"/>
          <w:i/>
          <w:color w:val="1F3864" w:themeColor="accent5" w:themeShade="80"/>
          <w:sz w:val="18"/>
          <w:szCs w:val="20"/>
          <w:lang w:val="ro-RO"/>
        </w:rPr>
        <w:fldChar w:fldCharType="begin"/>
      </w:r>
      <w:r>
        <w:rPr>
          <w:sz w:val="18"/>
          <w:i/>
          <w:szCs w:val="20"/>
          <w:rFonts w:cs="Calibri"/>
        </w:rPr>
        <w:instrText> SEQ Tabelul \* ARABIC </w:instrText>
      </w:r>
      <w:r>
        <w:rPr>
          <w:sz w:val="18"/>
          <w:i/>
          <w:szCs w:val="20"/>
          <w:rFonts w:cs="Calibri"/>
        </w:rPr>
        <w:fldChar w:fldCharType="separate"/>
      </w:r>
      <w:r>
        <w:rPr>
          <w:sz w:val="18"/>
          <w:i/>
          <w:szCs w:val="20"/>
          <w:rFonts w:cs="Calibri"/>
        </w:rPr>
        <w:t>3</w:t>
      </w:r>
      <w:r>
        <w:rPr>
          <w:sz w:val="18"/>
          <w:i/>
          <w:szCs w:val="20"/>
          <w:rFonts w:cs="Calibri"/>
        </w:rPr>
        <w:fldChar w:fldCharType="end"/>
      </w:r>
      <w:r>
        <w:rPr>
          <w:rFonts w:cs="Calibri" w:cstheme="minorHAnsi"/>
          <w:i/>
          <w:color w:val="1F3864" w:themeColor="accent5" w:themeShade="80"/>
          <w:sz w:val="18"/>
          <w:szCs w:val="20"/>
          <w:lang w:val="ro-RO"/>
        </w:rPr>
        <w:t xml:space="preserve"> Evoluția numărului de companii listate, împreună cu capitalizarea și numărul de intermediari</w:t>
      </w:r>
      <w:bookmarkEnd w:id="41"/>
      <w:r>
        <w:rPr>
          <w:rFonts w:cs="Calibri" w:cstheme="minorHAnsi"/>
          <w:i/>
          <w:color w:val="1F3864" w:themeColor="accent5" w:themeShade="80"/>
          <w:sz w:val="18"/>
          <w:szCs w:val="20"/>
          <w:lang w:val="ro-RO"/>
        </w:rPr>
        <w:t xml:space="preserve"> </w:t>
      </w:r>
    </w:p>
    <w:tbl>
      <w:tblPr>
        <w:tblStyle w:val="TableGrid"/>
        <w:tblW w:w="10348" w:type="dxa"/>
        <w:jc w:val="left"/>
        <w:tblInd w:w="0" w:type="dxa"/>
        <w:tblCellMar>
          <w:top w:w="0" w:type="dxa"/>
          <w:left w:w="108" w:type="dxa"/>
          <w:bottom w:w="0" w:type="dxa"/>
          <w:right w:w="108" w:type="dxa"/>
        </w:tblCellMar>
        <w:tblLook w:firstRow="1" w:noVBand="1" w:lastRow="0" w:firstColumn="1" w:lastColumn="0" w:noHBand="0" w:val="04a0"/>
      </w:tblPr>
      <w:tblGrid>
        <w:gridCol w:w="5240"/>
        <w:gridCol w:w="5107"/>
      </w:tblGrid>
      <w:tr>
        <w:trPr/>
        <w:tc>
          <w:tcPr>
            <w:tcW w:w="5240" w:type="dxa"/>
            <w:tcBorders>
              <w:top w:val="nil"/>
              <w:left w:val="nil"/>
              <w:bottom w:val="nil"/>
              <w:right w:val="nil"/>
              <w:insideH w:val="nil"/>
              <w:insideV w:val="nil"/>
            </w:tcBorders>
            <w:shd w:fill="auto" w:val="clear"/>
          </w:tcPr>
          <w:tbl>
            <w:tblPr>
              <w:tblW w:w="4834" w:type="dxa"/>
              <w:jc w:val="left"/>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Look w:firstRow="1" w:noVBand="1" w:lastRow="0" w:firstColumn="1" w:lastColumn="0" w:noHBand="0" w:val="04a0"/>
            </w:tblPr>
            <w:tblGrid>
              <w:gridCol w:w="693"/>
              <w:gridCol w:w="1800"/>
              <w:gridCol w:w="1080"/>
              <w:gridCol w:w="1260"/>
            </w:tblGrid>
            <w:tr>
              <w:trPr>
                <w:trHeight w:val="288" w:hRule="atLeast"/>
              </w:trPr>
              <w:tc>
                <w:tcPr>
                  <w:tcW w:w="4833" w:type="dxa"/>
                  <w:gridSpan w:val="4"/>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bottom"/>
                </w:tcPr>
                <w:p>
                  <w:pPr>
                    <w:pStyle w:val="Normal"/>
                    <w:spacing w:lineRule="auto" w:line="259" w:before="0" w:after="0"/>
                    <w:jc w:val="both"/>
                    <w:rPr>
                      <w:rFonts w:cs="Calibri" w:cstheme="minorHAnsi"/>
                      <w:b/>
                      <w:b/>
                      <w:color w:val="002060"/>
                      <w:sz w:val="20"/>
                      <w:lang w:val="ro-RO"/>
                    </w:rPr>
                  </w:pPr>
                  <w:r>
                    <w:rPr>
                      <w:rFonts w:cs="Calibri" w:cstheme="minorHAnsi"/>
                      <w:b/>
                      <w:color w:val="002060"/>
                      <w:sz w:val="20"/>
                      <w:lang w:val="ro-RO"/>
                    </w:rPr>
                    <w:t>Piața reglementată administrată de BVB</w:t>
                  </w:r>
                </w:p>
              </w:tc>
            </w:tr>
            <w:tr>
              <w:trPr>
                <w:trHeight w:val="984"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both"/>
                    <w:rPr>
                      <w:rFonts w:cs="Calibri" w:cstheme="minorHAnsi"/>
                      <w:color w:val="002060"/>
                      <w:sz w:val="20"/>
                      <w:lang w:val="ro-RO"/>
                    </w:rPr>
                  </w:pPr>
                  <w:r>
                    <w:rPr>
                      <w:rFonts w:cs="Calibri" w:cstheme="minorHAnsi"/>
                      <w:color w:val="002060"/>
                      <w:sz w:val="20"/>
                      <w:lang w:val="ro-RO"/>
                    </w:rPr>
                    <w:t>Capitalizare</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Nr. companii listate</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both"/>
                    <w:rPr>
                      <w:rFonts w:cs="Calibri" w:cstheme="minorHAnsi"/>
                      <w:color w:val="002060"/>
                      <w:sz w:val="20"/>
                      <w:lang w:val="ro-RO"/>
                    </w:rPr>
                  </w:pPr>
                  <w:r>
                    <w:rPr>
                      <w:rFonts w:cs="Calibri" w:cstheme="minorHAnsi"/>
                      <w:color w:val="002060"/>
                      <w:sz w:val="20"/>
                      <w:lang w:val="ro-RO"/>
                    </w:rPr>
                    <w:t>Nr. intermediari</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2022</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210,956,880,664</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83</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26</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2021</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229,078,499,225</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82</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26</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2020</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154,365,399,699</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83</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27</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2019</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180,853,631,502</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83</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27</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2018</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142,986,113,235</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87</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27</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2017</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164,376,159,957</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87</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34</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2016</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146,549,746,292</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86</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38</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2015</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146,002,473,957</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84</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38</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2014</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129,958,141,655</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83</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40</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2013</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133,829,707,066</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83</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43</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2012</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97,720,863,603</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79</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54</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2011</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70,782,200,350</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79</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61</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2010</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102,442,620,945</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74</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65</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2009</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80,074,496,090</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69</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71</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2008</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45,701,492,619</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68</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76</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2007</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85,962,389,149</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59</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73</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2006</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73,341,789,546</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58</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73</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2005</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56,065,586,985</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64</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70</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2004</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34,147,400,000</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60</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67</w:t>
                  </w:r>
                </w:p>
              </w:tc>
            </w:tr>
            <w:tr>
              <w:trPr>
                <w:trHeight w:val="288" w:hRule="atLeast"/>
              </w:trPr>
              <w:tc>
                <w:tcPr>
                  <w:tcW w:w="693"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2003</w:t>
                  </w:r>
                </w:p>
              </w:tc>
              <w:tc>
                <w:tcPr>
                  <w:tcW w:w="180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12,186,600,000</w:t>
                  </w:r>
                </w:p>
              </w:tc>
              <w:tc>
                <w:tcPr>
                  <w:tcW w:w="108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62</w:t>
                  </w:r>
                </w:p>
              </w:tc>
              <w:tc>
                <w:tcPr>
                  <w:tcW w:w="126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73</w:t>
                  </w:r>
                </w:p>
              </w:tc>
            </w:tr>
          </w:tbl>
          <w:p>
            <w:pPr>
              <w:pStyle w:val="Normal"/>
              <w:spacing w:lineRule="auto" w:line="259" w:before="0" w:after="160"/>
              <w:jc w:val="both"/>
              <w:rPr>
                <w:rFonts w:cs="Calibri" w:cstheme="minorHAnsi"/>
                <w:color w:val="002060"/>
                <w:lang w:val="ro-RO"/>
              </w:rPr>
            </w:pPr>
            <w:r>
              <w:rPr>
                <w:rFonts w:cs="Calibri" w:cstheme="minorHAnsi"/>
                <w:color w:val="002060"/>
                <w:lang w:val="ro-RO"/>
              </w:rPr>
            </w:r>
          </w:p>
        </w:tc>
        <w:tc>
          <w:tcPr>
            <w:tcW w:w="5107" w:type="dxa"/>
            <w:tcBorders/>
            <w:shd w:fill="auto" w:val="clear"/>
          </w:tcPr>
          <w:tbl>
            <w:tblPr>
              <w:tblW w:w="4992" w:type="dxa"/>
              <w:jc w:val="left"/>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Look w:firstRow="1" w:noVBand="1" w:lastRow="0" w:firstColumn="1" w:lastColumn="0" w:noHBand="0" w:val="04a0"/>
            </w:tblPr>
            <w:tblGrid>
              <w:gridCol w:w="734"/>
              <w:gridCol w:w="1561"/>
              <w:gridCol w:w="1170"/>
              <w:gridCol w:w="1526"/>
            </w:tblGrid>
            <w:tr>
              <w:trPr>
                <w:trHeight w:val="284" w:hRule="atLeast"/>
              </w:trPr>
              <w:tc>
                <w:tcPr>
                  <w:tcW w:w="4991" w:type="dxa"/>
                  <w:gridSpan w:val="4"/>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bottom"/>
                </w:tcPr>
                <w:p>
                  <w:pPr>
                    <w:pStyle w:val="Normal"/>
                    <w:spacing w:lineRule="auto" w:line="259" w:before="0" w:after="0"/>
                    <w:jc w:val="both"/>
                    <w:rPr>
                      <w:rFonts w:cs="Calibri" w:cstheme="minorHAnsi"/>
                      <w:b/>
                      <w:b/>
                      <w:color w:val="002060"/>
                      <w:sz w:val="20"/>
                      <w:lang w:val="ro-RO"/>
                    </w:rPr>
                  </w:pPr>
                  <w:r>
                    <w:rPr>
                      <w:rFonts w:cs="Calibri" w:cstheme="minorHAnsi"/>
                      <w:b/>
                      <w:color w:val="002060"/>
                      <w:sz w:val="20"/>
                      <w:lang w:val="ro-RO"/>
                    </w:rPr>
                    <w:t>Sistemul multilateral de tranzacționare administrat de BVB (AeRO)</w:t>
                  </w:r>
                </w:p>
              </w:tc>
            </w:tr>
            <w:tr>
              <w:trPr>
                <w:trHeight w:val="782"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both"/>
                    <w:rPr>
                      <w:rFonts w:cs="Calibri" w:cstheme="minorHAnsi"/>
                      <w:color w:val="002060"/>
                      <w:sz w:val="20"/>
                      <w:lang w:val="ro-RO"/>
                    </w:rPr>
                  </w:pPr>
                  <w:r>
                    <w:rPr>
                      <w:rFonts w:cs="Calibri" w:cstheme="minorHAnsi"/>
                      <w:color w:val="002060"/>
                      <w:sz w:val="20"/>
                      <w:lang w:val="ro-RO"/>
                    </w:rPr>
                    <w:t xml:space="preserve">Capitalizare </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both"/>
                    <w:rPr>
                      <w:rFonts w:cs="Calibri" w:cstheme="minorHAnsi"/>
                      <w:color w:val="002060"/>
                      <w:sz w:val="20"/>
                      <w:lang w:val="ro-RO"/>
                    </w:rPr>
                  </w:pPr>
                  <w:r>
                    <w:rPr>
                      <w:rFonts w:cs="Calibri" w:cstheme="minorHAnsi"/>
                      <w:color w:val="002060"/>
                      <w:sz w:val="20"/>
                      <w:lang w:val="ro-RO"/>
                    </w:rPr>
                    <w:t>Număr companii listate</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both"/>
                    <w:rPr>
                      <w:rFonts w:cs="Calibri" w:cstheme="minorHAnsi"/>
                      <w:color w:val="002060"/>
                      <w:sz w:val="20"/>
                      <w:lang w:val="ro-RO"/>
                    </w:rPr>
                  </w:pPr>
                  <w:r>
                    <w:rPr>
                      <w:rFonts w:cs="Calibri" w:cstheme="minorHAnsi"/>
                      <w:color w:val="002060"/>
                      <w:sz w:val="20"/>
                      <w:lang w:val="ro-RO"/>
                    </w:rPr>
                    <w:t>Număr intermediari</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2022</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14,766,230,070</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296</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19</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2021</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19,801,809,297</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298</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19</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2020</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9,739,356,237</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288</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2019</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8,927,502,703</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298</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2018</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7,392,354,754</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310</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22</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2017</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6,215,611,962</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316</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28</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2016</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4,241,612,026</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292</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32</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2015</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3,854,076,943</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306</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33</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2014</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0</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36</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34</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2013</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0</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29</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36</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2012</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0</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27</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45</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2011</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0</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10</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48</w:t>
                  </w:r>
                </w:p>
              </w:tc>
            </w:tr>
            <w:tr>
              <w:trPr>
                <w:trHeight w:val="284" w:hRule="atLeast"/>
              </w:trPr>
              <w:tc>
                <w:tcPr>
                  <w:tcW w:w="73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2010</w:t>
                  </w:r>
                </w:p>
              </w:tc>
              <w:tc>
                <w:tcPr>
                  <w:tcW w:w="1561"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0</w:t>
                  </w:r>
                </w:p>
              </w:tc>
              <w:tc>
                <w:tcPr>
                  <w:tcW w:w="1170"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1</w:t>
                  </w:r>
                </w:p>
              </w:tc>
              <w:tc>
                <w:tcPr>
                  <w:tcW w:w="152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bottom"/>
                </w:tcPr>
                <w:p>
                  <w:pPr>
                    <w:pStyle w:val="Normal"/>
                    <w:spacing w:before="0" w:after="0"/>
                    <w:jc w:val="both"/>
                    <w:rPr>
                      <w:rFonts w:cs="Calibri" w:cstheme="minorHAnsi"/>
                      <w:color w:val="002060"/>
                      <w:sz w:val="20"/>
                      <w:lang w:val="ro-RO"/>
                    </w:rPr>
                  </w:pPr>
                  <w:r>
                    <w:rPr>
                      <w:rFonts w:cs="Calibri" w:cstheme="minorHAnsi"/>
                      <w:color w:val="002060"/>
                      <w:sz w:val="20"/>
                      <w:lang w:val="ro-RO"/>
                    </w:rPr>
                    <w:t>45</w:t>
                  </w:r>
                </w:p>
              </w:tc>
            </w:tr>
          </w:tbl>
          <w:p>
            <w:pPr>
              <w:pStyle w:val="Normal"/>
              <w:spacing w:lineRule="auto" w:line="259" w:before="0" w:after="160"/>
              <w:jc w:val="both"/>
              <w:rPr>
                <w:rFonts w:cs="Calibri" w:cstheme="minorHAnsi"/>
                <w:color w:val="002060"/>
                <w:lang w:val="ro-RO"/>
              </w:rPr>
            </w:pPr>
            <w:r>
              <w:rPr>
                <w:rFonts w:cs="Calibri" w:cstheme="minorHAnsi"/>
                <w:color w:val="002060"/>
                <w:lang w:val="ro-RO"/>
              </w:rPr>
            </w:r>
          </w:p>
        </w:tc>
      </w:tr>
    </w:tbl>
    <w:p>
      <w:pPr>
        <w:pStyle w:val="Normal"/>
        <w:rPr>
          <w:rFonts w:cs="Calibri" w:cstheme="minorHAnsi"/>
          <w:i/>
          <w:i/>
          <w:sz w:val="18"/>
          <w:szCs w:val="18"/>
          <w:lang w:val="ro-RO"/>
        </w:rPr>
      </w:pPr>
      <w:r>
        <w:rPr>
          <w:rFonts w:cs="Calibri" w:cstheme="minorHAnsi"/>
          <w:i/>
          <w:sz w:val="18"/>
          <w:szCs w:val="18"/>
          <w:lang w:val="ro-RO"/>
        </w:rPr>
        <w:t>Sursa:BVB</w:t>
      </w:r>
    </w:p>
    <w:p>
      <w:pPr>
        <w:pStyle w:val="Normal"/>
        <w:jc w:val="both"/>
        <w:rPr>
          <w:rFonts w:cs="Calibri" w:cstheme="minorHAnsi"/>
          <w:lang w:val="ro-RO"/>
        </w:rPr>
      </w:pPr>
      <w:r>
        <w:rPr>
          <w:rFonts w:cs="Calibri" w:cstheme="minorHAnsi"/>
          <w:lang w:val="ro-RO"/>
        </w:rPr>
        <w:t xml:space="preserve">Pentru listarea acțiunilor, companiile trebuie să plătească diferite comisioane și tarife/cote administrative percepute de intermediari, consultanți, auditori, respectiv BVB, ASF și Depozitarul Central. </w:t>
      </w:r>
    </w:p>
    <w:p>
      <w:pPr>
        <w:pStyle w:val="Normal"/>
        <w:jc w:val="both"/>
        <w:rPr>
          <w:rFonts w:cs="Calibri" w:cstheme="minorHAnsi"/>
          <w:lang w:val="ro-RO"/>
        </w:rPr>
      </w:pPr>
      <w:r>
        <w:rPr>
          <w:rFonts w:cs="Calibri" w:cstheme="minorHAnsi"/>
          <w:lang w:val="ro-RO"/>
        </w:rPr>
        <w:t>Companiile/ofertanții plătesc către ASF ocotă aplicată ca și procent din valoarea ofertei publice pe care o derulează, o taxă de aprobare a prospectului întocmit în vederea admiterii la tranzacţionare pe o piaţă reglementată (în condiţiile în care admiterea nu este precedată de o ofertă publică) și o taxă de înregistrare a acțiunilor.</w:t>
      </w:r>
    </w:p>
    <w:p>
      <w:pPr>
        <w:pStyle w:val="Normal"/>
        <w:jc w:val="both"/>
        <w:rPr>
          <w:rFonts w:cs="Calibri" w:cstheme="minorHAnsi"/>
          <w:lang w:val="ro-RO"/>
        </w:rPr>
      </w:pPr>
      <w:r>
        <w:rPr>
          <w:rFonts w:cs="Calibri" w:cstheme="minorHAnsi"/>
          <w:lang w:val="ro-RO"/>
        </w:rPr>
        <w:t>Tarifele plătite către BVB sunt compuse dintr-o taxă fixă ​​de procesare, o taxă de admitere la tranzacționare variabilă (înainte de listare) și o taxă de menținere la tranzacționare (tarif anual după primul an de listare).</w:t>
      </w:r>
    </w:p>
    <w:p>
      <w:pPr>
        <w:pStyle w:val="Normal"/>
        <w:jc w:val="both"/>
        <w:rPr>
          <w:rFonts w:cs="Calibri" w:cstheme="minorHAnsi"/>
          <w:color w:val="002060"/>
          <w:lang w:val="ro-RO"/>
        </w:rPr>
      </w:pPr>
      <w:bookmarkStart w:id="42" w:name="_Toc110530369"/>
      <w:r>
        <w:rPr>
          <w:rFonts w:cs="Calibri" w:cstheme="minorHAnsi"/>
          <w:i/>
          <w:color w:val="002060"/>
          <w:sz w:val="18"/>
          <w:szCs w:val="20"/>
          <w:lang w:val="ro-RO"/>
        </w:rPr>
        <w:t xml:space="preserve">Tabelul </w:t>
      </w:r>
      <w:r>
        <w:rPr>
          <w:rFonts w:cs="Calibri" w:cstheme="minorHAnsi"/>
          <w:i/>
          <w:color w:val="002060"/>
          <w:sz w:val="18"/>
          <w:szCs w:val="20"/>
          <w:lang w:val="ro-RO"/>
        </w:rPr>
        <w:fldChar w:fldCharType="begin"/>
      </w:r>
      <w:r>
        <w:rPr>
          <w:sz w:val="18"/>
          <w:i/>
          <w:szCs w:val="20"/>
          <w:rFonts w:cs="Calibri"/>
        </w:rPr>
        <w:instrText> SEQ Tabelul \* ARABIC </w:instrText>
      </w:r>
      <w:r>
        <w:rPr>
          <w:sz w:val="18"/>
          <w:i/>
          <w:szCs w:val="20"/>
          <w:rFonts w:cs="Calibri"/>
        </w:rPr>
        <w:fldChar w:fldCharType="separate"/>
      </w:r>
      <w:r>
        <w:rPr>
          <w:sz w:val="18"/>
          <w:i/>
          <w:szCs w:val="20"/>
          <w:rFonts w:cs="Calibri"/>
        </w:rPr>
        <w:t>4</w:t>
      </w:r>
      <w:r>
        <w:rPr>
          <w:sz w:val="18"/>
          <w:i/>
          <w:szCs w:val="20"/>
          <w:rFonts w:cs="Calibri"/>
        </w:rPr>
        <w:fldChar w:fldCharType="end"/>
      </w:r>
      <w:r>
        <w:rPr>
          <w:rFonts w:cs="Calibri" w:cstheme="minorHAnsi"/>
          <w:i/>
          <w:color w:val="002060"/>
          <w:sz w:val="18"/>
          <w:szCs w:val="20"/>
          <w:lang w:val="ro-RO"/>
        </w:rPr>
        <w:t xml:space="preserve"> Tarifele percepute de BVB</w:t>
      </w:r>
      <w:bookmarkEnd w:id="42"/>
    </w:p>
    <w:tbl>
      <w:tblPr>
        <w:tblW w:w="5000" w:type="pct"/>
        <w:jc w:val="left"/>
        <w:tblInd w:w="-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75" w:type="dxa"/>
          <w:left w:w="60" w:type="dxa"/>
          <w:bottom w:w="75" w:type="dxa"/>
          <w:right w:w="60" w:type="dxa"/>
        </w:tblCellMar>
        <w:tblLook w:firstRow="1" w:noVBand="1" w:lastRow="0" w:firstColumn="1" w:lastColumn="0" w:noHBand="0" w:val="04a0"/>
      </w:tblPr>
      <w:tblGrid>
        <w:gridCol w:w="1545"/>
        <w:gridCol w:w="518"/>
        <w:gridCol w:w="1599"/>
        <w:gridCol w:w="2109"/>
        <w:gridCol w:w="181"/>
        <w:gridCol w:w="3407"/>
      </w:tblGrid>
      <w:tr>
        <w:trPr>
          <w:tblHeader w:val="true"/>
        </w:trPr>
        <w:tc>
          <w:tcPr>
            <w:tcW w:w="1545"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16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Tarif</w:t>
            </w:r>
          </w:p>
        </w:tc>
        <w:tc>
          <w:tcPr>
            <w:tcW w:w="4226" w:type="dxa"/>
            <w:gridSpan w:val="3"/>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16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Descriere</w:t>
            </w:r>
          </w:p>
        </w:tc>
        <w:tc>
          <w:tcPr>
            <w:tcW w:w="3588"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16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Plata</w:t>
            </w:r>
          </w:p>
        </w:tc>
      </w:tr>
      <w:tr>
        <w:trPr>
          <w:trHeight w:val="1048" w:hRule="atLeast"/>
        </w:trPr>
        <w:tc>
          <w:tcPr>
            <w:tcW w:w="1545"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1. Tarif de procesare</w:t>
            </w:r>
          </w:p>
        </w:tc>
        <w:tc>
          <w:tcPr>
            <w:tcW w:w="4226" w:type="dxa"/>
            <w:gridSpan w:val="3"/>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Tarif pentru procesarea documentatiei pentru admitere la tranzactionare sau promovare a unei companii de la o categorie la alta sau de pe alta piata</w:t>
            </w:r>
          </w:p>
        </w:tc>
        <w:tc>
          <w:tcPr>
            <w:tcW w:w="3588"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O singura plata, efectuata cel mai tarziu la data inregistrarii la BVB a cererii de admitere la tranzactionare sau promovare</w:t>
            </w:r>
          </w:p>
        </w:tc>
      </w:tr>
      <w:tr>
        <w:trPr/>
        <w:tc>
          <w:tcPr>
            <w:tcW w:w="1545"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2. Tarif de admitere la tranzacționare</w:t>
            </w:r>
          </w:p>
        </w:tc>
        <w:tc>
          <w:tcPr>
            <w:tcW w:w="4226" w:type="dxa"/>
            <w:gridSpan w:val="3"/>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Tarif platit o singură dată, pentru admiterea la tranzacționare pe Piața Reglementată</w:t>
            </w:r>
          </w:p>
        </w:tc>
        <w:tc>
          <w:tcPr>
            <w:tcW w:w="3588"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În termen de 10 zile lucrătoare de la data primii hotararii de admitere la tranzactionare</w:t>
            </w:r>
          </w:p>
        </w:tc>
      </w:tr>
      <w:tr>
        <w:trPr/>
        <w:tc>
          <w:tcPr>
            <w:tcW w:w="1545"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3. Tarif de mentinere</w:t>
            </w:r>
          </w:p>
        </w:tc>
        <w:tc>
          <w:tcPr>
            <w:tcW w:w="4226" w:type="dxa"/>
            <w:gridSpan w:val="3"/>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Tarif anual platit pentru mentinerea la tranzactionare a instrumentelor financiare pe Piata Reglementata</w:t>
            </w:r>
          </w:p>
        </w:tc>
        <w:tc>
          <w:tcPr>
            <w:tcW w:w="3588"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In termen de 10 zile lucratoare de la finalul precedentei perioade de 12 luni de tranzactionare</w:t>
            </w:r>
          </w:p>
        </w:tc>
      </w:tr>
      <w:tr>
        <w:trPr/>
        <w:tc>
          <w:tcPr>
            <w:tcW w:w="1545"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4. Tarif de promovare</w:t>
            </w:r>
          </w:p>
        </w:tc>
        <w:tc>
          <w:tcPr>
            <w:tcW w:w="4226" w:type="dxa"/>
            <w:gridSpan w:val="3"/>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Tarif pentru promovarea instrumentului financiar la o categorie superioara a Pietei Reglementate</w:t>
            </w:r>
          </w:p>
        </w:tc>
        <w:tc>
          <w:tcPr>
            <w:tcW w:w="3588"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FFFFFF" w:themeFill="background1" w:val="clear"/>
            <w:tcMar>
              <w:top w:w="60" w:type="dxa"/>
              <w:left w:w="75" w:type="dxa"/>
              <w:bottom w:w="60" w:type="dxa"/>
              <w:right w:w="75" w:type="dxa"/>
            </w:tcMar>
            <w:vAlign w:val="center"/>
          </w:tcPr>
          <w:p>
            <w:pPr>
              <w:pStyle w:val="Normal"/>
              <w:widowControl/>
              <w:bidi w:val="0"/>
              <w:spacing w:lineRule="auto" w:line="259" w:before="0" w:after="160"/>
              <w:jc w:val="left"/>
              <w:rPr>
                <w:rFonts w:eastAsia="Times New Roman" w:cs="Calibri" w:cstheme="minorHAnsi"/>
                <w:color w:val="002060"/>
                <w:sz w:val="20"/>
                <w:lang w:val="ro-RO"/>
              </w:rPr>
            </w:pPr>
            <w:r>
              <w:rPr>
                <w:rFonts w:eastAsia="Times New Roman" w:cs="Calibri" w:cstheme="minorHAnsi"/>
                <w:color w:val="002060"/>
                <w:sz w:val="20"/>
                <w:lang w:val="ro-RO"/>
              </w:rPr>
              <w:t>In termen de 10 zile lucratoare de la data primirii hotararii de promovare</w:t>
            </w:r>
          </w:p>
        </w:tc>
      </w:tr>
      <w:tr>
        <w:trPr>
          <w:trHeight w:val="531" w:hRule="atLeast"/>
        </w:trPr>
        <w:tc>
          <w:tcPr>
            <w:tcW w:w="2063"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r>
          </w:p>
        </w:tc>
        <w:tc>
          <w:tcPr>
            <w:tcW w:w="1599"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br/>
              <w:t>Tarif de procesare</w:t>
            </w:r>
          </w:p>
        </w:tc>
        <w:tc>
          <w:tcPr>
            <w:tcW w:w="2290"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 xml:space="preserve">Tarif de admitere la tranzactionare </w:t>
            </w:r>
          </w:p>
        </w:tc>
        <w:tc>
          <w:tcPr>
            <w:tcW w:w="3407"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tcMar>
              <w:top w:w="15" w:type="dxa"/>
              <w:left w:w="15" w:type="dxa"/>
              <w:bottom w:w="15" w:type="dxa"/>
              <w:right w:w="15" w:type="dxa"/>
            </w:tcM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Tarif de mentinere la tranzactionare</w:t>
            </w:r>
          </w:p>
        </w:tc>
      </w:tr>
      <w:tr>
        <w:trPr/>
        <w:tc>
          <w:tcPr>
            <w:tcW w:w="2063"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60" w:type="dxa"/>
              <w:left w:w="75" w:type="dxa"/>
              <w:bottom w:w="60" w:type="dxa"/>
              <w:right w:w="7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Categoria Premium</w:t>
            </w:r>
          </w:p>
        </w:tc>
        <w:tc>
          <w:tcPr>
            <w:tcW w:w="1599" w:type="dxa"/>
            <w:vMerge w:val="restart"/>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60" w:type="dxa"/>
              <w:left w:w="75" w:type="dxa"/>
              <w:bottom w:w="60" w:type="dxa"/>
              <w:right w:w="7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1.200</w:t>
            </w:r>
          </w:p>
        </w:tc>
        <w:tc>
          <w:tcPr>
            <w:tcW w:w="2290"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60" w:type="dxa"/>
              <w:left w:w="75" w:type="dxa"/>
              <w:bottom w:w="60" w:type="dxa"/>
              <w:right w:w="7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11.100 – 21.000</w:t>
            </w:r>
          </w:p>
        </w:tc>
        <w:tc>
          <w:tcPr>
            <w:tcW w:w="3407"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15" w:type="dxa"/>
              <w:left w:w="15" w:type="dxa"/>
              <w:bottom w:w="15" w:type="dxa"/>
              <w:right w:w="1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25.000 – 50.000</w:t>
            </w:r>
          </w:p>
        </w:tc>
      </w:tr>
      <w:tr>
        <w:trPr/>
        <w:tc>
          <w:tcPr>
            <w:tcW w:w="2063"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60" w:type="dxa"/>
              <w:left w:w="75" w:type="dxa"/>
              <w:bottom w:w="60" w:type="dxa"/>
              <w:right w:w="7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Categoria Standard</w:t>
            </w:r>
          </w:p>
        </w:tc>
        <w:tc>
          <w:tcPr>
            <w:tcW w:w="1599" w:type="dxa"/>
            <w:vMerge w:val="continue"/>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15" w:type="dxa"/>
              <w:left w:w="15" w:type="dxa"/>
              <w:bottom w:w="15" w:type="dxa"/>
              <w:right w:w="1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r>
          </w:p>
        </w:tc>
        <w:tc>
          <w:tcPr>
            <w:tcW w:w="2290"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60" w:type="dxa"/>
              <w:left w:w="75" w:type="dxa"/>
              <w:bottom w:w="60" w:type="dxa"/>
              <w:right w:w="7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3.600 – 7.500</w:t>
            </w:r>
          </w:p>
        </w:tc>
        <w:tc>
          <w:tcPr>
            <w:tcW w:w="3407"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15" w:type="dxa"/>
              <w:left w:w="15" w:type="dxa"/>
              <w:bottom w:w="15" w:type="dxa"/>
              <w:right w:w="1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12.000 – 25.000</w:t>
            </w:r>
          </w:p>
        </w:tc>
      </w:tr>
      <w:tr>
        <w:trPr/>
        <w:tc>
          <w:tcPr>
            <w:tcW w:w="2063"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60" w:type="dxa"/>
              <w:left w:w="75" w:type="dxa"/>
              <w:bottom w:w="60" w:type="dxa"/>
              <w:right w:w="7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Categoria Actiuni Internationale</w:t>
            </w:r>
          </w:p>
        </w:tc>
        <w:tc>
          <w:tcPr>
            <w:tcW w:w="1599" w:type="dxa"/>
            <w:vMerge w:val="continue"/>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15" w:type="dxa"/>
              <w:left w:w="15" w:type="dxa"/>
              <w:bottom w:w="15" w:type="dxa"/>
              <w:right w:w="1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r>
          </w:p>
        </w:tc>
        <w:tc>
          <w:tcPr>
            <w:tcW w:w="2290" w:type="dxa"/>
            <w:gridSpan w:val="2"/>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60" w:type="dxa"/>
              <w:left w:w="75" w:type="dxa"/>
              <w:bottom w:w="60" w:type="dxa"/>
              <w:right w:w="7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3.600 – 7.500</w:t>
            </w:r>
          </w:p>
        </w:tc>
        <w:tc>
          <w:tcPr>
            <w:tcW w:w="3407"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Mar>
              <w:top w:w="15" w:type="dxa"/>
              <w:left w:w="15" w:type="dxa"/>
              <w:bottom w:w="15" w:type="dxa"/>
              <w:right w:w="15" w:type="dxa"/>
            </w:tcMar>
            <w:vAlign w:val="center"/>
          </w:tcPr>
          <w:p>
            <w:pPr>
              <w:pStyle w:val="Normal"/>
              <w:spacing w:before="0" w:after="0"/>
              <w:jc w:val="center"/>
              <w:rPr>
                <w:rFonts w:eastAsia="Times New Roman" w:cs="Calibri" w:cstheme="minorHAnsi"/>
                <w:color w:val="002060"/>
                <w:sz w:val="20"/>
                <w:lang w:val="ro-RO"/>
              </w:rPr>
            </w:pPr>
            <w:r>
              <w:rPr>
                <w:rFonts w:eastAsia="Times New Roman" w:cs="Calibri" w:cstheme="minorHAnsi"/>
                <w:color w:val="002060"/>
                <w:sz w:val="20"/>
                <w:lang w:val="ro-RO"/>
              </w:rPr>
              <w:t>12.000 – 50.000</w:t>
            </w:r>
          </w:p>
        </w:tc>
      </w:tr>
    </w:tbl>
    <w:p>
      <w:pPr>
        <w:pStyle w:val="Normal"/>
        <w:tabs>
          <w:tab w:val="clear" w:pos="720"/>
          <w:tab w:val="left" w:pos="850" w:leader="none"/>
          <w:tab w:val="left" w:pos="1191" w:leader="none"/>
          <w:tab w:val="left" w:pos="1531" w:leader="none"/>
        </w:tabs>
        <w:spacing w:before="60" w:after="160"/>
        <w:jc w:val="both"/>
        <w:rPr>
          <w:rFonts w:cs="Calibri" w:cstheme="minorHAnsi"/>
          <w:i/>
          <w:i/>
          <w:sz w:val="18"/>
          <w:lang w:val="ro-RO" w:eastAsia="zh-CN"/>
        </w:rPr>
      </w:pPr>
      <w:r>
        <w:rPr>
          <w:rFonts w:cs="Calibri" w:cstheme="minorHAnsi"/>
          <w:i/>
          <w:sz w:val="18"/>
          <w:lang w:val="ro-RO" w:eastAsia="zh-CN"/>
        </w:rPr>
        <w:t>Sursa: BVB</w:t>
      </w:r>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Prezentare generală a sectorului corporativ listat</w:t>
      </w:r>
    </w:p>
    <w:p>
      <w:pPr>
        <w:pStyle w:val="Normal"/>
        <w:jc w:val="both"/>
        <w:rPr>
          <w:rFonts w:cs="Calibri" w:cstheme="minorHAnsi"/>
          <w:color w:val="000000" w:themeColor="text1"/>
          <w:lang w:val="ro-RO" w:eastAsia="zh-CN"/>
        </w:rPr>
      </w:pPr>
      <w:r>
        <w:rPr>
          <w:rFonts w:cs="Calibri" w:cstheme="minorHAnsi"/>
          <w:color w:val="000000" w:themeColor="text1"/>
          <w:lang w:val="ro-RO" w:eastAsia="zh-CN"/>
        </w:rPr>
        <w:t xml:space="preserve">Piața din România a avut din anul 1996 până în 2015 o bursă alternativă de acțiuni în care erau listate aproximativ 5 000 de companii românești rezultate în </w:t>
      </w:r>
      <w:r>
        <w:rPr>
          <w:rFonts w:cs="Calibri" w:cstheme="minorHAnsi"/>
          <w:b/>
          <w:color w:val="000000" w:themeColor="text1"/>
          <w:lang w:val="ro-RO" w:eastAsia="zh-CN"/>
        </w:rPr>
        <w:t>urma Programului de privatizare în masa,</w:t>
      </w:r>
      <w:r>
        <w:rPr>
          <w:rFonts w:cs="Calibri" w:cstheme="minorHAnsi"/>
          <w:color w:val="000000" w:themeColor="text1"/>
          <w:lang w:val="ro-RO" w:eastAsia="zh-CN"/>
        </w:rPr>
        <w:t xml:space="preserve"> numită piața Rasdaq. Multe dintre companiile listate nu au putut să îndeplinească cerințele de listare și, ulterior, s-au retras de pe piață. În decembrie 2005, Bursa de Valori București a achiziționat Rasdaq și l-a transformat într-o bursă electronică la ghișeu (OTC – Over-the-counter). Astfel, după achiziția de către BVB, au avut loc doar 8 noi listări și peste 3 000 de delistări până la dizolvarea sa în 2015, când aproape 300 de companii au fost transferate pe piața AeRO.</w:t>
      </w:r>
    </w:p>
    <w:p>
      <w:pPr>
        <w:pStyle w:val="Normal"/>
        <w:jc w:val="both"/>
        <w:rPr>
          <w:rFonts w:cs="Calibri" w:cstheme="minorHAnsi"/>
          <w:color w:val="000000" w:themeColor="text1"/>
          <w:lang w:val="ro-RO" w:eastAsia="zh-CN"/>
        </w:rPr>
      </w:pPr>
      <w:r>
        <w:rPr>
          <w:rFonts w:cs="Calibri" w:cstheme="minorHAnsi"/>
          <w:color w:val="000000" w:themeColor="text1"/>
          <w:lang w:val="ro-RO" w:eastAsia="zh-CN"/>
        </w:rPr>
        <w:t xml:space="preserve">Din anul 2000, pe Piața Principală a Bursei de Valori București au avut loc 31 de noi listări și 52 de delistări. Până în 2007, nici o companie nu a fost radiată de pe piață. Cu toate acestea, de atunci, delistările au depășit în mare parte noile listări, iar din 2018, când a avut loc admiterea la tranzacționare a unui emitent cu sediul într-un alt stat membru UE, urmare acceptării delegării de aprobare a prospectului dat fiind delegarea primită din partea autorității din Cipru, până în anul 2021 ,nu au avut loc listări noi. Anul 2021 a fost marcat de 4 oferte inițiale de vânzare de acțiuni, trei fiind realizate în vederea admiterii la tranzacționare pe piața reglementată iar o ofertă fiind derulată în vederea admiterii la tranzacționare pe Piața SMT -AeRO. De la înființarea sa în 2010, Piața SMT – AeRO – a avut 17 noi listări de companii. În 2020, listările pe Piața AeRO au fost la un nivel scăzut istoric, cu doar 3 noi listări de companii și 12 delistări însă anul 2021 a adus 21 noi emitenți </w:t>
      </w:r>
    </w:p>
    <w:p>
      <w:pPr>
        <w:pStyle w:val="Normal"/>
        <w:tabs>
          <w:tab w:val="clear" w:pos="720"/>
          <w:tab w:val="left" w:pos="850" w:leader="none"/>
          <w:tab w:val="left" w:pos="1191" w:leader="none"/>
          <w:tab w:val="left" w:pos="1531" w:leader="none"/>
        </w:tabs>
        <w:spacing w:before="60" w:after="160"/>
        <w:jc w:val="both"/>
        <w:rPr>
          <w:rFonts w:cs="Calibri" w:cstheme="minorHAnsi"/>
          <w:color w:val="000000" w:themeColor="text1"/>
          <w:lang w:val="ro-RO" w:eastAsia="zh-CN"/>
        </w:rPr>
      </w:pPr>
      <w:r>
        <w:rPr>
          <w:rFonts w:eastAsia="Times New Roman" w:cs="Calibri" w:cstheme="minorHAnsi"/>
          <w:color w:val="000000" w:themeColor="text1"/>
          <w:lang w:val="ro-RO"/>
        </w:rPr>
        <w:t xml:space="preserve">Cele două segmente ale Bursa de Valori București sunt împărțite fiecare în trei categorii, Piața Principală: </w:t>
      </w:r>
      <w:r>
        <w:rPr>
          <w:rFonts w:eastAsia="Times New Roman" w:cs="Calibri" w:cstheme="minorHAnsi"/>
          <w:b/>
          <w:color w:val="000000" w:themeColor="text1"/>
          <w:lang w:val="ro-RO"/>
        </w:rPr>
        <w:t>Standard, Premium și Internațional</w:t>
      </w:r>
      <w:r>
        <w:rPr>
          <w:rFonts w:eastAsia="Times New Roman" w:cs="Calibri" w:cstheme="minorHAnsi"/>
          <w:color w:val="000000" w:themeColor="text1"/>
          <w:lang w:val="ro-RO"/>
        </w:rPr>
        <w:t xml:space="preserve"> – și Sistemul Multilateral de Tranzacționare (SMT) AeRO care include </w:t>
      </w:r>
      <w:r>
        <w:rPr>
          <w:rFonts w:eastAsia="Times New Roman" w:cs="Calibri" w:cstheme="minorHAnsi"/>
          <w:b/>
          <w:color w:val="000000" w:themeColor="text1"/>
          <w:lang w:val="ro-RO"/>
        </w:rPr>
        <w:t>AeRO Base, AeRO Standard și AeRO Premium</w:t>
      </w:r>
      <w:r>
        <w:rPr>
          <w:rFonts w:eastAsia="Times New Roman" w:cs="Calibri" w:cstheme="minorHAnsi"/>
          <w:color w:val="000000" w:themeColor="text1"/>
          <w:lang w:val="ro-RO"/>
        </w:rPr>
        <w:t>.</w:t>
      </w:r>
    </w:p>
    <w:p>
      <w:pPr>
        <w:pStyle w:val="Normal"/>
        <w:jc w:val="both"/>
        <w:rPr>
          <w:rFonts w:eastAsia="Times New Roman" w:cs="Calibri" w:cstheme="minorHAnsi"/>
          <w:color w:val="000000" w:themeColor="text1"/>
          <w:lang w:val="ro-RO"/>
        </w:rPr>
      </w:pPr>
      <w:r>
        <w:rPr>
          <w:rFonts w:eastAsia="Times New Roman" w:cs="Calibri" w:cstheme="minorHAnsi"/>
          <w:color w:val="000000" w:themeColor="text1"/>
          <w:lang w:val="ro-RO"/>
        </w:rPr>
        <w:t xml:space="preserve">Piața principală are 82 de companii listate (la sfârșitul anului 2021), dintre care 51 (62%) sunt listate la Categoria Standard, 28 (34%) la Categoria Premium, iar 3 (4%) sunt la Categoria Internațional. </w:t>
      </w:r>
    </w:p>
    <w:p>
      <w:pPr>
        <w:pStyle w:val="Normal"/>
        <w:jc w:val="both"/>
        <w:rPr>
          <w:rFonts w:eastAsia="Times New Roman" w:cs="Calibri" w:cstheme="minorHAnsi"/>
          <w:color w:val="000000" w:themeColor="text1"/>
          <w:lang w:val="ro-RO"/>
        </w:rPr>
      </w:pPr>
      <w:r>
        <w:rPr>
          <w:rFonts w:eastAsia="Times New Roman" w:cs="Calibri" w:cstheme="minorHAnsi"/>
          <w:color w:val="000000" w:themeColor="text1"/>
          <w:lang w:val="ro-RO"/>
        </w:rPr>
        <w:t xml:space="preserve">Capitalizarea pieței principale este de 225,02 miliarde lei, cu 11,08 miliarde lei la categoria Standard, 125,93 miliarde lei în Premium și 88,02 miliarde lei la categoria Internațional. </w:t>
      </w:r>
    </w:p>
    <w:p>
      <w:pPr>
        <w:pStyle w:val="Normal"/>
        <w:jc w:val="both"/>
        <w:rPr>
          <w:rFonts w:cs="Calibri" w:cstheme="minorHAnsi"/>
          <w:b/>
          <w:b/>
          <w:lang w:val="ro-RO" w:eastAsia="zh-CN"/>
        </w:rPr>
      </w:pPr>
      <w:r>
        <w:rPr>
          <w:rFonts w:eastAsia="Times New Roman" w:cs="Calibri" w:cstheme="minorHAnsi"/>
          <w:b/>
          <w:color w:val="202124"/>
          <w:lang w:val="ro-RO"/>
        </w:rPr>
        <w:t>La finalul anului 2021, piața AeRO avea 298 de companii listate, dintre care 222 (92%) sunt la nivelul Standard. Capitalizarea bursieră a acestui segment totalizează 1,2 miliarde EUR.</w:t>
      </w:r>
    </w:p>
    <w:p>
      <w:pPr>
        <w:pStyle w:val="Normal"/>
        <w:jc w:val="both"/>
        <w:rPr>
          <w:rFonts w:cs="Calibri" w:cstheme="minorHAnsi"/>
          <w:i/>
          <w:i/>
          <w:color w:val="002060"/>
          <w:sz w:val="18"/>
          <w:szCs w:val="20"/>
          <w:lang w:val="ro-RO"/>
        </w:rPr>
      </w:pPr>
      <w:r>
        <w:rPr>
          <w:rFonts w:cs="Calibri" w:cstheme="minorHAnsi"/>
          <w:i/>
          <w:color w:val="002060"/>
          <w:sz w:val="18"/>
          <w:szCs w:val="20"/>
          <w:lang w:val="ro-RO"/>
        </w:rPr>
      </w:r>
    </w:p>
    <w:p>
      <w:pPr>
        <w:pStyle w:val="Normal"/>
        <w:jc w:val="both"/>
        <w:rPr>
          <w:rFonts w:cs="Calibri" w:cstheme="minorHAnsi"/>
          <w:i/>
          <w:i/>
          <w:color w:val="002060"/>
          <w:sz w:val="18"/>
          <w:szCs w:val="20"/>
          <w:lang w:val="ro-RO"/>
        </w:rPr>
      </w:pPr>
      <w:bookmarkStart w:id="43" w:name="_Toc110530370"/>
      <w:r>
        <w:rPr>
          <w:rFonts w:cs="Calibri" w:cstheme="minorHAnsi"/>
          <w:i/>
          <w:color w:val="002060"/>
          <w:sz w:val="18"/>
          <w:szCs w:val="20"/>
          <w:lang w:val="ro-RO"/>
        </w:rPr>
        <w:t xml:space="preserve">Tabelul </w:t>
      </w:r>
      <w:r>
        <w:rPr>
          <w:rFonts w:cs="Calibri" w:cstheme="minorHAnsi"/>
          <w:i/>
          <w:color w:val="002060"/>
          <w:sz w:val="18"/>
          <w:szCs w:val="20"/>
          <w:lang w:val="ro-RO"/>
        </w:rPr>
        <w:fldChar w:fldCharType="begin"/>
      </w:r>
      <w:r>
        <w:rPr>
          <w:sz w:val="18"/>
          <w:i/>
          <w:szCs w:val="20"/>
          <w:rFonts w:cs="Calibri"/>
        </w:rPr>
        <w:instrText> SEQ Tabelul \* ARABIC </w:instrText>
      </w:r>
      <w:r>
        <w:rPr>
          <w:sz w:val="18"/>
          <w:i/>
          <w:szCs w:val="20"/>
          <w:rFonts w:cs="Calibri"/>
        </w:rPr>
        <w:fldChar w:fldCharType="separate"/>
      </w:r>
      <w:r>
        <w:rPr>
          <w:sz w:val="18"/>
          <w:i/>
          <w:szCs w:val="20"/>
          <w:rFonts w:cs="Calibri"/>
        </w:rPr>
        <w:t>5</w:t>
      </w:r>
      <w:r>
        <w:rPr>
          <w:sz w:val="18"/>
          <w:i/>
          <w:szCs w:val="20"/>
          <w:rFonts w:cs="Calibri"/>
        </w:rPr>
        <w:fldChar w:fldCharType="end"/>
      </w:r>
      <w:r>
        <w:rPr>
          <w:rFonts w:cs="Calibri" w:cstheme="minorHAnsi"/>
          <w:i/>
          <w:color w:val="002060"/>
          <w:sz w:val="18"/>
          <w:szCs w:val="20"/>
          <w:lang w:val="ro-RO"/>
        </w:rPr>
        <w:t xml:space="preserve"> Numărul companiilor listate, la 31.12.2021</w:t>
      </w:r>
      <w:bookmarkEnd w:id="43"/>
    </w:p>
    <w:tbl>
      <w:tblPr>
        <w:tblW w:w="7502" w:type="dxa"/>
        <w:jc w:val="center"/>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Look w:firstRow="1" w:noVBand="1" w:lastRow="0" w:firstColumn="1" w:lastColumn="0" w:noHBand="0" w:val="04a0"/>
      </w:tblPr>
      <w:tblGrid>
        <w:gridCol w:w="1516"/>
        <w:gridCol w:w="1862"/>
        <w:gridCol w:w="1739"/>
        <w:gridCol w:w="2384"/>
      </w:tblGrid>
      <w:tr>
        <w:trPr>
          <w:trHeight w:val="219" w:hRule="atLeast"/>
        </w:trPr>
        <w:tc>
          <w:tcPr>
            <w:tcW w:w="151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 xml:space="preserve">Segment </w:t>
            </w:r>
          </w:p>
        </w:tc>
        <w:tc>
          <w:tcPr>
            <w:tcW w:w="18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Categorie</w:t>
            </w:r>
          </w:p>
        </w:tc>
        <w:tc>
          <w:tcPr>
            <w:tcW w:w="1739"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Număr companii listate</w:t>
            </w:r>
          </w:p>
        </w:tc>
        <w:tc>
          <w:tcPr>
            <w:tcW w:w="23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Capitalizare (lei Mld.)</w:t>
            </w:r>
          </w:p>
        </w:tc>
      </w:tr>
      <w:tr>
        <w:trPr>
          <w:trHeight w:val="219" w:hRule="atLeast"/>
        </w:trPr>
        <w:tc>
          <w:tcPr>
            <w:tcW w:w="1516" w:type="dxa"/>
            <w:vMerge w:val="restart"/>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Main Market</w:t>
            </w:r>
          </w:p>
        </w:tc>
        <w:tc>
          <w:tcPr>
            <w:tcW w:w="18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Standard</w:t>
            </w:r>
          </w:p>
        </w:tc>
        <w:tc>
          <w:tcPr>
            <w:tcW w:w="1739"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51</w:t>
            </w:r>
          </w:p>
        </w:tc>
        <w:tc>
          <w:tcPr>
            <w:tcW w:w="23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 xml:space="preserve">11,08 </w:t>
            </w:r>
          </w:p>
        </w:tc>
      </w:tr>
      <w:tr>
        <w:trPr>
          <w:trHeight w:val="219" w:hRule="atLeast"/>
        </w:trPr>
        <w:tc>
          <w:tcPr>
            <w:tcW w:w="1516" w:type="dxa"/>
            <w:vMerge w:val="continue"/>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r>
          </w:p>
        </w:tc>
        <w:tc>
          <w:tcPr>
            <w:tcW w:w="18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Premium</w:t>
            </w:r>
          </w:p>
        </w:tc>
        <w:tc>
          <w:tcPr>
            <w:tcW w:w="1739"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28</w:t>
            </w:r>
          </w:p>
        </w:tc>
        <w:tc>
          <w:tcPr>
            <w:tcW w:w="23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 xml:space="preserve">125,93 </w:t>
            </w:r>
          </w:p>
        </w:tc>
      </w:tr>
      <w:tr>
        <w:trPr>
          <w:trHeight w:val="219" w:hRule="atLeast"/>
        </w:trPr>
        <w:tc>
          <w:tcPr>
            <w:tcW w:w="1516" w:type="dxa"/>
            <w:vMerge w:val="continue"/>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r>
          </w:p>
        </w:tc>
        <w:tc>
          <w:tcPr>
            <w:tcW w:w="18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International</w:t>
            </w:r>
          </w:p>
        </w:tc>
        <w:tc>
          <w:tcPr>
            <w:tcW w:w="1739"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3</w:t>
            </w:r>
          </w:p>
        </w:tc>
        <w:tc>
          <w:tcPr>
            <w:tcW w:w="23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 xml:space="preserve">88,02 </w:t>
            </w:r>
          </w:p>
        </w:tc>
      </w:tr>
      <w:tr>
        <w:trPr>
          <w:trHeight w:val="219" w:hRule="atLeast"/>
        </w:trPr>
        <w:tc>
          <w:tcPr>
            <w:tcW w:w="1516" w:type="dxa"/>
            <w:vMerge w:val="restart"/>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MTS</w:t>
            </w:r>
          </w:p>
        </w:tc>
        <w:tc>
          <w:tcPr>
            <w:tcW w:w="18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AeRO Base</w:t>
            </w:r>
          </w:p>
        </w:tc>
        <w:tc>
          <w:tcPr>
            <w:tcW w:w="1739"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3</w:t>
            </w:r>
          </w:p>
        </w:tc>
        <w:tc>
          <w:tcPr>
            <w:tcW w:w="23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 xml:space="preserve">3 </w:t>
            </w:r>
          </w:p>
        </w:tc>
      </w:tr>
      <w:tr>
        <w:trPr>
          <w:trHeight w:val="219" w:hRule="atLeast"/>
        </w:trPr>
        <w:tc>
          <w:tcPr>
            <w:tcW w:w="1516" w:type="dxa"/>
            <w:vMerge w:val="continue"/>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r>
          </w:p>
        </w:tc>
        <w:tc>
          <w:tcPr>
            <w:tcW w:w="18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AeRO Standard</w:t>
            </w:r>
          </w:p>
        </w:tc>
        <w:tc>
          <w:tcPr>
            <w:tcW w:w="1739"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222</w:t>
            </w:r>
          </w:p>
        </w:tc>
        <w:tc>
          <w:tcPr>
            <w:tcW w:w="23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 xml:space="preserve">1 021 </w:t>
            </w:r>
          </w:p>
        </w:tc>
      </w:tr>
      <w:tr>
        <w:trPr>
          <w:trHeight w:val="219" w:hRule="atLeast"/>
        </w:trPr>
        <w:tc>
          <w:tcPr>
            <w:tcW w:w="1516" w:type="dxa"/>
            <w:vMerge w:val="continue"/>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r>
          </w:p>
        </w:tc>
        <w:tc>
          <w:tcPr>
            <w:tcW w:w="18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AeRO Premium</w:t>
            </w:r>
          </w:p>
        </w:tc>
        <w:tc>
          <w:tcPr>
            <w:tcW w:w="1739"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17</w:t>
            </w:r>
          </w:p>
        </w:tc>
        <w:tc>
          <w:tcPr>
            <w:tcW w:w="23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jc w:val="center"/>
              <w:rPr>
                <w:rFonts w:eastAsia="Times New Roman" w:cs="Calibri" w:cstheme="minorHAnsi"/>
                <w:b/>
                <w:b/>
                <w:bCs/>
                <w:color w:val="1F3864" w:themeColor="accent5" w:themeShade="80"/>
                <w:sz w:val="20"/>
                <w:lang w:val="ro-RO"/>
              </w:rPr>
            </w:pPr>
            <w:r>
              <w:rPr>
                <w:rFonts w:eastAsia="Times New Roman" w:cs="Calibri" w:cstheme="minorHAnsi"/>
                <w:b/>
                <w:bCs/>
                <w:color w:val="1F3864" w:themeColor="accent5" w:themeShade="80"/>
                <w:sz w:val="20"/>
                <w:lang w:val="ro-RO"/>
              </w:rPr>
              <w:t xml:space="preserve">159 </w:t>
            </w:r>
          </w:p>
        </w:tc>
      </w:tr>
    </w:tbl>
    <w:p>
      <w:pPr>
        <w:pStyle w:val="Normal"/>
        <w:jc w:val="both"/>
        <w:rPr>
          <w:rFonts w:eastAsia="Times New Roman" w:cs="Calibri" w:cstheme="minorHAnsi"/>
          <w:color w:val="202124"/>
          <w:lang w:val="ro-RO"/>
        </w:rPr>
      </w:pPr>
      <w:r>
        <w:rPr>
          <w:rFonts w:eastAsia="Times New Roman" w:cs="Calibri" w:cstheme="minorHAnsi"/>
          <w:color w:val="202124"/>
          <w:lang w:val="ro-RO"/>
        </w:rPr>
      </w:r>
    </w:p>
    <w:p>
      <w:pPr>
        <w:pStyle w:val="Normal"/>
        <w:jc w:val="both"/>
        <w:rPr>
          <w:rFonts w:eastAsia="Times New Roman" w:cs="Calibri" w:cstheme="minorHAnsi"/>
          <w:color w:val="000000" w:themeColor="text1"/>
          <w:lang w:val="ro-RO"/>
        </w:rPr>
      </w:pPr>
      <w:r>
        <w:rPr>
          <w:rFonts w:eastAsia="Times New Roman" w:cs="Calibri" w:cstheme="minorHAnsi"/>
          <w:color w:val="000000" w:themeColor="text1"/>
          <w:lang w:val="ro-RO"/>
        </w:rPr>
        <w:t xml:space="preserve">În ceea ce privește distribuția sectorială a companiilor listate ale BVB, intermedierile financiare și asigurări reprezintă 60%, urmată de industria extractivă cu 19% și producția și furnizarea de energie cu aproximativ 7%. </w:t>
      </w:r>
    </w:p>
    <w:p>
      <w:pPr>
        <w:pStyle w:val="Normal"/>
        <w:jc w:val="both"/>
        <w:rPr>
          <w:rFonts w:eastAsia="Times New Roman" w:cs="Calibri" w:cstheme="minorHAnsi"/>
          <w:color w:val="000000" w:themeColor="text1"/>
          <w:lang w:val="ro-RO"/>
        </w:rPr>
      </w:pPr>
      <w:r>
        <w:rPr>
          <w:rFonts w:eastAsia="Times New Roman" w:cs="Calibri" w:cstheme="minorHAnsi"/>
          <w:color w:val="000000" w:themeColor="text1"/>
          <w:lang w:val="ro-RO"/>
        </w:rPr>
      </w:r>
    </w:p>
    <w:p>
      <w:pPr>
        <w:pStyle w:val="Caption1"/>
        <w:keepNext w:val="true"/>
        <w:spacing w:lineRule="auto" w:line="259" w:before="0" w:after="160"/>
        <w:rPr>
          <w:rFonts w:cs="Calibri" w:cstheme="minorHAnsi"/>
          <w:lang w:eastAsia="zh-CN"/>
        </w:rPr>
      </w:pPr>
      <w:bookmarkStart w:id="44" w:name="_Toc110530371"/>
      <w:bookmarkStart w:id="45" w:name="_Toc98958263"/>
      <w:bookmarkStart w:id="46" w:name="_Toc77602916"/>
      <w:bookmarkStart w:id="47" w:name="_Toc77602419"/>
      <w:bookmarkStart w:id="48" w:name="_Toc77588433"/>
      <w:bookmarkStart w:id="49" w:name="_Toc68882409"/>
      <w:bookmarkStart w:id="50" w:name="_Toc68880468"/>
      <w:bookmarkStart w:id="51" w:name="_Toc68880009"/>
      <w:bookmarkStart w:id="52" w:name="_Toc68710826"/>
      <w:bookmarkStart w:id="53" w:name="_Toc68710744"/>
      <w:bookmarkStart w:id="54" w:name="_Toc68698427"/>
      <w:bookmarkStart w:id="55" w:name="_Toc68634630"/>
      <w:bookmarkStart w:id="56" w:name="_Toc68633818"/>
      <w:bookmarkStart w:id="57" w:name="_Toc68628364"/>
      <w:bookmarkStart w:id="58" w:name="_Toc68627710"/>
      <w:bookmarkStart w:id="59" w:name="_Toc62763477"/>
      <w:bookmarkStart w:id="60" w:name="_Toc62763373"/>
      <w:bookmarkStart w:id="61" w:name="_Toc62763165"/>
      <w:bookmarkStart w:id="62" w:name="_Toc62741857"/>
      <w:bookmarkStart w:id="63" w:name="_Toc62724031"/>
      <w:bookmarkStart w:id="64" w:name="_Toc62721823"/>
      <w:bookmarkStart w:id="65" w:name="_Toc62665384"/>
      <w:bookmarkStart w:id="66" w:name="_Toc62660880"/>
      <w:bookmarkStart w:id="67" w:name="_Toc62650390"/>
      <w:bookmarkStart w:id="68" w:name="_Toc62648646"/>
      <w:bookmarkStart w:id="69" w:name="_Toc62641592"/>
      <w:bookmarkStart w:id="70" w:name="_Toc62641419"/>
      <w:bookmarkStart w:id="71" w:name="_Toc62584905"/>
      <w:bookmarkStart w:id="72" w:name="_Toc62578892"/>
      <w:bookmarkStart w:id="73" w:name="_Toc62575180"/>
      <w:bookmarkStart w:id="74" w:name="_Toc62228139"/>
      <w:bookmarkStart w:id="75" w:name="_Toc62227723"/>
      <w:bookmarkStart w:id="76" w:name="_Toc62217491"/>
      <w:bookmarkStart w:id="77" w:name="_Toc62216483"/>
      <w:bookmarkStart w:id="78" w:name="_Toc62147456"/>
      <w:bookmarkStart w:id="79" w:name="_Toc62145917"/>
      <w:bookmarkStart w:id="80" w:name="_Toc62145709"/>
      <w:bookmarkStart w:id="81" w:name="_Toc62135050"/>
      <w:bookmarkStart w:id="82" w:name="_Toc62072364"/>
      <w:bookmarkStart w:id="83" w:name="_Toc62069830"/>
      <w:bookmarkStart w:id="84" w:name="_Toc62057041"/>
      <w:bookmarkStart w:id="85" w:name="_Toc62030094"/>
      <w:bookmarkStart w:id="86" w:name="_Toc61977223"/>
      <w:bookmarkStart w:id="87" w:name="_Toc61977121"/>
      <w:bookmarkStart w:id="88" w:name="_Toc61897958"/>
      <w:bookmarkStart w:id="89" w:name="_Toc61893286"/>
      <w:bookmarkStart w:id="90" w:name="_Toc61889714"/>
      <w:bookmarkStart w:id="91" w:name="_Toc61885396"/>
      <w:bookmarkStart w:id="92" w:name="_Toc61884760"/>
      <w:bookmarkStart w:id="93" w:name="_Toc61871317"/>
      <w:bookmarkStart w:id="94" w:name="_Toc61864425"/>
      <w:bookmarkStart w:id="95" w:name="_Toc61860375"/>
      <w:r>
        <w:rPr/>
        <w:t xml:space="preserve">Tabelul </w:t>
      </w:r>
      <w:r>
        <w:rPr/>
        <w:fldChar w:fldCharType="begin"/>
      </w:r>
      <w:r>
        <w:rPr/>
        <w:instrText> SEQ Tabelul \* ARABIC </w:instrText>
      </w:r>
      <w:r>
        <w:rPr/>
        <w:fldChar w:fldCharType="separate"/>
      </w:r>
      <w:r>
        <w:rPr/>
        <w:t>6</w:t>
      </w:r>
      <w:r>
        <w:rPr/>
        <w:fldChar w:fldCharType="end"/>
      </w:r>
      <w:r>
        <w:rPr/>
        <w:t xml:space="preserve"> Clasificarea pe industrii a companiilor listate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cs="Calibri" w:cstheme="minorHAnsi"/>
          <w:lang w:eastAsia="zh-CN"/>
        </w:rPr>
        <w:t>la 31 decembrie 2021</w:t>
      </w:r>
      <w:bookmarkEnd w:id="44"/>
    </w:p>
    <w:tbl>
      <w:tblPr>
        <w:tblStyle w:val="GridTable1Light-Accent11"/>
        <w:tblW w:w="5000" w:type="pct"/>
        <w:jc w:val="left"/>
        <w:tblInd w:w="0" w:type="dxa"/>
        <w:tblCellMar>
          <w:top w:w="0" w:type="dxa"/>
          <w:left w:w="108" w:type="dxa"/>
          <w:bottom w:w="0" w:type="dxa"/>
          <w:right w:w="108" w:type="dxa"/>
        </w:tblCellMar>
        <w:tblLook w:firstRow="1" w:noVBand="1" w:lastRow="0" w:firstColumn="1" w:lastColumn="0" w:noHBand="0" w:val="04a0"/>
      </w:tblPr>
      <w:tblGrid>
        <w:gridCol w:w="4848"/>
        <w:gridCol w:w="2690"/>
        <w:gridCol w:w="1822"/>
      </w:tblGrid>
      <w:tr>
        <w:trPr>
          <w:trHeight w:val="576" w:hRule="atLeast"/>
          <w:cnfStyle w:val="100000000000" w:firstRow="1" w:lastRow="0" w:firstColumn="0" w:lastColumn="0" w:oddVBand="0" w:evenVBand="0" w:oddHBand="0" w:evenHBand="0" w:firstRowFirstColumn="0" w:firstRowLastColumn="0" w:lastRowFirstColumn="0" w:lastRowLastColumn="0"/>
        </w:trPr>
        <w:tc>
          <w:tcPr>
            <w:tcW w:w="4848" w:type="dxa"/>
            <w:cnfStyle w:val="001000000000" w:firstRow="0" w:lastRow="0" w:firstColumn="1" w:lastColumn="0" w:oddVBand="0" w:evenVBand="0" w:oddHBand="0" w:evenHBand="0" w:firstRowFirstColumn="0" w:firstRowLastColumn="0" w:lastRowFirstColumn="0" w:lastRowLastColumn="0"/>
            <w:tcBorders>
              <w:bottom w:val="single" w:sz="12" w:space="0" w:color="9CC2E5"/>
              <w:insideH w:val="single" w:sz="12" w:space="0" w:color="9CC2E5"/>
            </w:tcBorders>
            <w:shd w:color="auto" w:fill="DEEAF6" w:themeFill="accent1" w:themeFillTint="33" w:val="clear"/>
            <w:vAlign w:val="center"/>
          </w:tcPr>
          <w:p>
            <w:pPr>
              <w:pStyle w:val="Normal"/>
              <w:spacing w:lineRule="auto" w:line="240" w:before="0" w:after="0"/>
              <w:jc w:val="center"/>
              <w:rPr>
                <w:rFonts w:ascii="Calibri" w:hAnsi="Calibri" w:eastAsia="Times New Roman" w:cs="Calibri"/>
                <w:color w:val="000000"/>
                <w:sz w:val="20"/>
                <w:lang w:val="ro-RO"/>
              </w:rPr>
            </w:pPr>
            <w:r>
              <w:rPr>
                <w:rFonts w:eastAsia="Times New Roman" w:cs="Calibri"/>
                <w:b/>
                <w:bCs/>
                <w:color w:val="000000"/>
                <w:sz w:val="20"/>
                <w:lang w:val="ro-RO"/>
              </w:rPr>
              <w:t>Sector</w:t>
            </w:r>
          </w:p>
        </w:tc>
        <w:tc>
          <w:tcPr>
            <w:tcW w:w="2690" w:type="dxa"/>
            <w:tcBorders>
              <w:bottom w:val="single" w:sz="12" w:space="0" w:color="9CC2E5"/>
              <w:insideH w:val="single" w:sz="12" w:space="0" w:color="9CC2E5"/>
            </w:tcBorders>
            <w:shd w:color="auto" w:fill="DEEAF6" w:themeFill="accent1" w:themeFillTint="33" w:val="clear"/>
            <w:vAlign w:val="cente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b/>
                <w:bCs/>
                <w:color w:val="000000"/>
                <w:sz w:val="20"/>
                <w:lang w:val="ro-RO"/>
              </w:rPr>
              <w:t>Capitalizare Bursieră (mil. RON)</w:t>
            </w:r>
          </w:p>
        </w:tc>
        <w:tc>
          <w:tcPr>
            <w:tcW w:w="1822" w:type="dxa"/>
            <w:tcBorders>
              <w:bottom w:val="single" w:sz="12" w:space="0" w:color="9CC2E5"/>
              <w:insideH w:val="single" w:sz="12" w:space="0" w:color="9CC2E5"/>
            </w:tcBorders>
            <w:shd w:color="auto" w:fill="DEEAF6" w:themeFill="accent1" w:themeFillTint="33" w:val="clear"/>
            <w:vAlign w:val="cente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b/>
                <w:bCs/>
                <w:color w:val="000000"/>
                <w:sz w:val="20"/>
                <w:lang w:val="ro-RO"/>
              </w:rPr>
              <w:t>Pondere</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Intermedieri financiare și asigurări</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138,096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60.3%</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Indstria extractivă</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43,420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19.0%</w:t>
            </w:r>
          </w:p>
        </w:tc>
      </w:tr>
      <w:tr>
        <w:trPr>
          <w:trHeight w:val="557"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Producția și furnizarea de energie electrică și termică, gaze, apă caldă și aer condiționat</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15,827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6.9%</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Industria prelucrătoare</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12,428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5.4%</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Transport și depozitare</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4,408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1.9%</w:t>
            </w:r>
          </w:p>
        </w:tc>
      </w:tr>
      <w:tr>
        <w:trPr>
          <w:trHeight w:val="287"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Activități profesionale, șiințifice și tehnice</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4,060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1.8%</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Sănătate și asistență socială</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3,176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1.4%</w:t>
            </w:r>
          </w:p>
        </w:tc>
      </w:tr>
      <w:tr>
        <w:trPr>
          <w:trHeight w:val="575"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Comerț cu ridicata și amănuntul; repararea autovehiculelor și motocicletelor</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1,344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0.6%</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Construcții</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1,123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0.5%</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Hoteluri și restaurante</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338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0.1%</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Informații și comunicații</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162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0.1%</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Alte sectoare</w:t>
            </w:r>
          </w:p>
        </w:tc>
        <w:tc>
          <w:tcPr>
            <w:tcW w:w="2690"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 xml:space="preserve">                           </w:t>
            </w:r>
            <w:r>
              <w:rPr>
                <w:rFonts w:eastAsia="Times New Roman" w:cs="Calibri"/>
                <w:color w:val="000000"/>
                <w:sz w:val="20"/>
                <w:lang w:val="ro-RO"/>
              </w:rPr>
              <w:t xml:space="preserve">4,698 </w:t>
            </w:r>
          </w:p>
        </w:tc>
        <w:tc>
          <w:tcPr>
            <w:tcW w:w="1822"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lang w:val="ro-RO"/>
              </w:rPr>
            </w:pPr>
            <w:r>
              <w:rPr>
                <w:rFonts w:eastAsia="Times New Roman" w:cs="Calibri"/>
                <w:color w:val="000000"/>
                <w:sz w:val="20"/>
                <w:lang w:val="ro-RO"/>
              </w:rPr>
              <w:t>2.1%</w:t>
            </w:r>
          </w:p>
        </w:tc>
      </w:tr>
      <w:tr>
        <w:trPr>
          <w:trHeight w:val="288" w:hRule="atLeast"/>
        </w:trPr>
        <w:tc>
          <w:tcPr>
            <w:tcW w:w="4848" w:type="dxa"/>
            <w:cnfStyle w:val="001000000000" w:firstRow="0" w:lastRow="0" w:firstColumn="1" w:lastColumn="0" w:oddVBand="0" w:evenVBand="0" w:oddHBand="0" w:evenHBand="0" w:firstRowFirstColumn="0" w:firstRowLastColumn="0" w:lastRowFirstColumn="0" w:lastRowLastColumn="0"/>
            <w:tcBorders/>
            <w:shd w:color="auto" w:fill="DEEAF6" w:themeFill="accent1" w:themeFillTint="33" w:val="clear"/>
          </w:tcPr>
          <w:p>
            <w:pPr>
              <w:pStyle w:val="Normal"/>
              <w:spacing w:lineRule="auto" w:line="240" w:before="0" w:after="0"/>
              <w:rPr>
                <w:rFonts w:ascii="Calibri" w:hAnsi="Calibri" w:eastAsia="Times New Roman" w:cs="Calibri"/>
                <w:color w:val="000000"/>
                <w:sz w:val="20"/>
                <w:lang w:val="ro-RO"/>
              </w:rPr>
            </w:pPr>
            <w:r>
              <w:rPr>
                <w:rFonts w:eastAsia="Times New Roman" w:cs="Calibri"/>
                <w:b/>
                <w:bCs/>
                <w:color w:val="000000"/>
                <w:sz w:val="20"/>
                <w:lang w:val="ro-RO"/>
              </w:rPr>
              <w:t>Total</w:t>
            </w:r>
          </w:p>
        </w:tc>
        <w:tc>
          <w:tcPr>
            <w:tcW w:w="2690" w:type="dxa"/>
            <w:tcBorders/>
            <w:shd w:color="auto" w:fill="DEEAF6" w:themeFill="accent1" w:themeFillTint="33"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
                <w:bCs/>
                <w:color w:val="000000"/>
                <w:sz w:val="20"/>
                <w:lang w:val="ro-RO"/>
              </w:rPr>
            </w:pPr>
            <w:r>
              <w:rPr>
                <w:rFonts w:eastAsia="Times New Roman" w:cs="Calibri"/>
                <w:b/>
                <w:bCs/>
                <w:color w:val="000000"/>
                <w:sz w:val="20"/>
                <w:lang w:val="ro-RO"/>
              </w:rPr>
              <w:t xml:space="preserve">                      </w:t>
            </w:r>
            <w:r>
              <w:rPr>
                <w:rFonts w:eastAsia="Times New Roman" w:cs="Calibri"/>
                <w:b/>
                <w:bCs/>
                <w:color w:val="000000"/>
                <w:sz w:val="20"/>
                <w:lang w:val="ro-RO"/>
              </w:rPr>
              <w:t xml:space="preserve">229,078 </w:t>
            </w:r>
          </w:p>
        </w:tc>
        <w:tc>
          <w:tcPr>
            <w:tcW w:w="1822" w:type="dxa"/>
            <w:tcBorders/>
            <w:shd w:color="auto" w:fill="DEEAF6" w:themeFill="accent1" w:themeFillTint="33"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
                <w:color w:val="000000"/>
                <w:sz w:val="20"/>
                <w:lang w:val="ro-RO"/>
              </w:rPr>
            </w:pPr>
            <w:r>
              <w:rPr>
                <w:rFonts w:eastAsia="Times New Roman" w:cs="Calibri"/>
                <w:b/>
                <w:color w:val="000000"/>
                <w:sz w:val="20"/>
                <w:lang w:val="ro-RO"/>
              </w:rPr>
              <w:t>100.0%</w:t>
            </w:r>
          </w:p>
        </w:tc>
      </w:tr>
    </w:tbl>
    <w:p>
      <w:pPr>
        <w:pStyle w:val="Normal"/>
        <w:jc w:val="center"/>
        <w:rPr>
          <w:i/>
          <w:i/>
          <w:sz w:val="20"/>
          <w:lang w:val="ro-RO" w:eastAsia="zh-CN"/>
        </w:rPr>
      </w:pPr>
      <w:r>
        <w:rPr>
          <w:i/>
          <w:sz w:val="20"/>
          <w:lang w:val="ro-RO" w:eastAsia="zh-CN"/>
        </w:rPr>
        <w:t>Sursa: BVB</w:t>
      </w:r>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r>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Ofertele publice inițiale (IPO)</w:t>
      </w:r>
    </w:p>
    <w:p>
      <w:pPr>
        <w:pStyle w:val="Normal"/>
        <w:jc w:val="both"/>
        <w:rPr>
          <w:rFonts w:eastAsia="SimSun" w:cs="Calibri" w:cstheme="minorHAnsi"/>
          <w:color w:val="000000" w:themeColor="text1"/>
          <w:lang w:val="ro-RO" w:eastAsia="zh-CN"/>
        </w:rPr>
      </w:pPr>
      <w:r>
        <w:rPr>
          <w:rFonts w:eastAsia="SimSun" w:cs="Calibri" w:cstheme="minorHAnsi"/>
          <w:color w:val="000000" w:themeColor="text1"/>
          <w:lang w:val="ro-RO" w:eastAsia="zh-CN"/>
        </w:rPr>
        <w:t xml:space="preserve">Companiile care doresc să atragă capital de la investitori pentru a se finanța și pentru a-și crește afacerea, pot să se listeze la una sau mai multe burse de valori prin efectuarea unei oferte publice inițiale (IPO). </w:t>
      </w:r>
    </w:p>
    <w:p>
      <w:pPr>
        <w:pStyle w:val="Normal"/>
        <w:jc w:val="both"/>
        <w:rPr>
          <w:rFonts w:eastAsia="SimSun" w:cs="Calibri" w:cstheme="minorHAnsi"/>
          <w:color w:val="000000" w:themeColor="text1"/>
          <w:lang w:val="ro-RO" w:eastAsia="zh-CN"/>
        </w:rPr>
      </w:pPr>
      <w:r>
        <w:rPr>
          <w:rFonts w:eastAsia="SimSun" w:cs="Calibri" w:cstheme="minorHAnsi"/>
          <w:color w:val="000000" w:themeColor="text1"/>
          <w:lang w:val="ro-RO" w:eastAsia="zh-CN"/>
        </w:rPr>
        <w:t xml:space="preserve">Începând cu anul 2000, 22 companii românești s-au finanțat prin IPO și au atras împreună 1,4 miliarde EUR. </w:t>
      </w:r>
    </w:p>
    <w:p>
      <w:pPr>
        <w:pStyle w:val="Normal"/>
        <w:jc w:val="both"/>
        <w:rPr>
          <w:rFonts w:eastAsia="SimSun" w:cs="Calibri" w:cstheme="minorHAnsi"/>
          <w:color w:val="000000" w:themeColor="text1"/>
          <w:lang w:val="ro-RO" w:eastAsia="zh-CN"/>
        </w:rPr>
      </w:pPr>
      <w:r>
        <w:rPr>
          <w:rFonts w:eastAsia="SimSun" w:cs="Calibri" w:cstheme="minorHAnsi"/>
          <w:color w:val="000000" w:themeColor="text1"/>
          <w:lang w:val="ro-RO" w:eastAsia="zh-CN"/>
        </w:rPr>
        <w:t xml:space="preserve">În timp ce din 2000 până în 2009, 11 companii s-au listat la bursă, sumele atrase au reprezentat doar 10% din suma strânsă în perioada 2000-2021. În perioada 2010-2017, 7 companii au atras prin IPO 74% din totalul sumelor strînse (1,04 miliarde EUR). În anul 2018 a avut loc un singur IPO, iar în perioada 2019-2020 nu au avut loc listări. În anul 2021 au avut loc 3 IPO-uri pe piața principală, în valoare totală de 185,2 milioane de euro și 20 listări pe piața AeRO. </w:t>
      </w:r>
    </w:p>
    <w:p>
      <w:pPr>
        <w:pStyle w:val="Normal"/>
        <w:jc w:val="both"/>
        <w:rPr>
          <w:rFonts w:eastAsia="SimSun" w:cs="Calibri" w:cstheme="minorHAnsi"/>
          <w:color w:val="000000" w:themeColor="text1"/>
          <w:lang w:val="ro-RO" w:eastAsia="zh-CN"/>
        </w:rPr>
      </w:pPr>
      <w:r>
        <w:rPr>
          <w:rFonts w:eastAsia="SimSun" w:cs="Calibri" w:cstheme="minorHAnsi"/>
          <w:color w:val="000000" w:themeColor="text1"/>
          <w:lang w:val="ro-RO" w:eastAsia="zh-CN"/>
        </w:rPr>
        <w:t>Deși în ultimii 10 ani comparativ cu începutul anilor 2000 activitatea IPO a fost mai dinamică în România, piața nu s-a dezvoltat încă pe deplin, iar numărul companiilor care se folosesc de listările la bursă pentru a se finanța rămâne limitat și în urmă față de alte regiuni precum Cehia, Austria, Polonia și Germania. IPO-urile românești au reprezentat doar 0,254% din totalul fondurilor strânse în perioada 2000-2021 de companiile din UE prin IPO-uri.</w:t>
      </w:r>
    </w:p>
    <w:p>
      <w:pPr>
        <w:pStyle w:val="Caption1"/>
        <w:keepNext w:val="true"/>
        <w:spacing w:lineRule="auto" w:line="259" w:before="200" w:after="160"/>
        <w:rPr>
          <w:rFonts w:cs="Calibri" w:cstheme="minorHAnsi"/>
        </w:rPr>
      </w:pPr>
      <w:bookmarkStart w:id="96" w:name="_Toc114571521"/>
      <w:bookmarkStart w:id="97" w:name="_Toc98958265"/>
      <w:bookmarkStart w:id="98" w:name="_Toc77602918"/>
      <w:bookmarkStart w:id="99" w:name="_Toc77602421"/>
      <w:bookmarkStart w:id="100" w:name="_Toc77588435"/>
      <w:bookmarkStart w:id="101" w:name="_Toc68882411"/>
      <w:bookmarkStart w:id="102" w:name="_Toc68880470"/>
      <w:bookmarkStart w:id="103" w:name="_Toc68880011"/>
      <w:bookmarkStart w:id="104" w:name="_Toc68710828"/>
      <w:bookmarkStart w:id="105" w:name="_Toc68710746"/>
      <w:bookmarkStart w:id="106" w:name="_Toc68698429"/>
      <w:bookmarkStart w:id="107" w:name="_Toc68634632"/>
      <w:bookmarkStart w:id="108" w:name="_Toc68633820"/>
      <w:bookmarkStart w:id="109" w:name="_Toc68628366"/>
      <w:bookmarkStart w:id="110" w:name="_Toc68627712"/>
      <w:bookmarkStart w:id="111" w:name="_Toc62763479"/>
      <w:bookmarkStart w:id="112" w:name="_Toc62763375"/>
      <w:bookmarkStart w:id="113" w:name="_Toc62763167"/>
      <w:bookmarkStart w:id="114" w:name="_Toc62741859"/>
      <w:bookmarkStart w:id="115" w:name="_Toc62724033"/>
      <w:bookmarkStart w:id="116" w:name="_Toc62721825"/>
      <w:bookmarkStart w:id="117" w:name="_Toc62665386"/>
      <w:bookmarkStart w:id="118" w:name="_Toc62660882"/>
      <w:bookmarkStart w:id="119" w:name="_Toc62650392"/>
      <w:bookmarkStart w:id="120" w:name="_Toc62648648"/>
      <w:bookmarkStart w:id="121" w:name="_Toc62641594"/>
      <w:bookmarkStart w:id="122" w:name="_Toc62641421"/>
      <w:bookmarkStart w:id="123" w:name="_Toc62584907"/>
      <w:bookmarkStart w:id="124" w:name="_Toc62578894"/>
      <w:bookmarkStart w:id="125" w:name="_Toc62575182"/>
      <w:bookmarkStart w:id="126" w:name="_Toc62228141"/>
      <w:bookmarkStart w:id="127" w:name="_Toc62227725"/>
      <w:bookmarkStart w:id="128" w:name="_Toc62217493"/>
      <w:bookmarkStart w:id="129" w:name="_Toc62216485"/>
      <w:bookmarkStart w:id="130" w:name="_Toc62147458"/>
      <w:bookmarkStart w:id="131" w:name="_Toc62145919"/>
      <w:bookmarkStart w:id="132" w:name="_Toc62145711"/>
      <w:bookmarkStart w:id="133" w:name="_Toc62135052"/>
      <w:bookmarkStart w:id="134" w:name="_Toc62072366"/>
      <w:bookmarkStart w:id="135" w:name="_Toc62069832"/>
      <w:bookmarkStart w:id="136" w:name="_Toc62057043"/>
      <w:bookmarkStart w:id="137" w:name="_Toc62030096"/>
      <w:bookmarkStart w:id="138" w:name="_Toc61977225"/>
      <w:bookmarkStart w:id="139" w:name="_Toc61977123"/>
      <w:bookmarkStart w:id="140" w:name="_Toc61897960"/>
      <w:bookmarkStart w:id="141" w:name="_Toc61893288"/>
      <w:bookmarkStart w:id="142" w:name="_Toc61889716"/>
      <w:bookmarkStart w:id="143" w:name="_Toc61885398"/>
      <w:bookmarkStart w:id="144" w:name="_Toc61884762"/>
      <w:bookmarkStart w:id="145" w:name="_Toc61871319"/>
      <w:bookmarkStart w:id="146" w:name="_Toc61864427"/>
      <w:bookmarkStart w:id="147" w:name="_Toc61860377"/>
      <w:r>
        <w:rPr/>
        <w:t xml:space="preserve">Figura </w:t>
      </w:r>
      <w:r>
        <w:rPr/>
        <w:fldChar w:fldCharType="begin"/>
      </w:r>
      <w:r>
        <w:rPr/>
        <w:instrText> SEQ Figura \* ARABIC </w:instrText>
      </w:r>
      <w:r>
        <w:rPr/>
        <w:fldChar w:fldCharType="separate"/>
      </w:r>
      <w:r>
        <w:rPr/>
        <w:t>12</w:t>
      </w:r>
      <w:r>
        <w:rPr/>
        <w:fldChar w:fldCharType="end"/>
      </w:r>
      <w:r>
        <w:rPr>
          <w:rFonts w:cs="Calibri" w:cstheme="minorHAnsi"/>
        </w:rPr>
        <w:t xml:space="preserve">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cs="Calibri" w:cstheme="minorHAnsi"/>
        </w:rPr>
        <w:t>Oferte publice inițiale în perioada 2000 – 2021</w:t>
      </w:r>
      <w:bookmarkEnd w:id="96"/>
    </w:p>
    <w:p>
      <w:pPr>
        <w:pStyle w:val="Normal"/>
        <w:jc w:val="center"/>
        <w:rPr>
          <w:lang w:val="ro-RO"/>
        </w:rPr>
      </w:pPr>
      <w:r>
        <w:rPr/>
        <w:drawing>
          <wp:inline distT="0" distB="1270" distL="0" distR="0">
            <wp:extent cx="5105400" cy="2437765"/>
            <wp:effectExtent l="0" t="0" r="0" b="0"/>
            <wp:docPr id="17" name="Picture 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48" descr=""/>
                    <pic:cNvPicPr>
                      <a:picLocks noChangeAspect="1" noChangeArrowheads="1"/>
                    </pic:cNvPicPr>
                  </pic:nvPicPr>
                  <pic:blipFill>
                    <a:blip r:embed="rId17"/>
                    <a:stretch>
                      <a:fillRect/>
                    </a:stretch>
                  </pic:blipFill>
                  <pic:spPr bwMode="auto">
                    <a:xfrm>
                      <a:off x="0" y="0"/>
                      <a:ext cx="5105400" cy="2437765"/>
                    </a:xfrm>
                    <a:prstGeom prst="rect">
                      <a:avLst/>
                    </a:prstGeom>
                  </pic:spPr>
                </pic:pic>
              </a:graphicData>
            </a:graphic>
          </wp:inline>
        </w:drawing>
      </w:r>
    </w:p>
    <w:p>
      <w:pPr>
        <w:pStyle w:val="Normal"/>
        <w:spacing w:before="60" w:after="160"/>
        <w:jc w:val="center"/>
        <w:rPr>
          <w:rFonts w:cs="Calibri" w:cstheme="minorHAnsi"/>
          <w:sz w:val="18"/>
          <w:lang w:val="ro-RO"/>
        </w:rPr>
      </w:pPr>
      <w:r>
        <w:rPr>
          <w:rFonts w:cs="Calibri" w:cstheme="minorHAnsi"/>
          <w:i/>
          <w:sz w:val="18"/>
          <w:lang w:val="ro-RO"/>
        </w:rPr>
        <w:t>Sursa:</w:t>
      </w:r>
      <w:r>
        <w:rPr>
          <w:rFonts w:cs="Calibri" w:cstheme="minorHAnsi"/>
          <w:sz w:val="18"/>
          <w:lang w:val="ro-RO"/>
        </w:rPr>
        <w:t xml:space="preserve"> OECD</w:t>
      </w:r>
    </w:p>
    <w:p>
      <w:pPr>
        <w:pStyle w:val="Normal"/>
        <w:jc w:val="both"/>
        <w:rPr>
          <w:rFonts w:cs="Calibri" w:cstheme="minorHAnsi"/>
          <w:lang w:val="ro-RO"/>
        </w:rPr>
      </w:pPr>
      <w:r>
        <w:rPr>
          <w:rFonts w:cs="Calibri" w:cstheme="minorHAnsi"/>
          <w:lang w:val="ro-RO"/>
        </w:rPr>
        <w:t xml:space="preserve">Cel mai mare IPO a unei companii românești a avut loc în 2014 când compania de distribuție și furnizare a energiei electrice Electrica SA a strâns o sumă record de 460 milioane EUR, cu o listare primară la Bursa de Valori București și o listare secundară la Bursa de Valori din Londra Compania de producere a gazelor naturale SNGN Romgaz SA a strâns în 2013 prin IPO aproape 400 de milioane de euro, cu o listare primară la BVB și o listarea secundară la Bursa de Valori din Londra. Din cele 22 IPO-uri românești, 5 au fost realizate de companii în care statul este acționar majoritar, reprezentând aproape 73% din totalul sumelor strânse din 2000.  </w:t>
      </w:r>
    </w:p>
    <w:p>
      <w:pPr>
        <w:pStyle w:val="Normal"/>
        <w:rPr>
          <w:rFonts w:cs="Calibri" w:cstheme="minorHAnsi"/>
          <w:b/>
          <w:b/>
          <w:bCs/>
          <w:color w:val="002060"/>
          <w:sz w:val="20"/>
          <w:lang w:val="ro-RO"/>
        </w:rPr>
      </w:pPr>
      <w:bookmarkStart w:id="148" w:name="_Toc110530372"/>
      <w:r>
        <w:rPr>
          <w:rFonts w:cs="Calibri" w:cstheme="minorHAnsi"/>
          <w:i/>
          <w:color w:val="002060"/>
          <w:sz w:val="18"/>
          <w:szCs w:val="20"/>
          <w:lang w:val="ro-RO"/>
        </w:rPr>
        <w:t xml:space="preserve">Tabelul </w:t>
      </w:r>
      <w:r>
        <w:rPr>
          <w:rFonts w:cs="Calibri" w:cstheme="minorHAnsi"/>
          <w:i/>
          <w:color w:val="002060"/>
          <w:sz w:val="18"/>
          <w:szCs w:val="20"/>
          <w:lang w:val="ro-RO"/>
        </w:rPr>
        <w:fldChar w:fldCharType="begin"/>
      </w:r>
      <w:r>
        <w:rPr>
          <w:sz w:val="18"/>
          <w:i/>
          <w:szCs w:val="20"/>
          <w:rFonts w:cs="Calibri"/>
        </w:rPr>
        <w:instrText> SEQ Tabelul \* ARABIC </w:instrText>
      </w:r>
      <w:r>
        <w:rPr>
          <w:sz w:val="18"/>
          <w:i/>
          <w:szCs w:val="20"/>
          <w:rFonts w:cs="Calibri"/>
        </w:rPr>
        <w:fldChar w:fldCharType="separate"/>
      </w:r>
      <w:r>
        <w:rPr>
          <w:sz w:val="18"/>
          <w:i/>
          <w:szCs w:val="20"/>
          <w:rFonts w:cs="Calibri"/>
        </w:rPr>
        <w:t>7</w:t>
      </w:r>
      <w:r>
        <w:rPr>
          <w:sz w:val="18"/>
          <w:i/>
          <w:szCs w:val="20"/>
          <w:rFonts w:cs="Calibri"/>
        </w:rPr>
        <w:fldChar w:fldCharType="end"/>
      </w:r>
      <w:r>
        <w:rPr>
          <w:rFonts w:cs="Calibri" w:cstheme="minorHAnsi"/>
          <w:i/>
          <w:color w:val="002060"/>
          <w:sz w:val="18"/>
          <w:szCs w:val="20"/>
          <w:lang w:val="ro-RO"/>
        </w:rPr>
        <w:t xml:space="preserve"> IPO-uri finalizate în România</w:t>
      </w:r>
      <w:bookmarkEnd w:id="148"/>
    </w:p>
    <w:tbl>
      <w:tblPr>
        <w:tblW w:w="5000" w:type="pct"/>
        <w:jc w:val="left"/>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Look w:firstRow="1" w:noVBand="1" w:lastRow="0" w:firstColumn="1" w:lastColumn="0" w:noHBand="0" w:val="04a0"/>
      </w:tblPr>
      <w:tblGrid>
        <w:gridCol w:w="4202"/>
        <w:gridCol w:w="2162"/>
        <w:gridCol w:w="1006"/>
        <w:gridCol w:w="684"/>
        <w:gridCol w:w="1306"/>
      </w:tblGrid>
      <w:tr>
        <w:trPr>
          <w:trHeight w:val="23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0"/>
              <w:rPr>
                <w:rFonts w:cs="Calibri" w:cstheme="minorHAnsi"/>
                <w:b/>
                <w:b/>
                <w:bCs/>
                <w:sz w:val="20"/>
                <w:lang w:val="ro-RO"/>
              </w:rPr>
            </w:pPr>
            <w:r>
              <w:rPr>
                <w:rFonts w:cs="Calibri" w:cstheme="minorHAnsi"/>
                <w:b/>
                <w:bCs/>
                <w:sz w:val="20"/>
                <w:lang w:val="ro-RO"/>
              </w:rPr>
              <w:t>Denumire emitent</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0"/>
              <w:rPr>
                <w:rFonts w:cs="Calibri" w:cstheme="minorHAnsi"/>
                <w:b/>
                <w:b/>
                <w:bCs/>
                <w:sz w:val="20"/>
                <w:lang w:val="ro-RO"/>
              </w:rPr>
            </w:pPr>
            <w:r>
              <w:rPr>
                <w:rFonts w:cs="Calibri" w:cstheme="minorHAnsi"/>
                <w:b/>
                <w:bCs/>
                <w:sz w:val="20"/>
                <w:lang w:val="ro-RO"/>
              </w:rPr>
              <w:t>Sector economic</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0"/>
              <w:rPr>
                <w:rFonts w:cs="Calibri" w:cstheme="minorHAnsi"/>
                <w:b/>
                <w:b/>
                <w:sz w:val="20"/>
                <w:lang w:val="ro-RO"/>
              </w:rPr>
            </w:pPr>
            <w:r>
              <w:rPr>
                <w:rFonts w:cs="Calibri" w:cstheme="minorHAnsi"/>
                <w:b/>
                <w:bCs/>
                <w:sz w:val="20"/>
                <w:lang w:val="ro-RO"/>
              </w:rPr>
              <w:t>Companii deținute de stat</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0"/>
              <w:rPr>
                <w:rFonts w:cs="Calibri" w:cstheme="minorHAnsi"/>
                <w:b/>
                <w:b/>
                <w:bCs/>
                <w:sz w:val="20"/>
                <w:lang w:val="ro-RO"/>
              </w:rPr>
            </w:pPr>
            <w:r>
              <w:rPr>
                <w:rFonts w:cs="Calibri" w:cstheme="minorHAnsi"/>
                <w:b/>
                <w:bCs/>
                <w:sz w:val="20"/>
                <w:lang w:val="ro-RO"/>
              </w:rPr>
              <w:t>An</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vAlign w:val="center"/>
          </w:tcPr>
          <w:p>
            <w:pPr>
              <w:pStyle w:val="Normal"/>
              <w:spacing w:before="0" w:after="0"/>
              <w:rPr>
                <w:rFonts w:cs="Calibri" w:cstheme="minorHAnsi"/>
                <w:b/>
                <w:b/>
                <w:bCs/>
                <w:sz w:val="20"/>
                <w:lang w:val="ro-RO"/>
              </w:rPr>
            </w:pPr>
            <w:r>
              <w:rPr>
                <w:rFonts w:cs="Calibri" w:cstheme="minorHAnsi"/>
                <w:b/>
                <w:bCs/>
                <w:sz w:val="20"/>
                <w:lang w:val="ro-RO"/>
              </w:rPr>
              <w:t>Sume atrase</w:t>
            </w:r>
          </w:p>
          <w:p>
            <w:pPr>
              <w:pStyle w:val="Normal"/>
              <w:spacing w:before="0" w:after="0"/>
              <w:rPr>
                <w:rFonts w:cs="Calibri" w:cstheme="minorHAnsi"/>
                <w:b/>
                <w:b/>
                <w:bCs/>
                <w:sz w:val="20"/>
                <w:lang w:val="ro-RO"/>
              </w:rPr>
            </w:pPr>
            <w:r>
              <w:rPr>
                <w:rFonts w:cs="Calibri" w:cstheme="minorHAnsi"/>
                <w:b/>
                <w:bCs/>
                <w:sz w:val="20"/>
                <w:lang w:val="ro-RO"/>
              </w:rPr>
              <w:t>(mii EUR)</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Electrica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Utilități</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 xml:space="preserve">Da </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2014</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456 234</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SNGN Romgaz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Energie</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Da</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2013</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398 928</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Societatae Nationala Nuclearelectrica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Utilități</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Da</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2013</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75 717</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Aquila Part Prod Com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Industrial</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2021</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74 089</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Transgaz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Utilități</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Da</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2007</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69 112</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Sphera Franchise Group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Consum ciclic</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 xml:space="preserve">Nu </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2017</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63 999</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Transport Trade Services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Industrial</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2021</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58 538</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One United Properties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Industrial</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2021</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52 666</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MedLife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Sănătate</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2016</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43 388</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Purcari Wineries Public Company Limited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Consum non-ciclic</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2018</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39 935</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Transelectrica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Utilități</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Da</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2006</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34 380</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SC Teraplast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Consum ciclic</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2008</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14 938</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Flamingo International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Tehnologie</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2005</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12 288</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Alumil Rom Industry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Consum ciclic</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2006</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8 892</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Contor Group</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Industrial</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2008</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3 258</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Casa de Bucovina Club de Munte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Consum ciclic</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2007</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2 747</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Transilvania Broker de Asigurare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Financiar</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2017</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1 961</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M.J. Maillis Romania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Materii prime</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2001</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1 579</w:t>
            </w:r>
          </w:p>
        </w:tc>
      </w:tr>
      <w:tr>
        <w:trPr>
          <w:trHeight w:val="255"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SC AAGES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Industrial</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2017</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1 210</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Vrancart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Materii prime</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2005</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712</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BRD Groupe Societe Generale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Financiar</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2002</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31</w:t>
            </w:r>
          </w:p>
        </w:tc>
      </w:tr>
      <w:tr>
        <w:trPr>
          <w:trHeight w:val="213" w:hRule="atLeast"/>
        </w:trPr>
        <w:tc>
          <w:tcPr>
            <w:tcW w:w="420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SSIF BRK Financial Group SA</w:t>
            </w:r>
          </w:p>
        </w:tc>
        <w:tc>
          <w:tcPr>
            <w:tcW w:w="216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Consum non-ciclic</w:t>
            </w:r>
          </w:p>
        </w:tc>
        <w:tc>
          <w:tcPr>
            <w:tcW w:w="10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tcPr>
          <w:p>
            <w:pPr>
              <w:pStyle w:val="Normal"/>
              <w:spacing w:before="0" w:after="0"/>
              <w:rPr>
                <w:rFonts w:cs="Calibri" w:cstheme="minorHAnsi"/>
                <w:sz w:val="20"/>
                <w:lang w:val="ro-RO"/>
              </w:rPr>
            </w:pPr>
            <w:r>
              <w:rPr>
                <w:rFonts w:cs="Calibri" w:cstheme="minorHAnsi"/>
                <w:sz w:val="20"/>
                <w:lang w:val="ro-RO"/>
              </w:rPr>
              <w:t>Nu</w:t>
            </w:r>
          </w:p>
        </w:tc>
        <w:tc>
          <w:tcPr>
            <w:tcW w:w="684"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2005</w:t>
            </w:r>
          </w:p>
        </w:tc>
        <w:tc>
          <w:tcPr>
            <w:tcW w:w="130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spacing w:before="0" w:after="0"/>
              <w:rPr>
                <w:rFonts w:cs="Calibri" w:cstheme="minorHAnsi"/>
                <w:sz w:val="20"/>
                <w:lang w:val="ro-RO"/>
              </w:rPr>
            </w:pPr>
            <w:r>
              <w:rPr>
                <w:rFonts w:cs="Calibri" w:cstheme="minorHAnsi"/>
                <w:sz w:val="20"/>
                <w:lang w:val="ro-RO"/>
              </w:rPr>
              <w:t>3</w:t>
            </w:r>
          </w:p>
        </w:tc>
      </w:tr>
    </w:tbl>
    <w:p>
      <w:pPr>
        <w:pStyle w:val="Normal"/>
        <w:rPr>
          <w:rFonts w:cs="Calibri" w:cstheme="minorHAnsi"/>
          <w:lang w:val="ro-RO"/>
        </w:rPr>
      </w:pPr>
      <w:r>
        <w:rPr>
          <w:rFonts w:cs="Calibri" w:cstheme="minorHAnsi"/>
          <w:i/>
          <w:lang w:val="ro-RO"/>
        </w:rPr>
        <w:t xml:space="preserve">Notă: </w:t>
      </w:r>
      <w:r>
        <w:rPr>
          <w:rFonts w:cs="Calibri" w:cstheme="minorHAnsi"/>
          <w:lang w:val="ro-RO"/>
        </w:rPr>
        <w:t xml:space="preserve">O companie este considerată ca fiind deținută de stat dacă sectorul public deține peste 20% din capitalul acesteia. </w:t>
      </w:r>
    </w:p>
    <w:p>
      <w:pPr>
        <w:pStyle w:val="Normal"/>
        <w:rPr>
          <w:rFonts w:cs="Calibri" w:cstheme="minorHAnsi"/>
          <w:lang w:val="ro-RO"/>
        </w:rPr>
      </w:pPr>
      <w:r>
        <w:rPr>
          <w:rFonts w:cs="Calibri" w:cstheme="minorHAnsi"/>
          <w:i/>
          <w:lang w:val="ro-RO"/>
        </w:rPr>
        <w:t>Sursa:</w:t>
      </w:r>
      <w:r>
        <w:rPr>
          <w:rFonts w:cs="Calibri" w:cstheme="minorHAnsi"/>
          <w:lang w:val="ro-RO"/>
        </w:rPr>
        <w:t xml:space="preserve"> OECD</w:t>
      </w:r>
      <w:bookmarkStart w:id="149" w:name="_Hlk100580972"/>
      <w:bookmarkEnd w:id="149"/>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Oferte publice derulate ulterior admiterii initiale la tranzacționare a valorilor mobiliare (acțiunilor)</w:t>
      </w:r>
    </w:p>
    <w:p>
      <w:pPr>
        <w:pStyle w:val="Normal"/>
        <w:jc w:val="both"/>
        <w:rPr>
          <w:rFonts w:cs="Calibri" w:cstheme="minorHAnsi"/>
          <w:color w:val="000000" w:themeColor="text1"/>
          <w:lang w:val="ro-RO"/>
        </w:rPr>
      </w:pPr>
      <w:r>
        <w:rPr>
          <w:rFonts w:cs="Calibri" w:cstheme="minorHAnsi"/>
          <w:color w:val="000000" w:themeColor="text1"/>
          <w:lang w:val="ro-RO"/>
        </w:rPr>
        <w:t>Companiile care sunt deja listate pot atrage capitaluri suplimentare  prin oferte derulate ulterior admiterii (SPO-uri sau oferte ulterioare). O companie poate folosi această sursă de recapitalizare de mai multe ori, în funcție de nevoile sale de finanțare. Sumele atrase prin SPO-uri pot fi utilizate pentru o varietate de scopuri și pot ajuta la redresarea temporară a companiilor. SPO-urile au jucat un rol important în finanțarea companiilor în urma crizei financiare din 2008 și a crizei COVID 19 din 2020.</w:t>
      </w:r>
    </w:p>
    <w:p>
      <w:pPr>
        <w:pStyle w:val="Normal"/>
        <w:jc w:val="both"/>
        <w:rPr>
          <w:rFonts w:cs="Calibri" w:cstheme="minorHAnsi"/>
          <w:color w:val="202124"/>
          <w:lang w:val="ro-RO"/>
        </w:rPr>
      </w:pPr>
      <w:r>
        <w:rPr>
          <w:rFonts w:cs="Calibri" w:cstheme="minorHAnsi"/>
          <w:color w:val="000000" w:themeColor="text1"/>
          <w:lang w:val="ro-RO"/>
        </w:rPr>
        <w:t>Din anul 2000, companiile românești au desfășurat 28 de SPO, strângând un total de 1,9 miliarde EUR. Până în anul 2008, activitatea SPO în România a fost inexistentă, cu excepția unei companii  din categoria consum ciclice încă din 1996. Din 2008, au avut loc în medie 2 SPO anual. În ceea ce privește sumele atrase, anul 2011 a înregistrat o sumă record de 554 de milioane de euro, în mare parte datorită primului SPO realizat de OMV Petrom SA, companie controlată de stat din sectorul energetic. În 2016, a avut loc cel de-al doilea SPO al OMV Petrom SA și SPO al companiei SNGN Romgaz SA, companie controlată tot de statul român din sectorul energetic. Cele două SPO au strâns o sumă totală de 305 milioane EUR. În anii 2018 și 2019, o singură companie a ales să se finanțeze prin SPO, iar în anii 2020 și 2021 nu a existat nici o SPO.</w:t>
      </w:r>
      <w:bookmarkStart w:id="150" w:name="_Hlk101266219"/>
      <w:bookmarkEnd w:id="150"/>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Lichiditatea pieței locale de capital</w:t>
      </w:r>
    </w:p>
    <w:p>
      <w:pPr>
        <w:pStyle w:val="Normal"/>
        <w:spacing w:lineRule="auto" w:line="276" w:before="120" w:after="120"/>
        <w:jc w:val="both"/>
        <w:rPr>
          <w:rFonts w:cs="Calibri" w:cstheme="minorHAnsi"/>
          <w:lang w:val="ro-RO"/>
        </w:rPr>
      </w:pPr>
      <w:bookmarkStart w:id="151" w:name="_Toc98958270"/>
      <w:bookmarkStart w:id="152" w:name="_Toc77602923"/>
      <w:bookmarkStart w:id="153" w:name="_Toc77602426"/>
      <w:bookmarkStart w:id="154" w:name="_Toc77588440"/>
      <w:bookmarkStart w:id="155" w:name="_Toc68882416"/>
      <w:bookmarkStart w:id="156" w:name="_Toc68880475"/>
      <w:bookmarkStart w:id="157" w:name="_Toc68880016"/>
      <w:bookmarkStart w:id="158" w:name="_Toc68710833"/>
      <w:bookmarkStart w:id="159" w:name="_Toc68710751"/>
      <w:bookmarkStart w:id="160" w:name="_Toc68698434"/>
      <w:bookmarkStart w:id="161" w:name="_Toc68634637"/>
      <w:bookmarkStart w:id="162" w:name="_Toc68633825"/>
      <w:bookmarkStart w:id="163" w:name="_Toc68628371"/>
      <w:bookmarkStart w:id="164" w:name="_Toc68627717"/>
      <w:bookmarkStart w:id="165" w:name="_Toc62763484"/>
      <w:bookmarkStart w:id="166" w:name="_Toc62763380"/>
      <w:bookmarkStart w:id="167" w:name="_Toc62763172"/>
      <w:bookmarkStart w:id="168" w:name="_Toc62741864"/>
      <w:bookmarkStart w:id="169" w:name="_Toc62724038"/>
      <w:bookmarkStart w:id="170" w:name="_Toc62721830"/>
      <w:bookmarkStart w:id="171" w:name="_Toc62665391"/>
      <w:bookmarkStart w:id="172" w:name="_Toc62660887"/>
      <w:bookmarkStart w:id="173" w:name="_Toc62650397"/>
      <w:bookmarkStart w:id="174" w:name="_Toc62648653"/>
      <w:bookmarkStart w:id="175" w:name="_Toc62641599"/>
      <w:bookmarkStart w:id="176" w:name="_Toc62641426"/>
      <w:bookmarkStart w:id="177" w:name="_Toc62584912"/>
      <w:bookmarkStart w:id="178" w:name="_Toc62578899"/>
      <w:bookmarkStart w:id="179" w:name="_Toc62575187"/>
      <w:bookmarkStart w:id="180" w:name="_Toc62228146"/>
      <w:bookmarkStart w:id="181" w:name="_Toc62227730"/>
      <w:bookmarkStart w:id="182" w:name="_Toc62217498"/>
      <w:bookmarkStart w:id="183" w:name="_Toc62216490"/>
      <w:bookmarkStart w:id="184" w:name="_Toc62147463"/>
      <w:bookmarkStart w:id="185" w:name="_Toc62145924"/>
      <w:bookmarkStart w:id="186" w:name="_Toc62145716"/>
      <w:bookmarkStart w:id="187" w:name="_Toc62135057"/>
      <w:bookmarkStart w:id="188" w:name="_Toc62072371"/>
      <w:bookmarkStart w:id="189" w:name="_Toc62069837"/>
      <w:bookmarkStart w:id="190" w:name="_Toc62057048"/>
      <w:bookmarkStart w:id="191" w:name="_Toc62030101"/>
      <w:bookmarkStart w:id="192" w:name="_Toc61977230"/>
      <w:bookmarkStart w:id="193" w:name="_Toc61977128"/>
      <w:bookmarkStart w:id="194" w:name="_Toc61897965"/>
      <w:bookmarkStart w:id="195" w:name="_Toc61893293"/>
      <w:bookmarkStart w:id="196" w:name="_Toc61889721"/>
      <w:bookmarkStart w:id="197" w:name="_Toc61885403"/>
      <w:bookmarkStart w:id="198" w:name="_Toc61884767"/>
      <w:bookmarkStart w:id="199" w:name="_Toc61871324"/>
      <w:bookmarkStart w:id="200" w:name="_Toc61864432"/>
      <w:bookmarkStart w:id="201" w:name="_Toc61860382"/>
      <w:r>
        <w:rPr>
          <w:rFonts w:cs="Calibri" w:cstheme="minorHAnsi"/>
          <w:lang w:val="ro-RO"/>
        </w:rPr>
        <w:t>Valoarea totală tranzacționată pe piața Reglementată în anul 2021 a crescut comparativ cu aceeași perioadă a anului 2020 și a reprezentat 20,04 miliarde lei. Aproximativ 93% din valoarea totală a tranzacțiilor a avut loc pe piața reglementată a BVB, restul fiind derulate pe SMT. Pe lângă acțiuni, tranzacțiile cu titluri de stat și cu obligațiuni denominate în EUR au avut ponderi semnificative în valoarea tranzacționată în ultimele trimestre pe BVB.</w:t>
      </w:r>
    </w:p>
    <w:p>
      <w:pPr>
        <w:pStyle w:val="Normal"/>
        <w:rPr>
          <w:rFonts w:cs="Calibri" w:cstheme="minorHAnsi"/>
          <w:i/>
          <w:i/>
          <w:iCs/>
          <w:color w:val="44546A" w:themeColor="text2"/>
          <w:sz w:val="18"/>
          <w:szCs w:val="18"/>
          <w:lang w:val="ro-RO"/>
        </w:rPr>
      </w:pPr>
      <w:r>
        <w:rPr>
          <w:rFonts w:cs="Calibri" w:cstheme="minorHAnsi"/>
          <w:i/>
          <w:iCs/>
          <w:color w:val="44546A" w:themeColor="text2"/>
          <w:sz w:val="18"/>
          <w:szCs w:val="18"/>
          <w:lang w:val="ro-RO"/>
        </w:rPr>
      </w:r>
    </w:p>
    <w:p>
      <w:pPr>
        <w:pStyle w:val="Normal"/>
        <w:rPr>
          <w:rFonts w:cs="Calibri" w:cstheme="minorHAnsi"/>
          <w:i/>
          <w:i/>
          <w:iCs/>
          <w:color w:val="2F5496" w:themeColor="accent5" w:themeShade="bf"/>
          <w:sz w:val="18"/>
          <w:szCs w:val="18"/>
          <w:lang w:val="ro-RO"/>
        </w:rPr>
      </w:pPr>
      <w:bookmarkStart w:id="202" w:name="_Toc114571522"/>
      <w:r>
        <w:rPr>
          <w:rFonts w:cs="Calibri" w:cstheme="minorHAnsi"/>
          <w:i/>
          <w:iCs/>
          <w:color w:val="2F5496" w:themeColor="accent5" w:themeShade="bf"/>
          <w:sz w:val="18"/>
          <w:szCs w:val="18"/>
          <w:lang w:val="ro-RO"/>
        </w:rPr>
        <w:t xml:space="preserve">Figura </w:t>
      </w:r>
      <w:r>
        <w:rPr>
          <w:rFonts w:cs="Calibri" w:cstheme="minorHAnsi"/>
          <w:i/>
          <w:iCs/>
          <w:color w:val="2F5496" w:themeColor="accent5" w:themeShade="bf"/>
          <w:sz w:val="18"/>
          <w:szCs w:val="18"/>
          <w:lang w:val="ro-RO"/>
        </w:rPr>
        <w:fldChar w:fldCharType="begin"/>
      </w:r>
      <w:r>
        <w:rPr>
          <w:sz w:val="18"/>
          <w:i/>
          <w:szCs w:val="18"/>
          <w:iCs/>
          <w:rFonts w:cs="Calibri"/>
        </w:rPr>
        <w:instrText> SEQ Figura \* ARABIC </w:instrText>
      </w:r>
      <w:r>
        <w:rPr>
          <w:sz w:val="18"/>
          <w:i/>
          <w:szCs w:val="18"/>
          <w:iCs/>
          <w:rFonts w:cs="Calibri"/>
        </w:rPr>
        <w:fldChar w:fldCharType="separate"/>
      </w:r>
      <w:r>
        <w:rPr>
          <w:sz w:val="18"/>
          <w:i/>
          <w:szCs w:val="18"/>
          <w:iCs/>
          <w:rFonts w:cs="Calibri"/>
        </w:rPr>
        <w:t>13</w:t>
      </w:r>
      <w:r>
        <w:rPr>
          <w:sz w:val="18"/>
          <w:i/>
          <w:szCs w:val="18"/>
          <w:iCs/>
          <w:rFonts w:cs="Calibri"/>
        </w:rPr>
        <w:fldChar w:fldCharType="end"/>
      </w:r>
      <w:r>
        <w:rPr>
          <w:color w:val="2F5496" w:themeColor="accent5" w:themeShade="bf"/>
          <w:lang w:val="ro-RO"/>
        </w:rPr>
        <w:t xml:space="preserve"> </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i/>
          <w:iCs/>
          <w:color w:val="2F5496" w:themeColor="accent5" w:themeShade="bf"/>
          <w:sz w:val="18"/>
          <w:szCs w:val="18"/>
          <w:lang w:val="ro-RO"/>
        </w:rPr>
        <w:t>Structura trimestrială a tranzacțiilor derulate pe piața Reglementată în perioada T4 2019 – T4 2021</w:t>
      </w:r>
      <w:bookmarkEnd w:id="202"/>
    </w:p>
    <w:p>
      <w:pPr>
        <w:pStyle w:val="Normal"/>
        <w:spacing w:before="0" w:after="0"/>
        <w:rPr>
          <w:rFonts w:cs="Calibri" w:cstheme="minorHAnsi"/>
          <w:i/>
          <w:i/>
          <w:sz w:val="18"/>
          <w:lang w:val="ro-RO"/>
        </w:rPr>
      </w:pPr>
      <w:r>
        <w:rPr/>
        <w:drawing>
          <wp:inline distT="0" distB="0" distL="0" distR="0">
            <wp:extent cx="5943600" cy="1532255"/>
            <wp:effectExtent l="0" t="0" r="0" b="0"/>
            <wp:docPr id="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Normal"/>
        <w:spacing w:before="0" w:after="0"/>
        <w:jc w:val="center"/>
        <w:rPr>
          <w:rFonts w:cs="Calibri" w:cstheme="minorHAnsi"/>
          <w:i/>
          <w:i/>
          <w:sz w:val="18"/>
          <w:lang w:val="ro-RO"/>
        </w:rPr>
      </w:pPr>
      <w:r>
        <w:rPr>
          <w:rFonts w:cs="Calibri" w:cstheme="minorHAnsi"/>
          <w:i/>
          <w:sz w:val="18"/>
          <w:lang w:val="ro-RO"/>
        </w:rPr>
      </w:r>
    </w:p>
    <w:p>
      <w:pPr>
        <w:pStyle w:val="Normal"/>
        <w:spacing w:before="0" w:after="0"/>
        <w:jc w:val="center"/>
        <w:rPr>
          <w:rFonts w:eastAsia="Times New Roman" w:cs="Calibri" w:cstheme="minorHAnsi"/>
          <w:i/>
          <w:i/>
          <w:sz w:val="18"/>
          <w:szCs w:val="20"/>
          <w:lang w:val="ro-RO" w:eastAsia="ro-RO"/>
        </w:rPr>
      </w:pPr>
      <w:r>
        <w:rPr>
          <w:rFonts w:eastAsia="Times New Roman" w:cs="Calibri" w:cstheme="minorHAnsi"/>
          <w:i/>
          <w:sz w:val="18"/>
          <w:szCs w:val="20"/>
          <w:lang w:val="ro-RO" w:eastAsia="ro-RO"/>
        </w:rPr>
        <w:t>Sursa: prelucrare ASF după datele BVB</w:t>
      </w:r>
    </w:p>
    <w:p>
      <w:pPr>
        <w:pStyle w:val="Normal"/>
        <w:spacing w:before="0" w:after="0"/>
        <w:jc w:val="center"/>
        <w:rPr/>
      </w:pPr>
      <w:r>
        <w:rPr/>
      </w:r>
      <w:bookmarkStart w:id="203" w:name="_Hlk100581749"/>
      <w:bookmarkStart w:id="204" w:name="_Hlk100581749"/>
      <w:bookmarkEnd w:id="204"/>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Investitorii și Structura acționariatului</w:t>
      </w:r>
    </w:p>
    <w:p>
      <w:pPr>
        <w:pStyle w:val="Normal"/>
        <w:jc w:val="both"/>
        <w:rPr>
          <w:rFonts w:ascii="Arial" w:hAnsi="Arial" w:cs="Arial"/>
          <w:sz w:val="18"/>
          <w:lang w:val="ro-RO" w:eastAsia="zh-CN"/>
        </w:rPr>
      </w:pPr>
      <w:r>
        <w:rPr>
          <w:rFonts w:eastAsia="SimSun" w:cs="Calibri" w:cstheme="minorHAnsi"/>
          <w:color w:val="000000" w:themeColor="text1"/>
          <w:lang w:val="ro-RO" w:eastAsia="zh-CN"/>
        </w:rPr>
        <w:t xml:space="preserve">Structura acționariatului companiilor listate la BVB este destul de concentrată. În șase din zece companii listate, cel mai mare acționar unic deține peste 50% din capitalul social. Acest nivel de control și concentrare este mult mai ridicat decât în ​​alte țări europene. Corporațiile și holdingurile dețin în medie 54% din capitalul propriu în aproape 40% dintre companiile listate. Totodată, sectorul public este un acționar important, dar în mai puține companii, deținând pentru 17% dintre companiile listate în medie 56% din capital. </w:t>
      </w:r>
      <w:bookmarkStart w:id="205" w:name="_Toc98958272"/>
      <w:bookmarkStart w:id="206" w:name="_Toc77602925"/>
      <w:bookmarkStart w:id="207" w:name="_Toc77602428"/>
      <w:bookmarkStart w:id="208" w:name="_Toc77588442"/>
      <w:bookmarkStart w:id="209" w:name="_Toc68882418"/>
      <w:bookmarkStart w:id="210" w:name="_Toc68880477"/>
      <w:bookmarkStart w:id="211" w:name="_Toc68880018"/>
      <w:bookmarkStart w:id="212" w:name="_Toc68710835"/>
      <w:bookmarkStart w:id="213" w:name="_Toc68710753"/>
      <w:bookmarkStart w:id="214" w:name="_Toc68698436"/>
      <w:bookmarkStart w:id="215" w:name="_Toc68634639"/>
      <w:bookmarkStart w:id="216" w:name="_Toc68633827"/>
      <w:bookmarkStart w:id="217" w:name="_Toc68628373"/>
      <w:bookmarkStart w:id="218" w:name="_Toc68627719"/>
      <w:bookmarkStart w:id="219" w:name="_Toc62763486"/>
      <w:bookmarkStart w:id="220" w:name="_Toc62763382"/>
      <w:bookmarkStart w:id="221" w:name="_Toc62763174"/>
      <w:bookmarkStart w:id="222" w:name="_Toc62741866"/>
      <w:bookmarkStart w:id="223" w:name="_Toc62724040"/>
      <w:bookmarkStart w:id="224" w:name="_Toc62721832"/>
      <w:bookmarkStart w:id="225" w:name="_Toc62665393"/>
      <w:bookmarkStart w:id="226" w:name="_Toc62660889"/>
      <w:bookmarkStart w:id="227" w:name="_Toc62650399"/>
      <w:bookmarkStart w:id="228" w:name="_Toc62648655"/>
      <w:bookmarkStart w:id="229" w:name="_Toc62641601"/>
      <w:bookmarkStart w:id="230" w:name="_Toc62641428"/>
      <w:bookmarkStart w:id="231" w:name="_Toc62584914"/>
      <w:bookmarkStart w:id="232" w:name="_Toc62578901"/>
      <w:bookmarkStart w:id="233" w:name="_Toc62575189"/>
      <w:bookmarkStart w:id="234" w:name="_Toc62228148"/>
      <w:bookmarkStart w:id="235" w:name="_Toc62227732"/>
      <w:bookmarkStart w:id="236" w:name="_Toc62217500"/>
      <w:bookmarkStart w:id="237" w:name="_Toc62216492"/>
      <w:bookmarkStart w:id="238" w:name="_Toc62147465"/>
      <w:bookmarkStart w:id="239" w:name="_Toc62145926"/>
      <w:bookmarkStart w:id="240" w:name="_Toc62145718"/>
      <w:bookmarkStart w:id="241" w:name="_Toc62135059"/>
      <w:bookmarkStart w:id="242" w:name="_Toc62072373"/>
      <w:bookmarkStart w:id="243" w:name="_Toc62069839"/>
      <w:bookmarkStart w:id="244" w:name="_Toc62057050"/>
      <w:bookmarkStart w:id="245" w:name="_Toc62030103"/>
      <w:bookmarkStart w:id="246" w:name="_Toc61977232"/>
      <w:bookmarkStart w:id="247" w:name="_Toc61977130"/>
      <w:bookmarkStart w:id="248" w:name="_Toc61897967"/>
      <w:bookmarkStart w:id="249" w:name="_Toc61893295"/>
      <w:bookmarkStart w:id="250" w:name="_Toc61889723"/>
      <w:bookmarkStart w:id="251" w:name="_Toc61885405"/>
      <w:bookmarkStart w:id="252" w:name="_Toc61884769"/>
      <w:bookmarkStart w:id="253" w:name="_Toc61871326"/>
      <w:bookmarkStart w:id="254" w:name="_Toc61864434"/>
      <w:bookmarkStart w:id="255" w:name="_Toc61860384"/>
    </w:p>
    <w:p>
      <w:pPr>
        <w:pStyle w:val="Caption1"/>
        <w:keepNext w:val="true"/>
        <w:spacing w:lineRule="auto" w:line="259" w:before="200" w:after="160"/>
        <w:rPr>
          <w:rFonts w:cs="Calibri" w:cstheme="minorHAnsi"/>
        </w:rPr>
      </w:pPr>
      <w:bookmarkStart w:id="256" w:name="_Toc11457152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14</w:t>
      </w:r>
      <w:r>
        <w:rPr>
          <w:iCs w:val="false"/>
          <w:rFonts w:cs="Calibri"/>
        </w:rPr>
        <w:fldChar w:fldCharType="end"/>
      </w:r>
      <w:r>
        <w:rPr>
          <w:rFonts w:cs="Calibri" w:cstheme="minorHAnsi"/>
          <w:i w:val="false"/>
          <w:iCs w:val="false"/>
        </w:rPr>
        <w:t xml:space="preserve"> </w:t>
      </w:r>
      <w:r>
        <w:rPr>
          <w:rFonts w:cs="Calibri" w:cstheme="minorHAnsi"/>
        </w:rPr>
        <w:t>Structura acționariatului, 2021</w:t>
      </w:r>
      <w:bookmarkEnd w:id="205"/>
      <w:bookmarkEnd w:id="206"/>
      <w:bookmarkEnd w:id="207"/>
      <w:bookmarkEnd w:id="208"/>
      <w:bookmarkEnd w:id="256"/>
    </w:p>
    <w:p>
      <w:pPr>
        <w:pStyle w:val="Caption1"/>
        <w:keepNext w:val="true"/>
        <w:spacing w:lineRule="auto" w:line="259" w:before="200" w:after="160"/>
        <w:rPr>
          <w:rFonts w:cs="Calibri" w:cstheme="minorHAnsi"/>
          <w:i w:val="false"/>
          <w:i w:val="false"/>
          <w:lang w:eastAsia="zh-CN"/>
        </w:rPr>
      </w:pPr>
      <w:r>
        <w:rPr/>
        <w:drawing>
          <wp:inline distT="0" distB="0" distL="0" distR="0">
            <wp:extent cx="5943600" cy="243840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Normal"/>
        <w:jc w:val="center"/>
        <w:rPr>
          <w:rFonts w:cs="Calibri" w:cstheme="minorHAnsi"/>
          <w:sz w:val="18"/>
          <w:lang w:val="ro-RO" w:eastAsia="zh-CN"/>
        </w:rPr>
      </w:pPr>
      <w:r>
        <w:rPr>
          <w:rFonts w:cs="Calibri" w:cstheme="minorHAnsi"/>
          <w:i/>
          <w:sz w:val="18"/>
          <w:lang w:val="ro-RO" w:eastAsia="zh-CN"/>
        </w:rPr>
        <w:t>Sursa:</w:t>
      </w:r>
      <w:r>
        <w:rPr>
          <w:rFonts w:cs="Calibri" w:cstheme="minorHAnsi"/>
          <w:sz w:val="18"/>
          <w:lang w:val="ro-RO" w:eastAsia="zh-CN"/>
        </w:rPr>
        <w:t xml:space="preserve"> OECD</w:t>
      </w:r>
      <w:bookmarkStart w:id="257" w:name="_Hlk101269763"/>
      <w:bookmarkEnd w:id="257"/>
    </w:p>
    <w:p>
      <w:pPr>
        <w:pStyle w:val="Normal"/>
        <w:jc w:val="both"/>
        <w:rPr>
          <w:rFonts w:eastAsia="SimSun" w:cs="Calibri" w:cstheme="minorHAnsi"/>
          <w:color w:val="000000" w:themeColor="text1"/>
          <w:lang w:val="ro-RO" w:eastAsia="zh-CN"/>
        </w:rPr>
      </w:pPr>
      <w:r>
        <w:rPr>
          <w:rFonts w:eastAsia="SimSun" w:cs="Calibri" w:cstheme="minorHAnsi"/>
          <w:color w:val="000000" w:themeColor="text1"/>
          <w:lang w:val="ro-RO" w:eastAsia="zh-CN"/>
        </w:rPr>
        <w:t>În ceea ce privește participațiile investitorilor instituționali, două treimi dintre acestea erau deținute de investitori local, iar o treime de instituții străine.</w:t>
      </w:r>
    </w:p>
    <w:p>
      <w:pPr>
        <w:pStyle w:val="Normal"/>
        <w:jc w:val="both"/>
        <w:rPr>
          <w:rFonts w:eastAsia="SimSun" w:cs="Calibri" w:cstheme="minorHAnsi"/>
          <w:bCs/>
          <w:lang w:val="ro-RO"/>
        </w:rPr>
      </w:pPr>
      <w:bookmarkStart w:id="258" w:name="_Toc98958274"/>
      <w:bookmarkStart w:id="259" w:name="_Toc77602927"/>
      <w:bookmarkStart w:id="260" w:name="_Toc77602430"/>
      <w:bookmarkStart w:id="261" w:name="_Toc77588444"/>
      <w:bookmarkStart w:id="262" w:name="_Toc68882420"/>
      <w:bookmarkStart w:id="263" w:name="_Toc68880479"/>
      <w:bookmarkStart w:id="264" w:name="_Toc68880020"/>
      <w:bookmarkStart w:id="265" w:name="_Toc68710837"/>
      <w:bookmarkStart w:id="266" w:name="_Toc68710755"/>
      <w:bookmarkStart w:id="267" w:name="_Toc68698438"/>
      <w:bookmarkStart w:id="268" w:name="_Toc68634641"/>
      <w:bookmarkStart w:id="269" w:name="_Toc68633829"/>
      <w:bookmarkStart w:id="270" w:name="_Toc68628375"/>
      <w:bookmarkStart w:id="271" w:name="_Toc68627721"/>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Pr>
          <w:rFonts w:eastAsia="SimSun" w:cs="Calibri" w:cstheme="minorHAnsi"/>
          <w:bCs/>
          <w:lang w:val="ro-RO"/>
        </w:rPr>
        <w:t>România are cel mai mare număr de societăți de stat din Europa. Conform unei analize FMI din 2019</w:t>
      </w:r>
      <w:r>
        <w:rPr>
          <w:rStyle w:val="FootnoteCharacters"/>
          <w:rStyle w:val="FootnoteAnchor"/>
          <w:rFonts w:eastAsia="SimSun"/>
          <w:bCs/>
          <w:lang w:val="ro-RO"/>
        </w:rPr>
        <w:footnoteReference w:id="5"/>
      </w:r>
      <w:r>
        <w:rPr>
          <w:rFonts w:eastAsia="SimSun" w:cs="Calibri" w:cstheme="minorHAnsi"/>
          <w:bCs/>
          <w:lang w:val="ro-RO"/>
        </w:rPr>
        <w:t xml:space="preserve">, în comparație cu societățile de stat din multe țări din regiune, companiile de stat românești reprezentau o pondere ridicată în ocuparea totală a forței de muncă și contribuția la valoarea adăugată totală. Guvernul este, de asemenea, acționar majoritar în 10 companii listate. La nivel de industrie, participațiile din sectorul public sunt concentrate în companii din categoria Utilități și Energie. La sfârșitul anului 2020, aproape jumătate din capitalizarea bursieră din sectorul energetic, cea mai mare industrie de pe bursă, era deținută de sectorul public. </w:t>
      </w:r>
    </w:p>
    <w:p>
      <w:pPr>
        <w:pStyle w:val="Normal"/>
        <w:rPr/>
      </w:pPr>
      <w:r>
        <w:rPr/>
      </w:r>
      <w:bookmarkStart w:id="272" w:name="_Toc98958274"/>
      <w:bookmarkStart w:id="273" w:name="_Toc77602927"/>
      <w:bookmarkStart w:id="274" w:name="_Toc77602430"/>
      <w:bookmarkStart w:id="275" w:name="_Toc77588444"/>
      <w:bookmarkStart w:id="276" w:name="_Toc68882420"/>
      <w:bookmarkStart w:id="277" w:name="_Toc68880479"/>
      <w:bookmarkStart w:id="278" w:name="_Toc68880020"/>
      <w:bookmarkStart w:id="279" w:name="_Toc68710837"/>
      <w:bookmarkStart w:id="280" w:name="_Toc68710755"/>
      <w:bookmarkStart w:id="281" w:name="_Toc68698438"/>
      <w:bookmarkStart w:id="282" w:name="_Toc68634641"/>
      <w:bookmarkStart w:id="283" w:name="_Toc68633829"/>
      <w:bookmarkStart w:id="284" w:name="_Toc68628375"/>
      <w:bookmarkStart w:id="285" w:name="_Toc68627721"/>
      <w:bookmarkStart w:id="286" w:name="_Hlk101268865"/>
      <w:bookmarkStart w:id="287" w:name="_Toc98958274"/>
      <w:bookmarkStart w:id="288" w:name="_Toc77602927"/>
      <w:bookmarkStart w:id="289" w:name="_Toc77602430"/>
      <w:bookmarkStart w:id="290" w:name="_Toc77588444"/>
      <w:bookmarkStart w:id="291" w:name="_Toc68882420"/>
      <w:bookmarkStart w:id="292" w:name="_Toc68880479"/>
      <w:bookmarkStart w:id="293" w:name="_Toc68880020"/>
      <w:bookmarkStart w:id="294" w:name="_Toc68710837"/>
      <w:bookmarkStart w:id="295" w:name="_Toc68710755"/>
      <w:bookmarkStart w:id="296" w:name="_Toc68698438"/>
      <w:bookmarkStart w:id="297" w:name="_Toc68634641"/>
      <w:bookmarkStart w:id="298" w:name="_Toc68633829"/>
      <w:bookmarkStart w:id="299" w:name="_Toc68628375"/>
      <w:bookmarkStart w:id="300" w:name="_Toc68627721"/>
      <w:bookmarkStart w:id="301" w:name="_Hlk101268865"/>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pStyle w:val="Heading3"/>
        <w:shd w:val="clear" w:color="auto" w:fill="DEEAF6" w:themeFill="accent1" w:themeFillTint="33"/>
        <w:spacing w:before="160" w:after="300"/>
        <w:rPr>
          <w:rFonts w:ascii="Calibri" w:hAnsi="Calibri" w:cs="Calibri" w:asciiTheme="minorHAnsi" w:cstheme="minorHAnsi" w:hAnsiTheme="minorHAnsi"/>
          <w:b/>
          <w:b/>
          <w:lang w:val="ro-RO"/>
        </w:rPr>
      </w:pPr>
      <w:bookmarkStart w:id="302" w:name="_Hlk101268865"/>
      <w:bookmarkStart w:id="303" w:name="_Toc110535990"/>
      <w:bookmarkEnd w:id="302"/>
      <w:r>
        <w:rPr>
          <w:rFonts w:cs="Calibri" w:ascii="Calibri" w:hAnsi="Calibri" w:asciiTheme="minorHAnsi" w:cstheme="minorHAnsi" w:hAnsiTheme="minorHAnsi"/>
          <w:b/>
          <w:lang w:val="ro-RO"/>
        </w:rPr>
        <w:t>4. Piața obligațiunilor corporative</w:t>
      </w:r>
      <w:bookmarkEnd w:id="303"/>
    </w:p>
    <w:p>
      <w:pPr>
        <w:pStyle w:val="Normal"/>
        <w:spacing w:before="0" w:after="160"/>
        <w:contextualSpacing/>
        <w:jc w:val="both"/>
        <w:rPr>
          <w:lang w:val="ro-RO"/>
        </w:rPr>
      </w:pPr>
      <w:r>
        <w:rPr>
          <w:lang w:val="ro-RO"/>
        </w:rPr>
        <w:t>În ultimul deceniu, piețele de obligațiuni corporative au devenit o sursă din ce în ce mai importantă de finanțare pentru societățile nefinanciare, acestea jucând un rol fundamental atunci când instituțiile de credit au înăsprit condițiile de creditare după criza financiară din 2008 și în timpul contracției pieței din 2020. În aceste două perioade, multe companii din întreaga lume au reușit să profite de piața obligațiunilor corporative pentru a-și refinanța datoria existentă, a crea rezerve financiare pentru a depăși o criză economică sau pentru a utiliza imediat veniturile pentru a-și îndeplini obligațiile față de angajați, furnizori și clienți. În același timp, întrucât obligațiunile corporative permit de obicei debitorului să emită datorii la scadențe mai lungi în comparație cu împrumuturile bancare, ele sunt, de asemenea, potrivite pentru finanțarea investițiilor pe termen lung.</w:t>
      </w:r>
    </w:p>
    <w:p>
      <w:pPr>
        <w:pStyle w:val="Normal"/>
        <w:spacing w:before="0" w:after="160"/>
        <w:contextualSpacing/>
        <w:jc w:val="both"/>
        <w:rPr>
          <w:lang w:val="ro-RO"/>
        </w:rPr>
      </w:pPr>
      <w:r>
        <w:rPr>
          <w:lang w:val="ro-RO"/>
        </w:rPr>
      </w:r>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Tendințe în emisiunea de obligațiuni corporative</w:t>
      </w:r>
    </w:p>
    <w:p>
      <w:pPr>
        <w:pStyle w:val="Normal"/>
        <w:jc w:val="both"/>
        <w:rPr>
          <w:color w:val="000000" w:themeColor="text1"/>
          <w:lang w:val="ro-RO"/>
        </w:rPr>
      </w:pPr>
      <w:r>
        <w:rPr>
          <w:color w:val="000000" w:themeColor="text1"/>
          <w:lang w:val="ro-RO"/>
        </w:rPr>
        <w:t xml:space="preserve">Ultimele două decenii au înregistrat o creștere semnificativă a nivelului datoriei globale, iar obligațiunile corporative au avut aceeași tendință. În special, companiile nefinanciare au înregistrat o creștere stabilă a emisiunilor de obligațiuni. În concordanță cu scăderea semnificativă a creditării bancare acordate companiilor nefinanciare în timpul și după criza financiară globală, companiile nefinanciare au optat pentru obligațiuni corporative ca sursă alternativă de finanțare. </w:t>
      </w:r>
    </w:p>
    <w:p>
      <w:pPr>
        <w:pStyle w:val="Normal"/>
        <w:jc w:val="both"/>
        <w:rPr>
          <w:color w:val="000000" w:themeColor="text1"/>
          <w:lang w:val="ro-RO"/>
        </w:rPr>
      </w:pPr>
      <w:r>
        <w:rPr>
          <w:color w:val="000000" w:themeColor="text1"/>
          <w:lang w:val="ro-RO"/>
        </w:rPr>
        <w:t>Conform datelor OECD, societățile nefinanciare au strâns în medie 1,46 trilioane EUR anual între 2008 și 2021, ceea ce reprezintă aproape dublul sumei anuale de 849 miliarde EUR pe care au strâns-o între 2000 și 2007. În ceea ce privește distribuția pe regiuni a pieței de obligațiuni, Europa a cunoscut o creștere nominală relativ lentă în comparație cu alte regiuni și, astfel, ponderea încasărilor a scăzut de la aproximativ 30% din suma globală emisă (înainte de criza din 2008) la 15% în 2021.</w:t>
      </w:r>
    </w:p>
    <w:p>
      <w:pPr>
        <w:pStyle w:val="Normal"/>
        <w:jc w:val="both"/>
        <w:rPr>
          <w:color w:val="000000" w:themeColor="text1"/>
          <w:lang w:val="ro-RO"/>
        </w:rPr>
      </w:pPr>
      <w:r>
        <w:rPr>
          <w:color w:val="000000" w:themeColor="text1"/>
          <w:lang w:val="ro-RO"/>
        </w:rPr>
      </w:r>
    </w:p>
    <w:p>
      <w:pPr>
        <w:pStyle w:val="Caption1"/>
        <w:keepNext w:val="true"/>
        <w:spacing w:lineRule="auto" w:line="259" w:before="200" w:after="160"/>
        <w:rPr>
          <w:rFonts w:cs="Calibri" w:cstheme="minorHAnsi"/>
        </w:rPr>
      </w:pPr>
      <w:bookmarkStart w:id="304" w:name="_Toc114571524"/>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15</w:t>
      </w:r>
      <w:r>
        <w:rPr>
          <w:iCs w:val="false"/>
          <w:rFonts w:cs="Calibri"/>
        </w:rPr>
        <w:fldChar w:fldCharType="end"/>
      </w:r>
      <w:r>
        <w:rPr>
          <w:rFonts w:cs="Calibri" w:cstheme="minorHAnsi"/>
        </w:rPr>
        <w:t xml:space="preserve"> Emisiuni globale de obligațiuni</w:t>
      </w:r>
      <w:bookmarkEnd w:id="304"/>
    </w:p>
    <w:p>
      <w:pPr>
        <w:pStyle w:val="ListParagraph"/>
        <w:numPr>
          <w:ilvl w:val="0"/>
          <w:numId w:val="10"/>
        </w:numPr>
        <w:rPr>
          <w:sz w:val="20"/>
          <w:lang w:val="ro-RO"/>
        </w:rPr>
      </w:pPr>
      <w:r>
        <w:rPr>
          <w:sz w:val="20"/>
          <w:lang w:val="ro-RO"/>
        </w:rPr>
        <w:t>Distribuție sectorială a emisiunilor</w:t>
      </w:r>
    </w:p>
    <w:p>
      <w:pPr>
        <w:pStyle w:val="Normal"/>
        <w:rPr>
          <w:lang w:val="ro-RO"/>
        </w:rPr>
      </w:pPr>
      <w:r>
        <w:rPr/>
        <w:drawing>
          <wp:inline distT="0" distB="0" distL="0" distR="0">
            <wp:extent cx="6019165" cy="2438400"/>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Normal"/>
        <w:jc w:val="center"/>
        <w:rPr>
          <w:i/>
          <w:i/>
          <w:sz w:val="20"/>
          <w:lang w:val="ro-RO"/>
        </w:rPr>
      </w:pPr>
      <w:r>
        <w:rPr>
          <w:i/>
          <w:sz w:val="20"/>
          <w:lang w:val="ro-RO"/>
        </w:rPr>
        <w:t>Sursa: OECD</w:t>
      </w:r>
    </w:p>
    <w:p>
      <w:pPr>
        <w:pStyle w:val="ListParagraph"/>
        <w:numPr>
          <w:ilvl w:val="0"/>
          <w:numId w:val="10"/>
        </w:numPr>
        <w:rPr>
          <w:sz w:val="20"/>
          <w:lang w:val="ro-RO"/>
        </w:rPr>
      </w:pPr>
      <w:r>
        <w:rPr>
          <w:sz w:val="20"/>
          <w:lang w:val="ro-RO"/>
        </w:rPr>
        <w:t>Distribuție regională a emisiunilor de obligațiuni corporative nefinanciare</w:t>
      </w:r>
    </w:p>
    <w:p>
      <w:pPr>
        <w:pStyle w:val="Normal"/>
        <w:jc w:val="center"/>
        <w:rPr>
          <w:sz w:val="20"/>
          <w:lang w:val="ro-RO"/>
        </w:rPr>
      </w:pPr>
      <w:r>
        <w:rPr/>
        <mc:AlternateContent>
          <mc:Choice Requires="wpg">
            <w:drawing>
              <wp:inline distT="0" distB="0" distL="0" distR="0" wp14:anchorId="6052D191">
                <wp:extent cx="5724525" cy="2007235"/>
                <wp:effectExtent l="0" t="0" r="0" b="0"/>
                <wp:docPr id="21" name=""/>
                <a:graphic xmlns:a="http://schemas.openxmlformats.org/drawingml/2006/main">
                  <a:graphicData uri="http://schemas.microsoft.com/office/word/2010/wordprocessingGroup">
                    <wpg:wgp>
                      <wpg:cNvGrpSpPr/>
                      <wpg:grpSpPr>
                        <a:xfrm>
                          <a:off x="0" y="0"/>
                          <a:ext cx="5724000" cy="2006640"/>
                        </a:xfrm>
                      </wpg:grpSpPr>
                      <wps:wsp>
                        <wps:cNvSpPr/>
                        <wps:spPr>
                          <a:xfrm>
                            <a:off x="0" y="0"/>
                            <a:ext cx="5724000" cy="200664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2021 EUR, miliarde</w:t>
                              </w:r>
                            </w:p>
                          </w:txbxContent>
                        </wps:txbx>
                        <wps:bodyPr lIns="90000" rIns="90000" tIns="45000" bIns="45000">
                          <a:noAutofit/>
                        </wps:bodyPr>
                      </wps:wsp>
                    </wpg:wgp>
                  </a:graphicData>
                </a:graphic>
              </wp:inline>
            </w:drawing>
          </mc:Choice>
          <mc:Fallback>
            <w:pict>
              <v:group id="shape_0" style="position:absolute;margin-left:0pt;margin-top:-158.05pt;width:450.7pt;height:158pt" coordorigin="0,-3161" coordsize="9014,3160">
                <v:rect id="shape_0" ID="TextBox 1" stroked="f" style="position:absolute;left:0;top:-3161;width:9013;height:3159;mso-position-vertical:top">
                  <v:textbox>
                    <w:txbxContent>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2021 EUR, miliarde</w:t>
                        </w:r>
                      </w:p>
                    </w:txbxContent>
                  </v:textbox>
                  <w10:wrap type="square"/>
                  <v:fill o:detectmouseclick="t" on="false"/>
                  <v:stroke color="#3465a4" joinstyle="round" endcap="flat"/>
                </v:rect>
              </v:group>
            </w:pict>
          </mc:Fallback>
        </mc:AlternateContent>
      </w:r>
    </w:p>
    <w:p>
      <w:pPr>
        <w:pStyle w:val="Normal"/>
        <w:jc w:val="center"/>
        <w:rPr>
          <w:i/>
          <w:i/>
          <w:sz w:val="20"/>
          <w:lang w:val="ro-RO"/>
        </w:rPr>
      </w:pPr>
      <w:r>
        <w:rPr>
          <w:i/>
          <w:sz w:val="20"/>
          <w:lang w:val="ro-RO"/>
        </w:rPr>
        <w:t>Sursa: OECD</w:t>
      </w:r>
    </w:p>
    <w:p>
      <w:pPr>
        <w:pStyle w:val="Normal"/>
        <w:jc w:val="both"/>
        <w:rPr>
          <w:color w:val="000000" w:themeColor="text1"/>
          <w:lang w:val="ro-RO"/>
        </w:rPr>
      </w:pPr>
      <w:r>
        <w:rPr>
          <w:color w:val="000000" w:themeColor="text1"/>
          <w:lang w:val="ro-RO"/>
        </w:rPr>
        <w:t xml:space="preserve">În 2012, emisiunile de obligațiuni corporative din țările ECE au atins un total de peste 17 miliarde EUR, de la 332 de companii, cea de a treia cea mai mare sumă din perioada 2009-2021. Piața obligațiunilor corporative a rămas relativ scăzută în România, unde companiile nefinanciare au strâns doar 489 milioane EUR în ultimul deceniu. Numărul de companii care emit obligațiuni corporative a scăzut semnificativ după 2011, iar în 2015 o singură companie a emis obligațiuni. De la lansarea pieței AeRO în 2015, care vizează finanțarea IMM-urilor, numărul emisiunilor a cunoscut o creștere importantă. În anul 2021, un număr record de 33 de companii au emis obligațiuni corporative, atrăgând o sumă totală de 947 milioane EUR. </w:t>
      </w:r>
    </w:p>
    <w:p>
      <w:pPr>
        <w:pStyle w:val="Caption1"/>
        <w:keepNext w:val="true"/>
        <w:spacing w:lineRule="auto" w:line="259" w:before="200" w:after="160"/>
        <w:rPr>
          <w:rFonts w:cs="Calibri" w:cstheme="minorHAnsi"/>
        </w:rPr>
      </w:pPr>
      <w:bookmarkStart w:id="305" w:name="_Toc114571525"/>
      <w:bookmarkStart w:id="306" w:name="_Toc98958278"/>
      <w:bookmarkStart w:id="307" w:name="_Toc77602931"/>
      <w:bookmarkStart w:id="308" w:name="_Toc77602434"/>
      <w:bookmarkStart w:id="309" w:name="_Toc77588448"/>
      <w:bookmarkStart w:id="310" w:name="_Toc68882424"/>
      <w:bookmarkStart w:id="311" w:name="_Toc68880483"/>
      <w:bookmarkStart w:id="312" w:name="_Toc68880024"/>
      <w:bookmarkStart w:id="313" w:name="_Toc68710841"/>
      <w:bookmarkStart w:id="314" w:name="_Toc68710759"/>
      <w:bookmarkStart w:id="315" w:name="_Toc68698442"/>
      <w:bookmarkStart w:id="316" w:name="_Toc68634645"/>
      <w:bookmarkStart w:id="317" w:name="_Toc68633833"/>
      <w:bookmarkStart w:id="318" w:name="_Toc68628379"/>
      <w:bookmarkStart w:id="319" w:name="_Toc68627725"/>
      <w:bookmarkStart w:id="320" w:name="_Toc62763492"/>
      <w:bookmarkStart w:id="321" w:name="_Toc62763388"/>
      <w:bookmarkStart w:id="322" w:name="_Toc62763180"/>
      <w:bookmarkStart w:id="323" w:name="_Toc62741872"/>
      <w:bookmarkStart w:id="324" w:name="_Toc62724046"/>
      <w:bookmarkStart w:id="325" w:name="_Toc62721838"/>
      <w:bookmarkStart w:id="326" w:name="_Toc62665399"/>
      <w:bookmarkStart w:id="327" w:name="_Toc62660895"/>
      <w:bookmarkStart w:id="328" w:name="_Toc62650405"/>
      <w:bookmarkStart w:id="329" w:name="_Toc62648661"/>
      <w:bookmarkStart w:id="330" w:name="_Toc62641607"/>
      <w:bookmarkStart w:id="331" w:name="_Toc62641434"/>
      <w:bookmarkStart w:id="332" w:name="_Toc62584920"/>
      <w:bookmarkStart w:id="333" w:name="_Toc62578907"/>
      <w:bookmarkStart w:id="334" w:name="_Toc62575195"/>
      <w:bookmarkStart w:id="335" w:name="_Toc62228154"/>
      <w:bookmarkStart w:id="336" w:name="_Toc62227738"/>
      <w:bookmarkStart w:id="337" w:name="_Toc62217506"/>
      <w:bookmarkStart w:id="338" w:name="_Toc62216498"/>
      <w:bookmarkStart w:id="339" w:name="_Toc62147471"/>
      <w:bookmarkStart w:id="340" w:name="_Toc62145932"/>
      <w:bookmarkStart w:id="341" w:name="_Toc62145724"/>
      <w:bookmarkStart w:id="342" w:name="_Toc62135065"/>
      <w:bookmarkStart w:id="343" w:name="_Toc62072379"/>
      <w:bookmarkStart w:id="344" w:name="_Toc62069845"/>
      <w:bookmarkStart w:id="345" w:name="_Toc62057056"/>
      <w:bookmarkStart w:id="346" w:name="_Toc62030109"/>
      <w:bookmarkStart w:id="347" w:name="_Toc61977238"/>
      <w:bookmarkStart w:id="348" w:name="_Toc61977136"/>
      <w:bookmarkStart w:id="349" w:name="_Toc61897973"/>
      <w:bookmarkStart w:id="350" w:name="_Toc61893301"/>
      <w:bookmarkStart w:id="351" w:name="_Toc61889729"/>
      <w:bookmarkStart w:id="352" w:name="_Toc61885411"/>
      <w:bookmarkStart w:id="353" w:name="_Toc61884775"/>
      <w:bookmarkStart w:id="354" w:name="_Toc61871332"/>
      <w:bookmarkStart w:id="355" w:name="_Toc61864440"/>
      <w:bookmarkStart w:id="356" w:name="_Toc61860390"/>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16</w:t>
      </w:r>
      <w:r>
        <w:rPr>
          <w:iCs w:val="false"/>
          <w:rFonts w:cs="Calibri"/>
        </w:rPr>
        <w:fldChar w:fldCharType="end"/>
      </w:r>
      <w:r>
        <w:rPr>
          <w:rFonts w:cs="Calibri" w:cstheme="minorHAnsi"/>
          <w:iCs w:val="false"/>
        </w:rPr>
        <w:t xml:space="preserve"> Emisiuni de obligațiuni corporative în regiunea ECE și în România</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rFonts w:cs="Calibri" w:cstheme="minorHAnsi"/>
          <w:iCs w:val="false"/>
        </w:rPr>
        <w:t>, 2021</w:t>
      </w:r>
      <w:bookmarkEnd w:id="305"/>
    </w:p>
    <w:p>
      <w:pPr>
        <w:pStyle w:val="ListParagraph"/>
        <w:numPr>
          <w:ilvl w:val="0"/>
          <w:numId w:val="11"/>
        </w:numPr>
        <w:rPr>
          <w:lang w:val="ro-RO"/>
        </w:rPr>
      </w:pPr>
      <w:r>
        <w:rPr>
          <w:lang w:val="ro-RO"/>
        </w:rPr>
        <w:t>Țări ECE</w:t>
      </w:r>
    </w:p>
    <w:p>
      <w:pPr>
        <w:pStyle w:val="Normal"/>
        <w:rPr>
          <w:lang w:val="ro-RO"/>
        </w:rPr>
      </w:pPr>
      <w:r>
        <w:rPr/>
        <mc:AlternateContent>
          <mc:Choice Requires="wpg">
            <w:drawing>
              <wp:inline distT="0" distB="0" distL="0" distR="0" wp14:anchorId="4FEC94BE">
                <wp:extent cx="5904230" cy="2489835"/>
                <wp:effectExtent l="0" t="0" r="0" b="0"/>
                <wp:docPr id="22" name=""/>
                <a:graphic xmlns:a="http://schemas.openxmlformats.org/drawingml/2006/main">
                  <a:graphicData uri="http://schemas.microsoft.com/office/word/2010/wordprocessingGroup">
                    <wpg:wgp>
                      <wpg:cNvGrpSpPr/>
                      <wpg:grpSpPr>
                        <a:xfrm>
                          <a:off x="0" y="0"/>
                          <a:ext cx="5903640" cy="2489040"/>
                        </a:xfrm>
                      </wpg:grpSpPr>
                      <wps:wsp>
                        <wps:cNvSpPr/>
                        <wps:spPr>
                          <a:xfrm>
                            <a:off x="0" y="0"/>
                            <a:ext cx="5903640" cy="2489040"/>
                          </a:xfrm>
                          <a:prstGeom prst="rect">
                            <a:avLst/>
                          </a:prstGeom>
                          <a:noFill/>
                          <a:ln w="9360">
                            <a:noFill/>
                          </a:ln>
                        </wps:spPr>
                        <wps:style>
                          <a:lnRef idx="0"/>
                          <a:fillRef idx="0"/>
                          <a:effectRef idx="0"/>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cs="Calibri"/>
                                  <w:color w:val="000000"/>
                                </w:rPr>
                                <w:t>2021 EUR, miliarde</w:t>
                              </w:r>
                            </w:p>
                          </w:txbxContent>
                        </wps:txbx>
                        <wps:bodyPr lIns="90000" rIns="90000" tIns="45000" bIns="45000">
                          <a:noAutofit/>
                        </wps:bodyPr>
                      </wps:wsp>
                    </wpg:wgp>
                  </a:graphicData>
                </a:graphic>
              </wp:inline>
            </w:drawing>
          </mc:Choice>
          <mc:Fallback>
            <w:pict>
              <v:group id="shape_0" style="position:absolute;margin-left:0pt;margin-top:-196.05pt;width:464.85pt;height:196pt" coordorigin="0,-3921" coordsize="9297,3920">
                <v:rect id="shape_0" ID="TextBox 6" stroked="f" style="position:absolute;left:0;top:-3921;width:9296;height:3919;mso-position-vertical:top">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cs="Calibri"/>
                            <w:color w:val="000000"/>
                          </w:rPr>
                          <w:t>2021 EUR, miliarde</w:t>
                        </w:r>
                      </w:p>
                    </w:txbxContent>
                  </v:textbox>
                  <w10:wrap type="square"/>
                  <v:fill o:detectmouseclick="t" on="false"/>
                  <v:stroke color="#3465a4" weight="9360" joinstyle="round" endcap="flat"/>
                </v:rect>
              </v:group>
            </w:pict>
          </mc:Fallback>
        </mc:AlternateContent>
      </w:r>
    </w:p>
    <w:p>
      <w:pPr>
        <w:pStyle w:val="Normal"/>
        <w:jc w:val="center"/>
        <w:rPr>
          <w:i/>
          <w:i/>
          <w:sz w:val="20"/>
          <w:lang w:val="ro-RO"/>
        </w:rPr>
      </w:pPr>
      <w:r>
        <w:rPr>
          <w:i/>
          <w:sz w:val="20"/>
          <w:lang w:val="ro-RO"/>
        </w:rPr>
        <w:t>Sursa: OECD</w:t>
      </w:r>
    </w:p>
    <w:p>
      <w:pPr>
        <w:pStyle w:val="Normal"/>
        <w:jc w:val="center"/>
        <w:rPr>
          <w:i/>
          <w:i/>
          <w:sz w:val="20"/>
          <w:lang w:val="ro-RO"/>
        </w:rPr>
      </w:pPr>
      <w:r>
        <w:rPr>
          <w:i/>
          <w:sz w:val="20"/>
          <w:lang w:val="ro-RO"/>
        </w:rPr>
      </w:r>
    </w:p>
    <w:p>
      <w:pPr>
        <w:pStyle w:val="Normal"/>
        <w:jc w:val="center"/>
        <w:rPr>
          <w:i/>
          <w:i/>
          <w:sz w:val="20"/>
          <w:lang w:val="ro-RO"/>
        </w:rPr>
      </w:pPr>
      <w:r>
        <w:rPr>
          <w:i/>
          <w:sz w:val="20"/>
          <w:lang w:val="ro-RO"/>
        </w:rPr>
      </w:r>
    </w:p>
    <w:p>
      <w:pPr>
        <w:pStyle w:val="Normal"/>
        <w:jc w:val="center"/>
        <w:rPr>
          <w:i/>
          <w:i/>
          <w:sz w:val="20"/>
          <w:lang w:val="ro-RO"/>
        </w:rPr>
      </w:pPr>
      <w:r>
        <w:rPr>
          <w:i/>
          <w:sz w:val="20"/>
          <w:lang w:val="ro-RO"/>
        </w:rPr>
      </w:r>
    </w:p>
    <w:p>
      <w:pPr>
        <w:pStyle w:val="ListParagraph"/>
        <w:numPr>
          <w:ilvl w:val="0"/>
          <w:numId w:val="11"/>
        </w:numPr>
        <w:rPr>
          <w:lang w:val="ro-RO"/>
        </w:rPr>
      </w:pPr>
      <w:r>
        <w:rPr>
          <w:lang w:val="ro-RO"/>
        </w:rPr>
        <w:t>România</w:t>
      </w:r>
    </w:p>
    <w:p>
      <w:pPr>
        <w:pStyle w:val="Normal"/>
        <w:rPr>
          <w:lang w:val="ro-RO"/>
        </w:rPr>
      </w:pPr>
      <w:r>
        <w:rPr/>
        <mc:AlternateContent>
          <mc:Choice Requires="wpg">
            <w:drawing>
              <wp:inline distT="0" distB="0" distL="0" distR="0" wp14:anchorId="707AF84D">
                <wp:extent cx="5842000" cy="2505075"/>
                <wp:effectExtent l="0" t="0" r="0" b="0"/>
                <wp:docPr id="23" name=""/>
                <a:graphic xmlns:a="http://schemas.openxmlformats.org/drawingml/2006/main">
                  <a:graphicData uri="http://schemas.microsoft.com/office/word/2010/wordprocessingGroup">
                    <wpg:wgp>
                      <wpg:cNvGrpSpPr/>
                      <wpg:grpSpPr>
                        <a:xfrm>
                          <a:off x="0" y="0"/>
                          <a:ext cx="5841360" cy="2504520"/>
                        </a:xfrm>
                      </wpg:grpSpPr>
                      <wps:wsp>
                        <wps:cNvSpPr/>
                        <wps:spPr>
                          <a:xfrm>
                            <a:off x="0" y="0"/>
                            <a:ext cx="5841360" cy="2504520"/>
                          </a:xfrm>
                          <a:prstGeom prst="rect">
                            <a:avLst/>
                          </a:prstGeom>
                          <a:noFill/>
                          <a:ln w="9360">
                            <a:noFill/>
                          </a:ln>
                        </wps:spPr>
                        <wps:style>
                          <a:lnRef idx="0"/>
                          <a:fillRef idx="0"/>
                          <a:effectRef idx="0"/>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2021 EUR, milioane</w:t>
                              </w:r>
                            </w:p>
                          </w:txbxContent>
                        </wps:txbx>
                        <wps:bodyPr lIns="90000" rIns="90000" tIns="45000" bIns="45000">
                          <a:noAutofit/>
                        </wps:bodyPr>
                      </wps:wsp>
                    </wpg:wgp>
                  </a:graphicData>
                </a:graphic>
              </wp:inline>
            </w:drawing>
          </mc:Choice>
          <mc:Fallback>
            <w:pict>
              <v:group id="shape_0" style="position:absolute;margin-left:0pt;margin-top:-197.25pt;width:459.95pt;height:197.2pt" coordorigin="0,-3945" coordsize="9199,3944">
                <v:rect id="shape_0" ID="TextBox 3" stroked="f" style="position:absolute;left:0;top:-3945;width:9198;height:3943;mso-position-vertical:top">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color w:val="000000"/>
                          </w:rPr>
                          <w:t>2021 EUR, milioane</w:t>
                        </w:r>
                      </w:p>
                    </w:txbxContent>
                  </v:textbox>
                  <w10:wrap type="square"/>
                  <v:fill o:detectmouseclick="t" on="false"/>
                  <v:stroke color="#3465a4" weight="9360" joinstyle="round" endcap="flat"/>
                </v:rect>
              </v:group>
            </w:pict>
          </mc:Fallback>
        </mc:AlternateContent>
      </w:r>
    </w:p>
    <w:p>
      <w:pPr>
        <w:pStyle w:val="Normal"/>
        <w:jc w:val="center"/>
        <w:rPr>
          <w:i/>
          <w:i/>
          <w:sz w:val="20"/>
          <w:lang w:val="ro-RO"/>
        </w:rPr>
      </w:pPr>
      <w:r>
        <w:rPr>
          <w:i/>
          <w:sz w:val="20"/>
          <w:lang w:val="ro-RO"/>
        </w:rPr>
        <w:t>Sursa: OECD</w:t>
      </w:r>
    </w:p>
    <w:p>
      <w:pPr>
        <w:pStyle w:val="Caption1"/>
        <w:keepNext w:val="true"/>
        <w:spacing w:lineRule="auto" w:line="259" w:before="200" w:after="160"/>
        <w:jc w:val="both"/>
        <w:rPr>
          <w:rFonts w:cs="Calibri" w:cstheme="minorHAnsi"/>
          <w:i w:val="false"/>
          <w:i w:val="false"/>
          <w:color w:val="000000" w:themeColor="text1"/>
          <w:sz w:val="22"/>
          <w:szCs w:val="22"/>
        </w:rPr>
      </w:pPr>
      <w:bookmarkStart w:id="357" w:name="_Toc98958279"/>
      <w:bookmarkStart w:id="358" w:name="_Toc77602932"/>
      <w:bookmarkStart w:id="359" w:name="_Toc77602435"/>
      <w:bookmarkStart w:id="360" w:name="_Toc77588449"/>
      <w:bookmarkStart w:id="361" w:name="_Toc68882425"/>
      <w:bookmarkStart w:id="362" w:name="_Toc68880484"/>
      <w:bookmarkStart w:id="363" w:name="_Toc68880025"/>
      <w:bookmarkStart w:id="364" w:name="_Toc68710842"/>
      <w:bookmarkStart w:id="365" w:name="_Toc68710760"/>
      <w:bookmarkStart w:id="366" w:name="_Toc68698443"/>
      <w:bookmarkStart w:id="367" w:name="_Toc68634646"/>
      <w:bookmarkStart w:id="368" w:name="_Toc68633834"/>
      <w:bookmarkStart w:id="369" w:name="_Toc68628380"/>
      <w:bookmarkStart w:id="370" w:name="_Toc68627726"/>
      <w:bookmarkStart w:id="371" w:name="_Toc62763493"/>
      <w:bookmarkStart w:id="372" w:name="_Toc62763389"/>
      <w:bookmarkStart w:id="373" w:name="_Toc62763181"/>
      <w:bookmarkStart w:id="374" w:name="_Toc62741873"/>
      <w:bookmarkStart w:id="375" w:name="_Toc62724047"/>
      <w:bookmarkStart w:id="376" w:name="_Toc62721839"/>
      <w:bookmarkStart w:id="377" w:name="_Toc62665400"/>
      <w:bookmarkStart w:id="378" w:name="_Toc62660896"/>
      <w:bookmarkStart w:id="379" w:name="_Toc62650406"/>
      <w:bookmarkStart w:id="380" w:name="_Toc62648662"/>
      <w:bookmarkStart w:id="381" w:name="_Toc62641608"/>
      <w:bookmarkStart w:id="382" w:name="_Toc62641435"/>
      <w:bookmarkStart w:id="383" w:name="_Toc62584921"/>
      <w:bookmarkStart w:id="384" w:name="_Toc62578908"/>
      <w:bookmarkStart w:id="385" w:name="_Toc62575196"/>
      <w:bookmarkStart w:id="386" w:name="_Toc62228155"/>
      <w:bookmarkStart w:id="387" w:name="_Toc62227739"/>
      <w:bookmarkStart w:id="388" w:name="_Toc62217507"/>
      <w:bookmarkStart w:id="389" w:name="_Toc62216499"/>
      <w:bookmarkStart w:id="390" w:name="_Toc62147472"/>
      <w:bookmarkStart w:id="391" w:name="_Toc62145933"/>
      <w:bookmarkStart w:id="392" w:name="_Toc62145725"/>
      <w:bookmarkStart w:id="393" w:name="_Toc62135066"/>
      <w:bookmarkStart w:id="394" w:name="_Toc62072380"/>
      <w:bookmarkStart w:id="395" w:name="_Toc62069846"/>
      <w:bookmarkStart w:id="396" w:name="_Toc62057057"/>
      <w:bookmarkStart w:id="397" w:name="_Toc62030110"/>
      <w:bookmarkStart w:id="398" w:name="_Toc61977239"/>
      <w:bookmarkStart w:id="399" w:name="_Toc61977137"/>
      <w:bookmarkStart w:id="400" w:name="_Toc61897974"/>
      <w:bookmarkStart w:id="401" w:name="_Toc61893302"/>
      <w:bookmarkStart w:id="402" w:name="_Toc61889730"/>
      <w:bookmarkStart w:id="403" w:name="_Toc61885412"/>
      <w:bookmarkStart w:id="404" w:name="_Toc61884776"/>
      <w:bookmarkStart w:id="405" w:name="_Toc61871333"/>
      <w:bookmarkStart w:id="406" w:name="_Toc61864441"/>
      <w:bookmarkStart w:id="407" w:name="_Toc61860391"/>
      <w:r>
        <w:rPr>
          <w:rFonts w:cs="Calibri" w:cstheme="minorHAnsi"/>
          <w:i w:val="false"/>
          <w:color w:val="000000" w:themeColor="text1"/>
          <w:sz w:val="22"/>
          <w:szCs w:val="22"/>
        </w:rPr>
        <w:t>Activitatea de emisiune de obligațiuni corporative în Europa Centrală și de Est este mai scăzută comparativ cu restul Europei, valoarea medie a emisiunilor având o pondere de aproximativ 0,4% în PIB.</w:t>
      </w:r>
    </w:p>
    <w:p>
      <w:pPr>
        <w:pStyle w:val="Caption1"/>
        <w:keepNext w:val="true"/>
        <w:spacing w:lineRule="auto" w:line="259" w:before="200" w:after="160"/>
        <w:jc w:val="both"/>
        <w:rPr>
          <w:rFonts w:cs="Calibri" w:cstheme="minorHAnsi"/>
          <w:i w:val="false"/>
          <w:i w:val="false"/>
          <w:color w:val="000000" w:themeColor="text1"/>
          <w:sz w:val="22"/>
          <w:szCs w:val="22"/>
        </w:rPr>
      </w:pPr>
      <w:r>
        <w:rPr>
          <w:rFonts w:cs="Calibri" w:cstheme="minorHAnsi"/>
          <w:i w:val="false"/>
          <w:color w:val="000000" w:themeColor="text1"/>
          <w:sz w:val="22"/>
          <w:szCs w:val="22"/>
        </w:rPr>
        <w:t>În România, valoarea emisiunilor de obligațiuni corporative între 2009 și 2021 a reprezentat doar aproximativ 0,02% din PIB, față de 0,5% în Ungaria și în Polonia.</w:t>
      </w:r>
    </w:p>
    <w:p>
      <w:pPr>
        <w:pStyle w:val="Normal"/>
        <w:rPr>
          <w:lang w:val="ro-RO"/>
        </w:rPr>
      </w:pPr>
      <w:r>
        <w:rPr>
          <w:lang w:val="ro-RO"/>
        </w:rPr>
      </w:r>
    </w:p>
    <w:p>
      <w:pPr>
        <w:pStyle w:val="Caption1"/>
        <w:keepNext w:val="true"/>
        <w:spacing w:lineRule="auto" w:line="259" w:before="200" w:after="160"/>
        <w:rPr>
          <w:rFonts w:cs="Calibri" w:cstheme="minorHAnsi"/>
        </w:rPr>
      </w:pPr>
      <w:bookmarkStart w:id="408" w:name="_Toc114571526"/>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17</w:t>
      </w:r>
      <w:r>
        <w:rPr>
          <w:iCs w:val="false"/>
          <w:rFonts w:cs="Calibri"/>
        </w:rPr>
        <w:fldChar w:fldCharType="end"/>
      </w:r>
      <w:r>
        <w:rPr>
          <w:rFonts w:cs="Calibri" w:cstheme="minorHAnsi"/>
        </w:rPr>
        <w:t xml:space="preserve"> Obligațiuni corporative emise de companii nefinanciare ân România și alte țări europene</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Pr>
          <w:rFonts w:cs="Calibri" w:cstheme="minorHAnsi"/>
        </w:rPr>
        <w:t>, 2021</w:t>
      </w:r>
      <w:bookmarkEnd w:id="408"/>
    </w:p>
    <w:p>
      <w:pPr>
        <w:pStyle w:val="ListParagraph"/>
        <w:numPr>
          <w:ilvl w:val="0"/>
          <w:numId w:val="12"/>
        </w:numPr>
        <w:jc w:val="center"/>
        <w:rPr>
          <w:lang w:val="ro-RO"/>
        </w:rPr>
      </w:pPr>
      <w:r>
        <w:rPr>
          <w:lang w:val="ro-RO"/>
        </w:rPr>
        <w:t>Ponderi în PIB</w:t>
      </w:r>
    </w:p>
    <w:p>
      <w:pPr>
        <w:pStyle w:val="Normal"/>
        <w:jc w:val="center"/>
        <w:rPr>
          <w:lang w:val="ro-RO"/>
        </w:rPr>
      </w:pPr>
      <w:r>
        <w:rPr/>
        <w:drawing>
          <wp:inline distT="0" distB="0" distL="0" distR="0">
            <wp:extent cx="3928110" cy="2641600"/>
            <wp:effectExtent l="0" t="0" r="0" b="0"/>
            <wp:docPr id="2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Normal"/>
        <w:jc w:val="center"/>
        <w:rPr>
          <w:i/>
          <w:i/>
          <w:sz w:val="20"/>
          <w:lang w:val="ro-RO"/>
        </w:rPr>
      </w:pPr>
      <w:r>
        <w:rPr>
          <w:i/>
          <w:sz w:val="20"/>
          <w:lang w:val="ro-RO"/>
        </w:rPr>
        <w:t>Sursa: OECD</w:t>
      </w:r>
    </w:p>
    <w:p>
      <w:pPr>
        <w:pStyle w:val="Normal"/>
        <w:jc w:val="center"/>
        <w:rPr>
          <w:i/>
          <w:i/>
          <w:sz w:val="20"/>
          <w:lang w:val="ro-RO"/>
        </w:rPr>
      </w:pPr>
      <w:r>
        <w:rPr>
          <w:i/>
          <w:sz w:val="20"/>
          <w:lang w:val="ro-RO"/>
        </w:rPr>
      </w:r>
    </w:p>
    <w:p>
      <w:pPr>
        <w:pStyle w:val="ListParagraph"/>
        <w:numPr>
          <w:ilvl w:val="0"/>
          <w:numId w:val="12"/>
        </w:numPr>
        <w:rPr>
          <w:lang w:val="ro-RO"/>
        </w:rPr>
      </w:pPr>
      <w:r>
        <w:rPr>
          <w:lang w:val="ro-RO"/>
        </w:rPr>
        <w:t>Distribuția pe industrii</w:t>
      </w:r>
    </w:p>
    <w:p>
      <w:pPr>
        <w:pStyle w:val="Normal"/>
        <w:rPr>
          <w:lang w:val="ro-RO"/>
        </w:rPr>
      </w:pPr>
      <w:r>
        <w:rPr/>
        <w:drawing>
          <wp:inline distT="0" distB="0" distL="0" distR="0">
            <wp:extent cx="5943600" cy="2773680"/>
            <wp:effectExtent l="0" t="0" r="0" b="0"/>
            <wp:docPr id="2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Normal"/>
        <w:jc w:val="center"/>
        <w:rPr>
          <w:i/>
          <w:i/>
          <w:sz w:val="20"/>
          <w:lang w:val="ro-RO"/>
        </w:rPr>
      </w:pPr>
      <w:r>
        <w:rPr>
          <w:i/>
          <w:sz w:val="20"/>
          <w:lang w:val="ro-RO"/>
        </w:rPr>
        <w:t>Sursa: OECD</w:t>
      </w:r>
    </w:p>
    <w:p>
      <w:pPr>
        <w:pStyle w:val="Caption1"/>
        <w:keepNext w:val="true"/>
        <w:spacing w:lineRule="auto" w:line="259" w:before="200" w:after="160"/>
        <w:rPr>
          <w:rFonts w:cs="Calibri" w:cstheme="minorHAnsi"/>
        </w:rPr>
      </w:pPr>
      <w:bookmarkStart w:id="409" w:name="_Toc110530373"/>
      <w:r>
        <w:rPr>
          <w:rFonts w:cs="Calibri" w:cstheme="minorHAnsi"/>
        </w:rPr>
        <w:t xml:space="preserve">Tabelul </w:t>
      </w:r>
      <w:r>
        <w:rPr>
          <w:rFonts w:cs="Calibri" w:cstheme="minorHAnsi"/>
        </w:rPr>
        <w:fldChar w:fldCharType="begin"/>
      </w:r>
      <w:r>
        <w:rPr>
          <w:rFonts w:cs="Calibri"/>
        </w:rPr>
        <w:instrText> SEQ Tabelul \* ARABIC </w:instrText>
      </w:r>
      <w:r>
        <w:rPr>
          <w:rFonts w:cs="Calibri"/>
        </w:rPr>
        <w:fldChar w:fldCharType="separate"/>
      </w:r>
      <w:r>
        <w:rPr>
          <w:rFonts w:cs="Calibri"/>
        </w:rPr>
        <w:t>8</w:t>
      </w:r>
      <w:r>
        <w:rPr>
          <w:rFonts w:cs="Calibri"/>
        </w:rPr>
        <w:fldChar w:fldCharType="end"/>
      </w:r>
      <w:r>
        <w:rPr>
          <w:rFonts w:cs="Calibri" w:cstheme="minorHAnsi"/>
        </w:rPr>
        <w:t xml:space="preserve"> Distribuția pe industrii a obligațiunilor corporative emise de companii nefinanciare ân România și alte țări europene</w:t>
      </w:r>
      <w:bookmarkEnd w:id="409"/>
    </w:p>
    <w:tbl>
      <w:tblPr>
        <w:tblStyle w:val="GridTable1Light-Accent11"/>
        <w:tblW w:w="5000" w:type="pct"/>
        <w:jc w:val="left"/>
        <w:tblInd w:w="0" w:type="dxa"/>
        <w:tblCellMar>
          <w:top w:w="0" w:type="dxa"/>
          <w:left w:w="108" w:type="dxa"/>
          <w:bottom w:w="0" w:type="dxa"/>
          <w:right w:w="108" w:type="dxa"/>
        </w:tblCellMar>
        <w:tblLook w:firstRow="1" w:noVBand="1" w:lastRow="0" w:firstColumn="1" w:lastColumn="0" w:noHBand="0" w:val="04a0"/>
      </w:tblPr>
      <w:tblGrid>
        <w:gridCol w:w="2443"/>
        <w:gridCol w:w="839"/>
        <w:gridCol w:w="846"/>
        <w:gridCol w:w="846"/>
        <w:gridCol w:w="893"/>
        <w:gridCol w:w="846"/>
        <w:gridCol w:w="957"/>
        <w:gridCol w:w="846"/>
        <w:gridCol w:w="843"/>
      </w:tblGrid>
      <w:tr>
        <w:trPr>
          <w:trHeight w:val="288" w:hRule="atLeast"/>
          <w:cnfStyle w:val="100000000000" w:firstRow="1" w:lastRow="0" w:firstColumn="0" w:lastColumn="0" w:oddVBand="0" w:evenVBand="0" w:oddHBand="0" w:evenHBand="0" w:firstRowFirstColumn="0" w:firstRowLastColumn="0" w:lastRowFirstColumn="0" w:lastRowLastColumn="0"/>
        </w:trPr>
        <w:tc>
          <w:tcPr>
            <w:tcW w:w="2443" w:type="dxa"/>
            <w:cnfStyle w:val="001000000000" w:firstRow="0" w:lastRow="0" w:firstColumn="1" w:lastColumn="0" w:oddVBand="0" w:evenVBand="0" w:oddHBand="0" w:evenHBand="0" w:firstRowFirstColumn="0" w:firstRowLastColumn="0" w:lastRowFirstColumn="0" w:lastRowLastColumn="0"/>
            <w:tcBorders>
              <w:bottom w:val="single" w:sz="12" w:space="0" w:color="9CC2E5"/>
              <w:insideH w:val="single" w:sz="12" w:space="0" w:color="9CC2E5"/>
            </w:tcBorders>
            <w:shd w:fill="auto" w:val="clear"/>
          </w:tcPr>
          <w:p>
            <w:pPr>
              <w:pStyle w:val="Normal"/>
              <w:spacing w:lineRule="auto" w:line="240" w:before="0" w:after="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 </w:t>
            </w:r>
          </w:p>
        </w:tc>
        <w:tc>
          <w:tcPr>
            <w:tcW w:w="839" w:type="dxa"/>
            <w:tcBorders>
              <w:bottom w:val="single" w:sz="12" w:space="0" w:color="9CC2E5"/>
              <w:insideH w:val="single" w:sz="12" w:space="0" w:color="9CC2E5"/>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Polonia</w:t>
            </w:r>
          </w:p>
        </w:tc>
        <w:tc>
          <w:tcPr>
            <w:tcW w:w="846" w:type="dxa"/>
            <w:tcBorders>
              <w:bottom w:val="single" w:sz="12" w:space="0" w:color="9CC2E5"/>
              <w:insideH w:val="single" w:sz="12" w:space="0" w:color="9CC2E5"/>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Ungaria</w:t>
            </w:r>
          </w:p>
        </w:tc>
        <w:tc>
          <w:tcPr>
            <w:tcW w:w="846" w:type="dxa"/>
            <w:tcBorders>
              <w:bottom w:val="single" w:sz="12" w:space="0" w:color="9CC2E5"/>
              <w:insideH w:val="single" w:sz="12" w:space="0" w:color="9CC2E5"/>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Cehia</w:t>
            </w:r>
          </w:p>
        </w:tc>
        <w:tc>
          <w:tcPr>
            <w:tcW w:w="893" w:type="dxa"/>
            <w:tcBorders>
              <w:bottom w:val="single" w:sz="12" w:space="0" w:color="9CC2E5"/>
              <w:insideH w:val="single" w:sz="12" w:space="0" w:color="9CC2E5"/>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România</w:t>
            </w:r>
          </w:p>
        </w:tc>
        <w:tc>
          <w:tcPr>
            <w:tcW w:w="846" w:type="dxa"/>
            <w:tcBorders>
              <w:bottom w:val="single" w:sz="12" w:space="0" w:color="9CC2E5"/>
              <w:insideH w:val="single" w:sz="12" w:space="0" w:color="9CC2E5"/>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ECE</w:t>
            </w:r>
          </w:p>
        </w:tc>
        <w:tc>
          <w:tcPr>
            <w:tcW w:w="957" w:type="dxa"/>
            <w:tcBorders>
              <w:bottom w:val="single" w:sz="12" w:space="0" w:color="9CC2E5"/>
              <w:insideH w:val="single" w:sz="12" w:space="0" w:color="9CC2E5"/>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Germania</w:t>
            </w:r>
          </w:p>
        </w:tc>
        <w:tc>
          <w:tcPr>
            <w:tcW w:w="846" w:type="dxa"/>
            <w:tcBorders>
              <w:bottom w:val="single" w:sz="12" w:space="0" w:color="9CC2E5"/>
              <w:insideH w:val="single" w:sz="12" w:space="0" w:color="9CC2E5"/>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Austria</w:t>
            </w:r>
          </w:p>
        </w:tc>
        <w:tc>
          <w:tcPr>
            <w:tcW w:w="843" w:type="dxa"/>
            <w:tcBorders>
              <w:bottom w:val="single" w:sz="12" w:space="0" w:color="9CC2E5"/>
              <w:insideH w:val="single" w:sz="12" w:space="0" w:color="9CC2E5"/>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16"/>
                <w:szCs w:val="16"/>
                <w:lang w:val="ro-RO"/>
              </w:rPr>
            </w:pPr>
            <w:r>
              <w:rPr>
                <w:rFonts w:eastAsia="Times New Roman" w:cs="Arial" w:ascii="Arial" w:hAnsi="Arial"/>
                <w:b/>
                <w:bCs/>
                <w:color w:val="000000"/>
                <w:sz w:val="16"/>
                <w:szCs w:val="16"/>
                <w:lang w:val="ro-RO"/>
              </w:rPr>
              <w:t>Europa</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Tehnologie</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11%</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0%</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3%</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Sănătate</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0%</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0%</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6%</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0%</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 xml:space="preserve">Materii prime </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16%</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0%</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8%</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20%</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18%</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8%</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Consum non-ciclic</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17%</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10%</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11%</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Energie</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6%</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42%</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17%</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12%</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15%</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3%</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27%</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11%</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Utilități</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7%</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7%</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52%</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44%</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25%</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8%</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8%</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15%</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Consum ciclic</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41%</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3%</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14%</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3%</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20%</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32%</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7%</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15%</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Servicii telecomunicații</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14%</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6%</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3%</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24%</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11%</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7%</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10%</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16%</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Industrial</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8%</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8%</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12%</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15%</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9%</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15%</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26%</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17%</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Financiar</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73%</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83%</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82%</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57%</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68%</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52%</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74%</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49%</w:t>
            </w:r>
          </w:p>
        </w:tc>
      </w:tr>
      <w:tr>
        <w:trPr>
          <w:trHeight w:val="288" w:hRule="atLeast"/>
        </w:trPr>
        <w:tc>
          <w:tcPr>
            <w:tcW w:w="2443"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lineRule="auto" w:line="240" w:before="0" w:after="0"/>
              <w:rPr>
                <w:rFonts w:ascii="Arial" w:hAnsi="Arial" w:eastAsia="Times New Roman" w:cs="Arial"/>
                <w:sz w:val="20"/>
                <w:szCs w:val="20"/>
                <w:lang w:val="ro-RO"/>
              </w:rPr>
            </w:pPr>
            <w:r>
              <w:rPr>
                <w:rFonts w:eastAsia="Times New Roman" w:cs="Arial" w:ascii="Arial" w:hAnsi="Arial"/>
                <w:b/>
                <w:bCs/>
                <w:sz w:val="20"/>
                <w:szCs w:val="20"/>
                <w:lang w:val="ro-RO"/>
              </w:rPr>
              <w:t>Nefinanciar</w:t>
            </w:r>
          </w:p>
        </w:tc>
        <w:tc>
          <w:tcPr>
            <w:tcW w:w="839"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27%</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17%</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18%</w:t>
            </w:r>
          </w:p>
        </w:tc>
        <w:tc>
          <w:tcPr>
            <w:tcW w:w="89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43%</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32%</w:t>
            </w:r>
          </w:p>
        </w:tc>
        <w:tc>
          <w:tcPr>
            <w:tcW w:w="957"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48%</w:t>
            </w:r>
          </w:p>
        </w:tc>
        <w:tc>
          <w:tcPr>
            <w:tcW w:w="846"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26%</w:t>
            </w:r>
          </w:p>
        </w:tc>
        <w:tc>
          <w:tcPr>
            <w:tcW w:w="843" w:type="dxa"/>
            <w:tcBorders/>
            <w:shd w:fill="auto" w:val="clea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0"/>
                <w:szCs w:val="20"/>
                <w:lang w:val="ro-RO"/>
              </w:rPr>
            </w:pPr>
            <w:r>
              <w:rPr>
                <w:rFonts w:eastAsia="Times New Roman" w:cs="Arial" w:ascii="Arial" w:hAnsi="Arial"/>
                <w:sz w:val="20"/>
                <w:szCs w:val="20"/>
                <w:lang w:val="ro-RO"/>
              </w:rPr>
              <w:t>51%</w:t>
            </w:r>
          </w:p>
        </w:tc>
      </w:tr>
    </w:tbl>
    <w:p>
      <w:pPr>
        <w:pStyle w:val="Normal"/>
        <w:spacing w:before="60" w:after="160"/>
        <w:jc w:val="center"/>
        <w:rPr>
          <w:rFonts w:ascii="Arial" w:hAnsi="Arial" w:cs="Arial"/>
          <w:i/>
          <w:i/>
          <w:color w:val="000000" w:themeColor="text1"/>
          <w:sz w:val="18"/>
          <w:lang w:val="ro-RO" w:eastAsia="zh-CN"/>
        </w:rPr>
      </w:pPr>
      <w:r>
        <w:rPr>
          <w:rFonts w:cs="Arial" w:ascii="Arial" w:hAnsi="Arial"/>
          <w:i/>
          <w:color w:val="000000" w:themeColor="text1"/>
          <w:sz w:val="18"/>
          <w:lang w:val="ro-RO" w:eastAsia="zh-CN"/>
        </w:rPr>
        <w:t>Sursa: OECD</w:t>
      </w:r>
    </w:p>
    <w:p>
      <w:pPr>
        <w:pStyle w:val="Normal"/>
        <w:spacing w:before="60" w:after="160"/>
        <w:jc w:val="both"/>
        <w:rPr>
          <w:rFonts w:cs="Calibri" w:cstheme="minorHAnsi"/>
          <w:color w:val="000000" w:themeColor="text1"/>
          <w:lang w:val="ro-RO" w:eastAsia="zh-CN"/>
        </w:rPr>
      </w:pPr>
      <w:r>
        <w:rPr>
          <w:rFonts w:cs="Calibri" w:cstheme="minorHAnsi"/>
          <w:color w:val="000000" w:themeColor="text1"/>
          <w:lang w:val="ro-RO" w:eastAsia="zh-CN"/>
        </w:rPr>
      </w:r>
    </w:p>
    <w:p>
      <w:pPr>
        <w:pStyle w:val="Normal"/>
        <w:spacing w:before="60" w:after="160"/>
        <w:jc w:val="both"/>
        <w:rPr>
          <w:rFonts w:cs="Calibri" w:cstheme="minorHAnsi"/>
          <w:color w:val="000000" w:themeColor="text1"/>
          <w:lang w:val="ro-RO" w:eastAsia="zh-CN"/>
        </w:rPr>
      </w:pPr>
      <w:r>
        <w:rPr>
          <w:rFonts w:cs="Calibri" w:cstheme="minorHAnsi"/>
          <w:color w:val="000000" w:themeColor="text1"/>
          <w:lang w:val="ro-RO" w:eastAsia="zh-CN"/>
        </w:rPr>
        <w:t>Structura sectoarelor companiilor nefinanciare din Europa care emit obligațiuni corporative este mai uniform distribuită în comparație cu structura companiilor din țările ECE, unde aproximativ 59% din sumele atrase provin din trei categorii: utilități, produse ciclice de consum și energie. În cazul României, aproape 68% din sumele atrase provin de la companii din sectoarele de Utilități și Servicii de telecomunicații. De la lansarea pieței AeRO au existat câteva companii de Tehnologie care emit obligațiuni corporative, însă sumele atrase sunt relativ mici.</w:t>
      </w:r>
    </w:p>
    <w:p>
      <w:pPr>
        <w:pStyle w:val="Normal"/>
        <w:spacing w:before="60" w:after="160"/>
        <w:jc w:val="both"/>
        <w:rPr>
          <w:rFonts w:cs="Calibri" w:cstheme="minorHAnsi"/>
          <w:color w:val="000000" w:themeColor="text1"/>
          <w:lang w:val="ro-RO" w:eastAsia="zh-CN"/>
        </w:rPr>
      </w:pPr>
      <w:r>
        <w:rPr>
          <w:rFonts w:cs="Calibri" w:cstheme="minorHAnsi"/>
          <w:color w:val="000000" w:themeColor="text1"/>
          <w:lang w:val="ro-RO" w:eastAsia="zh-CN"/>
        </w:rPr>
        <w:t>În România, în perioada 2000-2021, ponderea emisiunile de obligațiuni cu o maturitate mai mică de 5 ani a fost de 31%, comparativ cu 2% și 9% pentru emisiunile companiilor din Ungaria și Polonia. Totodată, pe piața din România nu au existat emisiuni de obligațiuni corporative cu o scadență mai mare de 10 ani.</w:t>
      </w:r>
    </w:p>
    <w:p>
      <w:pPr>
        <w:pStyle w:val="Normal"/>
        <w:spacing w:before="60" w:after="160"/>
        <w:jc w:val="both"/>
        <w:rPr>
          <w:rFonts w:cs="Calibri" w:cstheme="minorHAnsi"/>
          <w:color w:val="000000" w:themeColor="text1"/>
          <w:lang w:val="ro-RO" w:eastAsia="zh-CN"/>
        </w:rPr>
      </w:pPr>
      <w:r>
        <w:rPr>
          <w:rFonts w:cs="Calibri" w:cstheme="minorHAnsi"/>
          <w:color w:val="000000" w:themeColor="text1"/>
          <w:lang w:val="ro-RO" w:eastAsia="zh-CN"/>
        </w:rPr>
        <w:t xml:space="preserve">În comparație cu țări precum Ungaria și Polonia, unde 47%, respectiv 58% din obligațiunile corporative nefinanciare sunt listate pe bursele locale, în România, doar 8 % sunt listate la BVB. </w:t>
      </w:r>
    </w:p>
    <w:p>
      <w:pPr>
        <w:pStyle w:val="Normal"/>
        <w:spacing w:before="60" w:after="160"/>
        <w:jc w:val="both"/>
        <w:rPr>
          <w:rFonts w:cs="Calibri" w:cstheme="minorHAnsi"/>
          <w:color w:val="000000" w:themeColor="text1"/>
          <w:lang w:val="ro-RO" w:eastAsia="zh-CN"/>
        </w:rPr>
      </w:pPr>
      <w:r>
        <w:rPr>
          <w:rFonts w:cs="Calibri" w:cstheme="minorHAnsi"/>
          <w:color w:val="000000" w:themeColor="text1"/>
          <w:lang w:val="ro-RO" w:eastAsia="zh-CN"/>
        </w:rPr>
        <w:t>Majoritatea obligațiunilor corporative românești emise sunt listate la bursele externe, acestea fiind emise și în valută străină. România este țara cu cel mai scăzut raport (7%) de obligațiuni corporative denominate în moneda locală, 54% dintre acestea fiind denominate in euro, iar 38% în dolari americani. În schimb, în Polonia și Ungaria 61%, respectiv 53% din obligațiunile corporative sunt emise în moneda locală. De asemenea, emisiunile denominate în RON care să fie listată la bursele străine au fost inexistente, în timp ce, pentru toate celelalte țări egale din ECE, între 2-6% din obligațiunile corporative denominate în moneda locală sunt emise în valută.</w:t>
      </w:r>
    </w:p>
    <w:p>
      <w:pPr>
        <w:pStyle w:val="Caption1"/>
        <w:keepNext w:val="true"/>
        <w:spacing w:lineRule="auto" w:line="259" w:before="200" w:after="160"/>
        <w:rPr>
          <w:rFonts w:cs="Calibri" w:cstheme="minorHAnsi"/>
        </w:rPr>
      </w:pPr>
      <w:bookmarkStart w:id="410" w:name="_Toc114571527"/>
      <w:bookmarkStart w:id="411" w:name="_Toc98958280"/>
      <w:bookmarkStart w:id="412" w:name="_Toc77602933"/>
      <w:bookmarkStart w:id="413" w:name="_Toc77602436"/>
      <w:bookmarkStart w:id="414" w:name="_Toc77588450"/>
      <w:bookmarkStart w:id="415" w:name="_Toc68882426"/>
      <w:bookmarkStart w:id="416" w:name="_Toc68880485"/>
      <w:bookmarkStart w:id="417" w:name="_Toc68880026"/>
      <w:bookmarkStart w:id="418" w:name="_Toc68710843"/>
      <w:bookmarkStart w:id="419" w:name="_Toc68710761"/>
      <w:bookmarkStart w:id="420" w:name="_Toc68698444"/>
      <w:bookmarkStart w:id="421" w:name="_Toc68634647"/>
      <w:bookmarkStart w:id="422" w:name="_Toc68633835"/>
      <w:bookmarkStart w:id="423" w:name="_Toc68628381"/>
      <w:bookmarkStart w:id="424" w:name="_Toc68627727"/>
      <w:bookmarkStart w:id="425" w:name="_Toc62763494"/>
      <w:bookmarkStart w:id="426" w:name="_Toc62763390"/>
      <w:bookmarkStart w:id="427" w:name="_Toc62763182"/>
      <w:bookmarkStart w:id="428" w:name="_Toc62762142"/>
      <w:bookmarkStart w:id="429" w:name="_Toc62741874"/>
      <w:bookmarkStart w:id="430" w:name="_Toc62724048"/>
      <w:bookmarkStart w:id="431" w:name="_Toc62721840"/>
      <w:bookmarkStart w:id="432" w:name="_Toc62665401"/>
      <w:bookmarkStart w:id="433" w:name="_Toc62660897"/>
      <w:bookmarkStart w:id="434" w:name="_Toc62650407"/>
      <w:bookmarkStart w:id="435" w:name="_Toc62648663"/>
      <w:bookmarkStart w:id="436" w:name="_Toc62641609"/>
      <w:bookmarkStart w:id="437" w:name="_Toc62641436"/>
      <w:bookmarkStart w:id="438" w:name="_Toc62584922"/>
      <w:bookmarkStart w:id="439" w:name="_Toc62578909"/>
      <w:bookmarkStart w:id="440" w:name="_Toc62575197"/>
      <w:bookmarkStart w:id="441" w:name="_Toc62228156"/>
      <w:bookmarkStart w:id="442" w:name="_Toc62227740"/>
      <w:bookmarkStart w:id="443" w:name="_Toc62217508"/>
      <w:bookmarkStart w:id="444" w:name="_Toc62216500"/>
      <w:bookmarkStart w:id="445" w:name="_Toc62147473"/>
      <w:bookmarkStart w:id="446" w:name="_Toc62145934"/>
      <w:bookmarkStart w:id="447" w:name="_Toc62145726"/>
      <w:bookmarkStart w:id="448" w:name="_Toc62135067"/>
      <w:bookmarkStart w:id="449" w:name="_Toc62072381"/>
      <w:bookmarkStart w:id="450" w:name="_Toc62069847"/>
      <w:bookmarkStart w:id="451" w:name="_Toc62057058"/>
      <w:bookmarkStart w:id="452" w:name="_Toc62030111"/>
      <w:bookmarkStart w:id="453" w:name="_Toc61977240"/>
      <w:bookmarkStart w:id="454" w:name="_Toc61977138"/>
      <w:bookmarkStart w:id="455" w:name="_Toc61897975"/>
      <w:bookmarkStart w:id="456" w:name="_Toc61893303"/>
      <w:bookmarkStart w:id="457" w:name="_Toc61889731"/>
      <w:bookmarkStart w:id="458" w:name="_Toc61885413"/>
      <w:bookmarkStart w:id="459" w:name="_Toc61884777"/>
      <w:bookmarkStart w:id="460" w:name="_Toc61871334"/>
      <w:bookmarkStart w:id="461" w:name="_Toc61864442"/>
      <w:bookmarkStart w:id="462" w:name="_Toc61860392"/>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18</w:t>
      </w:r>
      <w:r>
        <w:rPr>
          <w:iCs w:val="false"/>
          <w:rFonts w:cs="Calibri"/>
        </w:rPr>
        <w:fldChar w:fldCharType="end"/>
      </w:r>
      <w:r>
        <w:rPr>
          <w:rFonts w:cs="Calibri" w:cstheme="minorHAnsi"/>
        </w:rPr>
        <w:t xml:space="preserve"> Caracteristicile obligațiunilor corporative</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rFonts w:cs="Calibri" w:cstheme="minorHAnsi"/>
        </w:rPr>
        <w:t>, 2000</w:t>
        <w:noBreakHyphen/>
        <w:t>20</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rFonts w:cs="Calibri" w:cstheme="minorHAnsi"/>
        </w:rPr>
        <w:t>21</w:t>
      </w:r>
      <w:bookmarkEnd w:id="410"/>
    </w:p>
    <w:p>
      <w:pPr>
        <w:pStyle w:val="Normal"/>
        <w:rPr>
          <w:lang w:val="ro-RO"/>
        </w:rPr>
      </w:pPr>
      <w:r>
        <w:rPr>
          <w:lang w:val="ro-RO"/>
        </w:rPr>
      </w:r>
    </w:p>
    <w:p>
      <w:pPr>
        <w:pStyle w:val="ListParagraph"/>
        <w:numPr>
          <w:ilvl w:val="0"/>
          <w:numId w:val="13"/>
        </w:numPr>
        <w:jc w:val="center"/>
        <w:rPr>
          <w:lang w:val="ro-RO"/>
        </w:rPr>
      </w:pPr>
      <w:r>
        <w:rPr>
          <w:lang w:val="ro-RO"/>
        </w:rPr>
        <w:t>Maturitate</w:t>
      </w:r>
    </w:p>
    <w:p>
      <w:pPr>
        <w:pStyle w:val="Normal"/>
        <w:jc w:val="center"/>
        <w:rPr>
          <w:lang w:val="ro-RO"/>
        </w:rPr>
      </w:pPr>
      <w:r>
        <w:rPr/>
        <w:drawing>
          <wp:inline distT="0" distB="0" distL="0" distR="0">
            <wp:extent cx="4622800" cy="4419600"/>
            <wp:effectExtent l="0" t="0" r="0" b="0"/>
            <wp:docPr id="2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Normal"/>
        <w:jc w:val="center"/>
        <w:rPr>
          <w:i/>
          <w:i/>
          <w:sz w:val="20"/>
          <w:lang w:val="ro-RO"/>
        </w:rPr>
      </w:pPr>
      <w:r>
        <w:rPr>
          <w:i/>
          <w:sz w:val="20"/>
          <w:lang w:val="ro-RO"/>
        </w:rPr>
        <w:t>Sursa: OECD</w:t>
      </w:r>
    </w:p>
    <w:p>
      <w:pPr>
        <w:pStyle w:val="Normal"/>
        <w:jc w:val="center"/>
        <w:rPr>
          <w:i/>
          <w:i/>
          <w:sz w:val="20"/>
          <w:lang w:val="ro-RO"/>
        </w:rPr>
      </w:pPr>
      <w:r>
        <w:rPr>
          <w:i/>
          <w:sz w:val="20"/>
          <w:lang w:val="ro-RO"/>
        </w:rPr>
      </w:r>
    </w:p>
    <w:p>
      <w:pPr>
        <w:pStyle w:val="ListParagraph"/>
        <w:numPr>
          <w:ilvl w:val="0"/>
          <w:numId w:val="13"/>
        </w:numPr>
        <w:jc w:val="center"/>
        <w:rPr>
          <w:lang w:val="ro-RO"/>
        </w:rPr>
      </w:pPr>
      <w:r>
        <w:rPr>
          <w:lang w:val="ro-RO"/>
        </w:rPr>
        <w:t>Bursele pe care sunt listate</w:t>
      </w:r>
    </w:p>
    <w:p>
      <w:pPr>
        <w:pStyle w:val="Normal"/>
        <w:jc w:val="center"/>
        <w:rPr>
          <w:lang w:val="ro-RO"/>
        </w:rPr>
      </w:pPr>
      <w:r>
        <w:rPr/>
        <w:drawing>
          <wp:inline distT="0" distB="0" distL="0" distR="0">
            <wp:extent cx="4607560" cy="3225800"/>
            <wp:effectExtent l="0" t="0" r="0" b="0"/>
            <wp:docPr id="2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Normal"/>
        <w:jc w:val="center"/>
        <w:rPr>
          <w:i/>
          <w:i/>
          <w:sz w:val="20"/>
          <w:lang w:val="ro-RO"/>
        </w:rPr>
      </w:pPr>
      <w:r>
        <w:rPr>
          <w:i/>
          <w:sz w:val="20"/>
          <w:lang w:val="ro-RO"/>
        </w:rPr>
        <w:t>Sursa: OECD</w:t>
      </w:r>
    </w:p>
    <w:p>
      <w:pPr>
        <w:pStyle w:val="Normal"/>
        <w:rPr>
          <w:lang w:val="ro-RO"/>
        </w:rPr>
      </w:pPr>
      <w:r>
        <w:rPr>
          <w:lang w:val="ro-RO"/>
        </w:rPr>
      </w:r>
    </w:p>
    <w:p>
      <w:pPr>
        <w:pStyle w:val="ListParagraph"/>
        <w:numPr>
          <w:ilvl w:val="0"/>
          <w:numId w:val="13"/>
        </w:numPr>
        <w:jc w:val="center"/>
        <w:rPr>
          <w:lang w:val="ro-RO"/>
        </w:rPr>
      </w:pPr>
      <w:r>
        <w:rPr>
          <w:lang w:val="ro-RO"/>
        </w:rPr>
        <w:t>Moneda emisiunilor</w:t>
      </w:r>
    </w:p>
    <w:p>
      <w:pPr>
        <w:pStyle w:val="Normal"/>
        <w:jc w:val="center"/>
        <w:rPr>
          <w:lang w:val="ro-RO"/>
        </w:rPr>
      </w:pPr>
      <w:r>
        <w:rPr/>
        <w:drawing>
          <wp:inline distT="0" distB="0" distL="0" distR="0">
            <wp:extent cx="4246880" cy="3185160"/>
            <wp:effectExtent l="0" t="0" r="0" b="0"/>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Normal"/>
        <w:jc w:val="center"/>
        <w:rPr>
          <w:i/>
          <w:i/>
          <w:sz w:val="20"/>
          <w:lang w:val="ro-RO"/>
        </w:rPr>
      </w:pPr>
      <w:r>
        <w:rPr>
          <w:i/>
          <w:sz w:val="20"/>
          <w:lang w:val="ro-RO"/>
        </w:rPr>
        <w:t>Sursa: OECD</w:t>
      </w:r>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Investitorii în obligațiuni corporative nefinanciare</w:t>
      </w:r>
      <w:bookmarkStart w:id="463" w:name="_Hlk100849550"/>
      <w:bookmarkEnd w:id="463"/>
    </w:p>
    <w:p>
      <w:pPr>
        <w:pStyle w:val="Normal"/>
        <w:jc w:val="both"/>
        <w:rPr>
          <w:color w:val="000000" w:themeColor="text1"/>
          <w:lang w:val="ro-RO"/>
        </w:rPr>
      </w:pPr>
      <w:r>
        <w:rPr>
          <w:color w:val="000000" w:themeColor="text1"/>
          <w:lang w:val="ro-RO"/>
        </w:rPr>
        <w:t>În România, numărul investitorilor locali pe piața obligațiunilor corporative este foarte redus, doar 16% dintre aceștia investind în obligațiuni corporative nefinanciare, spre deosebire de 78% în Polonia și Ungaria.</w:t>
      </w:r>
    </w:p>
    <w:p>
      <w:pPr>
        <w:pStyle w:val="Normal"/>
        <w:jc w:val="both"/>
        <w:rPr>
          <w:color w:val="000000" w:themeColor="text1"/>
          <w:lang w:val="ro-RO"/>
        </w:rPr>
      </w:pPr>
      <w:r>
        <w:rPr>
          <w:color w:val="000000" w:themeColor="text1"/>
          <w:lang w:val="ro-RO"/>
        </w:rPr>
        <w:t>În majoritatea țărilor, instituțiile de credit, societățile de asigurări și fondurile de pensii dețin o mare parte din obligațiunilor corporative emise de societățile nefinanciare, 85%  în Ungaria, 48% în Germania și 33% în Austria.</w:t>
      </w:r>
    </w:p>
    <w:p>
      <w:pPr>
        <w:pStyle w:val="Normal"/>
        <w:jc w:val="both"/>
        <w:rPr>
          <w:color w:val="000000" w:themeColor="text1"/>
          <w:lang w:val="ro-RO"/>
        </w:rPr>
      </w:pPr>
      <w:r>
        <w:rPr>
          <w:color w:val="000000" w:themeColor="text1"/>
          <w:lang w:val="ro-RO"/>
        </w:rPr>
        <w:t>Instituțiile de credit din România dețin doar 15% din piața obligațiunilor corporative nefinanciare internă, în timp ce societățile de asigurări naționale și fondurile de pensii nu au dețineri în aceste instrumente. Fondurile de investiții dețin 41% din emisiunile de obligațiuni corporative nefinanciare din România.</w:t>
      </w:r>
    </w:p>
    <w:p>
      <w:pPr>
        <w:pStyle w:val="Normal"/>
        <w:jc w:val="both"/>
        <w:rPr/>
      </w:pPr>
      <w:r>
        <w:rPr/>
      </w:r>
      <w:bookmarkStart w:id="464" w:name="_Toc98958281"/>
      <w:bookmarkStart w:id="465" w:name="_Toc77602934"/>
      <w:bookmarkStart w:id="466" w:name="_Toc77602437"/>
      <w:bookmarkStart w:id="467" w:name="_Toc77588451"/>
      <w:bookmarkStart w:id="468" w:name="_Toc68882427"/>
      <w:bookmarkStart w:id="469" w:name="_Toc68880486"/>
      <w:bookmarkStart w:id="470" w:name="_Toc68880027"/>
      <w:bookmarkStart w:id="471" w:name="_Toc68710844"/>
      <w:bookmarkStart w:id="472" w:name="_Toc68710762"/>
      <w:bookmarkStart w:id="473" w:name="_Toc68698445"/>
      <w:bookmarkStart w:id="474" w:name="_Toc68634648"/>
      <w:bookmarkStart w:id="475" w:name="_Toc68633836"/>
      <w:bookmarkStart w:id="476" w:name="_Toc68628382"/>
      <w:bookmarkStart w:id="477" w:name="_Toc68627728"/>
      <w:bookmarkStart w:id="478" w:name="_Toc62763495"/>
      <w:bookmarkStart w:id="479" w:name="_Toc62763391"/>
      <w:bookmarkStart w:id="480" w:name="_Toc62763183"/>
      <w:bookmarkStart w:id="481" w:name="_Toc62762143"/>
      <w:bookmarkStart w:id="482" w:name="_Toc62741875"/>
      <w:bookmarkStart w:id="483" w:name="_Toc62724049"/>
      <w:bookmarkStart w:id="484" w:name="_Toc62721841"/>
      <w:bookmarkStart w:id="485" w:name="_Toc62665402"/>
      <w:bookmarkStart w:id="486" w:name="_Toc62660898"/>
      <w:bookmarkStart w:id="487" w:name="_Toc62650408"/>
      <w:bookmarkStart w:id="488" w:name="_Toc62648664"/>
      <w:bookmarkStart w:id="489" w:name="_Toc62641610"/>
      <w:bookmarkStart w:id="490" w:name="_Toc62641437"/>
      <w:bookmarkStart w:id="491" w:name="_Toc62584923"/>
      <w:bookmarkStart w:id="492" w:name="_Toc62578910"/>
      <w:bookmarkStart w:id="493" w:name="_Toc62575198"/>
      <w:bookmarkStart w:id="494" w:name="_Toc98958281"/>
      <w:bookmarkStart w:id="495" w:name="_Toc77602934"/>
      <w:bookmarkStart w:id="496" w:name="_Toc77602437"/>
      <w:bookmarkStart w:id="497" w:name="_Toc77588451"/>
      <w:bookmarkStart w:id="498" w:name="_Toc68882427"/>
      <w:bookmarkStart w:id="499" w:name="_Toc68880486"/>
      <w:bookmarkStart w:id="500" w:name="_Toc68880027"/>
      <w:bookmarkStart w:id="501" w:name="_Toc68710844"/>
      <w:bookmarkStart w:id="502" w:name="_Toc68710762"/>
      <w:bookmarkStart w:id="503" w:name="_Toc68698445"/>
      <w:bookmarkStart w:id="504" w:name="_Toc68634648"/>
      <w:bookmarkStart w:id="505" w:name="_Toc68633836"/>
      <w:bookmarkStart w:id="506" w:name="_Toc68628382"/>
      <w:bookmarkStart w:id="507" w:name="_Toc68627728"/>
      <w:bookmarkStart w:id="508" w:name="_Toc62763495"/>
      <w:bookmarkStart w:id="509" w:name="_Toc62763391"/>
      <w:bookmarkStart w:id="510" w:name="_Toc62763183"/>
      <w:bookmarkStart w:id="511" w:name="_Toc62762143"/>
      <w:bookmarkStart w:id="512" w:name="_Toc62741875"/>
      <w:bookmarkStart w:id="513" w:name="_Toc62724049"/>
      <w:bookmarkStart w:id="514" w:name="_Toc62721841"/>
      <w:bookmarkStart w:id="515" w:name="_Toc62665402"/>
      <w:bookmarkStart w:id="516" w:name="_Toc62660898"/>
      <w:bookmarkStart w:id="517" w:name="_Toc62650408"/>
      <w:bookmarkStart w:id="518" w:name="_Toc62648664"/>
      <w:bookmarkStart w:id="519" w:name="_Toc62641610"/>
      <w:bookmarkStart w:id="520" w:name="_Toc62641437"/>
      <w:bookmarkStart w:id="521" w:name="_Toc62584923"/>
      <w:bookmarkStart w:id="522" w:name="_Toc62578910"/>
      <w:bookmarkStart w:id="523" w:name="_Toc62575198"/>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Segmentele pieței pentru listarea obligațiunilor corporative în România</w:t>
      </w:r>
    </w:p>
    <w:p>
      <w:pPr>
        <w:pStyle w:val="Normal"/>
        <w:jc w:val="both"/>
        <w:rPr>
          <w:color w:val="000000" w:themeColor="text1"/>
          <w:lang w:val="ro-RO"/>
        </w:rPr>
      </w:pPr>
      <w:r>
        <w:rPr>
          <w:color w:val="000000" w:themeColor="text1"/>
          <w:lang w:val="ro-RO"/>
        </w:rPr>
        <w:t>Bursa de Valori București oferă două segmente pentru listarea obligațiunilor corporative: Piața Principală - reglementată și sistemul alternativ de tranzacționare, piața AeRO. Companiile pot emite obligațiuni pe ambele segmente, piața principală fiind dedicată pentru companiile mai mari, iar piața AeRO pentru întreprinderile mici și mijlocii (IMM). Deoarece nu există o valoare minimă de emisiune și nicio cerință de prospect, piața AeRO oferă companiilor mai mici o modalitate mai ușoară de a accesa piața obligațiunilor corporative.</w:t>
      </w:r>
    </w:p>
    <w:p>
      <w:pPr>
        <w:pStyle w:val="Caption1"/>
        <w:keepNext w:val="true"/>
        <w:spacing w:lineRule="auto" w:line="259" w:before="200" w:after="160"/>
        <w:rPr>
          <w:color w:val="000000" w:themeColor="text1"/>
          <w:sz w:val="20"/>
        </w:rPr>
      </w:pPr>
      <w:bookmarkStart w:id="524" w:name="_Toc98958281"/>
      <w:bookmarkStart w:id="525" w:name="_Toc77602934"/>
      <w:bookmarkStart w:id="526" w:name="_Toc77602437"/>
      <w:bookmarkStart w:id="527" w:name="_Toc77588451"/>
      <w:bookmarkStart w:id="528" w:name="_Toc68882427"/>
      <w:bookmarkStart w:id="529" w:name="_Toc68880486"/>
      <w:bookmarkStart w:id="530" w:name="_Toc68880027"/>
      <w:bookmarkStart w:id="531" w:name="_Toc68710844"/>
      <w:bookmarkStart w:id="532" w:name="_Toc68710762"/>
      <w:bookmarkStart w:id="533" w:name="_Toc68698445"/>
      <w:bookmarkStart w:id="534" w:name="_Toc68634648"/>
      <w:bookmarkStart w:id="535" w:name="_Toc68633836"/>
      <w:bookmarkStart w:id="536" w:name="_Toc68628382"/>
      <w:bookmarkStart w:id="537" w:name="_Toc68627728"/>
      <w:bookmarkStart w:id="538" w:name="_Toc62763495"/>
      <w:bookmarkStart w:id="539" w:name="_Toc62763391"/>
      <w:bookmarkStart w:id="540" w:name="_Toc62763183"/>
      <w:bookmarkStart w:id="541" w:name="_Toc62762143"/>
      <w:bookmarkStart w:id="542" w:name="_Toc62741875"/>
      <w:bookmarkStart w:id="543" w:name="_Toc62724049"/>
      <w:bookmarkStart w:id="544" w:name="_Toc62721841"/>
      <w:bookmarkStart w:id="545" w:name="_Toc62665402"/>
      <w:bookmarkStart w:id="546" w:name="_Toc62660898"/>
      <w:bookmarkStart w:id="547" w:name="_Toc62650408"/>
      <w:bookmarkStart w:id="548" w:name="_Toc62648664"/>
      <w:bookmarkStart w:id="549" w:name="_Toc62641610"/>
      <w:bookmarkStart w:id="550" w:name="_Toc62641437"/>
      <w:bookmarkStart w:id="551" w:name="_Toc62584923"/>
      <w:bookmarkStart w:id="552" w:name="_Toc62578910"/>
      <w:bookmarkStart w:id="553" w:name="_Toc62575198"/>
      <w:bookmarkStart w:id="554" w:name="_Toc110530374"/>
      <w:bookmarkStart w:id="555" w:name="_Toc98958307"/>
      <w:bookmarkStart w:id="556" w:name="_Toc77588374"/>
      <w:bookmarkStart w:id="557" w:name="_Toc77586915"/>
      <w:bookmarkStart w:id="558" w:name="_Toc68882378"/>
      <w:bookmarkStart w:id="559" w:name="_Toc68880437"/>
      <w:bookmarkStart w:id="560" w:name="_Toc68879978"/>
      <w:bookmarkStart w:id="561" w:name="_Toc68710796"/>
      <w:bookmarkStart w:id="562" w:name="_Toc68710714"/>
      <w:bookmarkStart w:id="563" w:name="_Toc68698397"/>
      <w:bookmarkStart w:id="564" w:name="_Toc68634600"/>
      <w:bookmarkStart w:id="565" w:name="_Toc68633788"/>
      <w:bookmarkStart w:id="566" w:name="_Toc68628334"/>
      <w:bookmarkStart w:id="567" w:name="_Toc68627680"/>
      <w:bookmarkStart w:id="568" w:name="_Toc62763447"/>
      <w:bookmarkStart w:id="569" w:name="_Toc62763343"/>
      <w:bookmarkStart w:id="570" w:name="_Toc62763135"/>
      <w:bookmarkStart w:id="571" w:name="_Toc62741827"/>
      <w:bookmarkStart w:id="572" w:name="_Toc62724001"/>
      <w:bookmarkStart w:id="573" w:name="_Toc62721793"/>
      <w:bookmarkStart w:id="574" w:name="_Toc62665354"/>
      <w:bookmarkStart w:id="575" w:name="_Toc62660850"/>
      <w:bookmarkStart w:id="576" w:name="_Toc62650360"/>
      <w:bookmarkStart w:id="577" w:name="_Toc62648616"/>
      <w:bookmarkStart w:id="578" w:name="_Toc62641562"/>
      <w:bookmarkStart w:id="579" w:name="_Toc62641389"/>
      <w:bookmarkStart w:id="580" w:name="_Toc62584875"/>
      <w:bookmarkStart w:id="581" w:name="_Toc62578862"/>
      <w:bookmarkStart w:id="582" w:name="_Toc62575150"/>
      <w:bookmarkStart w:id="583" w:name="_Toc62228002"/>
      <w:bookmarkStart w:id="584" w:name="_Toc62227690"/>
      <w:bookmarkStart w:id="585" w:name="_Toc62217458"/>
      <w:bookmarkStart w:id="586" w:name="_Toc62216450"/>
      <w:bookmarkStart w:id="587" w:name="_Toc62147423"/>
      <w:bookmarkStart w:id="588" w:name="_Toc62145884"/>
      <w:bookmarkStart w:id="589" w:name="_Toc62145676"/>
      <w:bookmarkStart w:id="590" w:name="_Toc62135016"/>
      <w:bookmarkStart w:id="591" w:name="_Toc62072333"/>
      <w:bookmarkStart w:id="592" w:name="_Toc62069799"/>
      <w:bookmarkStart w:id="593" w:name="_Toc62057112"/>
      <w:bookmarkStart w:id="594" w:name="_Toc62030063"/>
      <w:bookmarkStart w:id="595" w:name="_Toc61977192"/>
      <w:bookmarkStart w:id="596" w:name="_Toc61977090"/>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Pr>
          <w:rFonts w:cs="Calibri" w:cstheme="minorHAnsi"/>
          <w:szCs w:val="20"/>
        </w:rPr>
        <w:t xml:space="preserve">Tabelul </w:t>
      </w:r>
      <w:r>
        <w:rPr>
          <w:rFonts w:cs="Calibri" w:cstheme="minorHAnsi"/>
          <w:szCs w:val="20"/>
        </w:rPr>
        <w:fldChar w:fldCharType="begin"/>
      </w:r>
      <w:r>
        <w:rPr>
          <w:szCs w:val="20"/>
          <w:rFonts w:cs="Calibri"/>
        </w:rPr>
        <w:instrText> SEQ Tabelul \* ARABIC </w:instrText>
      </w:r>
      <w:r>
        <w:rPr>
          <w:szCs w:val="20"/>
          <w:rFonts w:cs="Calibri"/>
        </w:rPr>
        <w:fldChar w:fldCharType="separate"/>
      </w:r>
      <w:r>
        <w:rPr>
          <w:szCs w:val="20"/>
          <w:rFonts w:cs="Calibri"/>
        </w:rPr>
        <w:t>9</w:t>
      </w:r>
      <w:r>
        <w:rPr>
          <w:szCs w:val="20"/>
          <w:rFonts w:cs="Calibri"/>
        </w:rPr>
        <w:fldChar w:fldCharType="end"/>
      </w:r>
      <w:r>
        <w:rPr>
          <w:color w:val="000000" w:themeColor="text1"/>
          <w:sz w:val="20"/>
        </w:rPr>
        <w:t xml:space="preserve"> </w:t>
      </w:r>
      <w:r>
        <w:rPr>
          <w:rFonts w:cs="Calibri" w:cstheme="minorHAnsi"/>
          <w:szCs w:val="20"/>
        </w:rPr>
        <w:t xml:space="preserve">cerințe pentru listare și potențiali investitori </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Pr>
          <w:rFonts w:cs="Calibri" w:cstheme="minorHAnsi"/>
          <w:szCs w:val="20"/>
        </w:rPr>
        <w:t>vizați</w:t>
      </w:r>
      <w:bookmarkEnd w:id="554"/>
    </w:p>
    <w:tbl>
      <w:tblPr>
        <w:tblW w:w="9015" w:type="dxa"/>
        <w:jc w:val="left"/>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Look w:firstRow="1" w:noVBand="1" w:lastRow="0" w:firstColumn="1" w:lastColumn="0" w:noHBand="0" w:val="04a0"/>
      </w:tblPr>
      <w:tblGrid>
        <w:gridCol w:w="1842"/>
        <w:gridCol w:w="3686"/>
        <w:gridCol w:w="3487"/>
      </w:tblGrid>
      <w:tr>
        <w:trPr>
          <w:trHeight w:val="220" w:hRule="atLeast"/>
        </w:trPr>
        <w:tc>
          <w:tcPr>
            <w:tcW w:w="184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tcPr>
          <w:p>
            <w:pPr>
              <w:pStyle w:val="Normal"/>
              <w:spacing w:before="0" w:after="160"/>
              <w:jc w:val="center"/>
              <w:rPr>
                <w:rFonts w:eastAsia="Times New Roman" w:cs="Calibri" w:cstheme="minorHAnsi"/>
                <w:b/>
                <w:b/>
                <w:bCs/>
                <w:color w:val="000000" w:themeColor="text1"/>
                <w:sz w:val="20"/>
                <w:szCs w:val="20"/>
                <w:lang w:val="ro-RO" w:eastAsia="en-GB"/>
              </w:rPr>
            </w:pPr>
            <w:r>
              <w:rPr>
                <w:rFonts w:eastAsia="Times New Roman" w:cs="Calibri" w:cstheme="minorHAnsi"/>
                <w:b/>
                <w:bCs/>
                <w:color w:val="000000" w:themeColor="text1"/>
                <w:sz w:val="20"/>
                <w:szCs w:val="20"/>
                <w:lang w:val="ro-RO" w:eastAsia="en-GB"/>
              </w:rPr>
            </w:r>
          </w:p>
        </w:tc>
        <w:tc>
          <w:tcPr>
            <w:tcW w:w="368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tcPr>
          <w:p>
            <w:pPr>
              <w:pStyle w:val="Normal"/>
              <w:spacing w:before="0" w:after="160"/>
              <w:jc w:val="center"/>
              <w:rPr>
                <w:rFonts w:eastAsia="Times New Roman" w:cs="Calibri" w:cstheme="minorHAnsi"/>
                <w:b/>
                <w:b/>
                <w:bCs/>
                <w:color w:val="000000" w:themeColor="text1"/>
                <w:sz w:val="20"/>
                <w:szCs w:val="20"/>
                <w:lang w:val="ro-RO" w:eastAsia="en-GB"/>
              </w:rPr>
            </w:pPr>
            <w:r>
              <w:rPr>
                <w:rFonts w:eastAsia="Times New Roman" w:cs="Calibri" w:cstheme="minorHAnsi"/>
                <w:b/>
                <w:bCs/>
                <w:color w:val="000000" w:themeColor="text1"/>
                <w:sz w:val="20"/>
                <w:szCs w:val="20"/>
                <w:lang w:val="ro-RO" w:eastAsia="en-GB"/>
              </w:rPr>
              <w:t>Piața principală</w:t>
            </w:r>
          </w:p>
        </w:tc>
        <w:tc>
          <w:tcPr>
            <w:tcW w:w="3487"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color="auto" w:fill="DEEAF6" w:themeFill="accent1" w:themeFillTint="33" w:val="clear"/>
          </w:tcPr>
          <w:p>
            <w:pPr>
              <w:pStyle w:val="Normal"/>
              <w:spacing w:before="0" w:after="160"/>
              <w:jc w:val="center"/>
              <w:rPr>
                <w:rFonts w:eastAsia="Times New Roman" w:cs="Calibri" w:cstheme="minorHAnsi"/>
                <w:b/>
                <w:b/>
                <w:bCs/>
                <w:color w:val="000000" w:themeColor="text1"/>
                <w:sz w:val="20"/>
                <w:szCs w:val="20"/>
                <w:lang w:val="ro-RO" w:eastAsia="en-GB"/>
              </w:rPr>
            </w:pPr>
            <w:r>
              <w:rPr>
                <w:rFonts w:eastAsia="Times New Roman" w:cs="Calibri" w:cstheme="minorHAnsi"/>
                <w:b/>
                <w:bCs/>
                <w:color w:val="000000" w:themeColor="text1"/>
                <w:sz w:val="20"/>
                <w:szCs w:val="20"/>
                <w:lang w:val="ro-RO" w:eastAsia="en-GB"/>
              </w:rPr>
              <w:t>AeRO</w:t>
            </w:r>
          </w:p>
        </w:tc>
      </w:tr>
      <w:tr>
        <w:trPr>
          <w:trHeight w:val="233" w:hRule="atLeast"/>
        </w:trPr>
        <w:tc>
          <w:tcPr>
            <w:tcW w:w="184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widowControl/>
              <w:bidi w:val="0"/>
              <w:spacing w:lineRule="auto" w:line="259" w:before="0" w:after="160"/>
              <w:jc w:val="left"/>
              <w:rPr>
                <w:rFonts w:eastAsia="Times New Roman" w:cs="Calibri" w:cstheme="minorHAnsi"/>
                <w:b/>
                <w:b/>
                <w:color w:val="000000" w:themeColor="text1"/>
                <w:sz w:val="18"/>
                <w:szCs w:val="18"/>
                <w:lang w:val="ro-RO" w:eastAsia="en-GB"/>
              </w:rPr>
            </w:pPr>
            <w:r>
              <w:rPr>
                <w:rFonts w:eastAsia="Times New Roman" w:cs="Calibri" w:cstheme="minorHAnsi"/>
                <w:b/>
                <w:color w:val="000000" w:themeColor="text1"/>
                <w:sz w:val="18"/>
                <w:szCs w:val="18"/>
                <w:lang w:val="ro-RO" w:eastAsia="en-GB"/>
              </w:rPr>
              <w:t>Cerințe pentru listare</w:t>
            </w:r>
          </w:p>
        </w:tc>
        <w:tc>
          <w:tcPr>
            <w:tcW w:w="368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ListParagraph"/>
              <w:numPr>
                <w:ilvl w:val="0"/>
                <w:numId w:val="3"/>
              </w:numPr>
              <w:spacing w:before="0" w:after="160"/>
              <w:ind w:left="452" w:hanging="360"/>
              <w:rPr>
                <w:rFonts w:eastAsia="Times New Roman" w:cs="Calibri" w:cstheme="minorHAnsi"/>
                <w:color w:val="000000" w:themeColor="text1"/>
                <w:sz w:val="18"/>
                <w:szCs w:val="18"/>
                <w:lang w:val="ro-RO" w:eastAsia="en-GB"/>
              </w:rPr>
            </w:pPr>
            <w:r>
              <w:rPr>
                <w:rFonts w:eastAsia="Times New Roman" w:cs="Calibri" w:cstheme="minorHAnsi"/>
                <w:color w:val="000000" w:themeColor="text1"/>
                <w:sz w:val="18"/>
                <w:szCs w:val="18"/>
                <w:lang w:val="ro-RO" w:eastAsia="en-GB"/>
              </w:rPr>
              <w:t>Valoarea minimă a emisiunii trebuie să fie echivalentul în lei a sumei de 200 000 EUR. Dacă valoarea este mai redusă decât acest prag, ASF poate emite o aprobare specială pentru listare</w:t>
            </w:r>
          </w:p>
          <w:p>
            <w:pPr>
              <w:pStyle w:val="ListParagraph"/>
              <w:numPr>
                <w:ilvl w:val="0"/>
                <w:numId w:val="3"/>
              </w:numPr>
              <w:spacing w:before="0" w:after="160"/>
              <w:ind w:left="452" w:hanging="360"/>
              <w:rPr>
                <w:rFonts w:eastAsia="Times New Roman" w:cs="Calibri" w:cstheme="minorHAnsi"/>
                <w:color w:val="000000" w:themeColor="text1"/>
                <w:sz w:val="18"/>
                <w:szCs w:val="18"/>
                <w:lang w:val="ro-RO" w:eastAsia="en-GB"/>
              </w:rPr>
            </w:pPr>
            <w:r>
              <w:rPr>
                <w:rFonts w:eastAsia="Times New Roman" w:cs="Calibri" w:cstheme="minorHAnsi"/>
                <w:color w:val="000000" w:themeColor="text1"/>
                <w:sz w:val="18"/>
                <w:szCs w:val="18"/>
                <w:lang w:val="ro-RO" w:eastAsia="en-GB"/>
              </w:rPr>
              <w:t>Este necesar prospect de emisiune</w:t>
            </w:r>
          </w:p>
        </w:tc>
        <w:tc>
          <w:tcPr>
            <w:tcW w:w="3487"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ListParagraph"/>
              <w:numPr>
                <w:ilvl w:val="0"/>
                <w:numId w:val="3"/>
              </w:numPr>
              <w:spacing w:before="0" w:after="160"/>
              <w:ind w:left="452" w:hanging="360"/>
              <w:rPr>
                <w:rFonts w:eastAsia="Times New Roman" w:cs="Calibri" w:cstheme="minorHAnsi"/>
                <w:color w:val="000000" w:themeColor="text1"/>
                <w:sz w:val="18"/>
                <w:szCs w:val="18"/>
                <w:lang w:val="ro-RO" w:eastAsia="en-GB"/>
              </w:rPr>
            </w:pPr>
            <w:r>
              <w:rPr>
                <w:rFonts w:eastAsia="Times New Roman" w:cs="Calibri" w:cstheme="minorHAnsi"/>
                <w:color w:val="000000" w:themeColor="text1"/>
                <w:sz w:val="18"/>
                <w:szCs w:val="18"/>
                <w:lang w:val="ro-RO" w:eastAsia="en-GB"/>
              </w:rPr>
              <w:t>Nu există valoare minimă pentru emisiuni</w:t>
            </w:r>
          </w:p>
          <w:p>
            <w:pPr>
              <w:pStyle w:val="ListParagraph"/>
              <w:numPr>
                <w:ilvl w:val="0"/>
                <w:numId w:val="3"/>
              </w:numPr>
              <w:spacing w:before="0" w:after="160"/>
              <w:ind w:left="452" w:hanging="360"/>
              <w:rPr>
                <w:rFonts w:eastAsia="Times New Roman" w:cs="Calibri" w:cstheme="minorHAnsi"/>
                <w:color w:val="000000" w:themeColor="text1"/>
                <w:sz w:val="18"/>
                <w:szCs w:val="18"/>
                <w:lang w:val="ro-RO" w:eastAsia="en-GB"/>
              </w:rPr>
            </w:pPr>
            <w:r>
              <w:rPr>
                <w:rFonts w:eastAsia="Times New Roman" w:cs="Calibri" w:cstheme="minorHAnsi"/>
                <w:color w:val="000000" w:themeColor="text1"/>
                <w:sz w:val="18"/>
                <w:szCs w:val="18"/>
                <w:lang w:val="ro-RO" w:eastAsia="en-GB"/>
              </w:rPr>
              <w:t>Nu este necesar prospect</w:t>
            </w:r>
          </w:p>
        </w:tc>
      </w:tr>
      <w:tr>
        <w:trPr>
          <w:trHeight w:val="624" w:hRule="atLeast"/>
        </w:trPr>
        <w:tc>
          <w:tcPr>
            <w:tcW w:w="1842"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widowControl/>
              <w:bidi w:val="0"/>
              <w:spacing w:lineRule="auto" w:line="259" w:before="0" w:after="160"/>
              <w:jc w:val="left"/>
              <w:rPr>
                <w:rFonts w:eastAsia="Times New Roman" w:cs="Calibri" w:cstheme="minorHAnsi"/>
                <w:b/>
                <w:b/>
                <w:color w:val="000000" w:themeColor="text1"/>
                <w:sz w:val="18"/>
                <w:szCs w:val="18"/>
                <w:lang w:val="ro-RO" w:eastAsia="en-GB"/>
              </w:rPr>
            </w:pPr>
            <w:r>
              <w:rPr>
                <w:rFonts w:eastAsia="Times New Roman" w:cs="Calibri" w:cstheme="minorHAnsi"/>
                <w:b/>
                <w:color w:val="000000" w:themeColor="text1"/>
                <w:sz w:val="18"/>
                <w:szCs w:val="18"/>
                <w:lang w:val="ro-RO" w:eastAsia="en-GB"/>
              </w:rPr>
              <w:t>Potențiali investitori vizați</w:t>
            </w:r>
          </w:p>
        </w:tc>
        <w:tc>
          <w:tcPr>
            <w:tcW w:w="3686"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rPr>
                <w:rFonts w:eastAsia="Times New Roman" w:cs="Calibri" w:cstheme="minorHAnsi"/>
                <w:color w:val="000000" w:themeColor="text1"/>
                <w:sz w:val="18"/>
                <w:szCs w:val="18"/>
                <w:lang w:val="ro-RO" w:eastAsia="en-GB"/>
              </w:rPr>
            </w:pPr>
            <w:r>
              <w:rPr>
                <w:rFonts w:eastAsia="Times New Roman" w:cs="Calibri" w:cstheme="minorHAnsi"/>
                <w:color w:val="000000" w:themeColor="text1"/>
                <w:sz w:val="18"/>
                <w:szCs w:val="18"/>
                <w:lang w:val="ro-RO" w:eastAsia="en-GB"/>
              </w:rPr>
              <w:t>Investitori instituționali locali și internaționali</w:t>
            </w:r>
          </w:p>
          <w:p>
            <w:pPr>
              <w:pStyle w:val="Normal"/>
              <w:widowControl/>
              <w:bidi w:val="0"/>
              <w:spacing w:lineRule="auto" w:line="259" w:before="0" w:after="160"/>
              <w:jc w:val="left"/>
              <w:rPr>
                <w:rFonts w:eastAsia="Times New Roman" w:cs="Calibri" w:cstheme="minorHAnsi"/>
                <w:color w:val="000000" w:themeColor="text1"/>
                <w:sz w:val="18"/>
                <w:szCs w:val="18"/>
                <w:lang w:val="ro-RO" w:eastAsia="en-GB"/>
              </w:rPr>
            </w:pPr>
            <w:r>
              <w:rPr>
                <w:rFonts w:eastAsia="Times New Roman" w:cs="Calibri" w:cstheme="minorHAnsi"/>
                <w:color w:val="000000" w:themeColor="text1"/>
                <w:sz w:val="18"/>
                <w:szCs w:val="18"/>
                <w:lang w:val="ro-RO" w:eastAsia="en-GB"/>
              </w:rPr>
              <w:t>Investitori individuali locali și internaționali</w:t>
            </w:r>
          </w:p>
        </w:tc>
        <w:tc>
          <w:tcPr>
            <w:tcW w:w="3487" w:type="dxa"/>
            <w:tcBorders>
              <w:top w:val="single" w:sz="4" w:space="0" w:color="BDD6EE"/>
              <w:left w:val="single" w:sz="4" w:space="0" w:color="BDD6EE"/>
              <w:bottom w:val="single" w:sz="4" w:space="0" w:color="BDD6EE"/>
              <w:right w:val="single" w:sz="4" w:space="0" w:color="BDD6EE"/>
              <w:insideH w:val="single" w:sz="4" w:space="0" w:color="BDD6EE"/>
              <w:insideV w:val="single" w:sz="4" w:space="0" w:color="BDD6EE"/>
            </w:tcBorders>
            <w:shd w:fill="auto" w:val="clear"/>
            <w:vAlign w:val="center"/>
          </w:tcPr>
          <w:p>
            <w:pPr>
              <w:pStyle w:val="Normal"/>
              <w:widowControl/>
              <w:bidi w:val="0"/>
              <w:spacing w:lineRule="auto" w:line="259" w:before="0" w:after="160"/>
              <w:jc w:val="left"/>
              <w:rPr>
                <w:rFonts w:eastAsia="Times New Roman" w:cs="Calibri" w:cstheme="minorHAnsi"/>
                <w:color w:val="000000" w:themeColor="text1"/>
                <w:sz w:val="18"/>
                <w:szCs w:val="18"/>
                <w:lang w:val="ro-RO" w:eastAsia="en-GB"/>
              </w:rPr>
            </w:pPr>
            <w:r>
              <w:rPr>
                <w:rFonts w:eastAsia="Times New Roman" w:cs="Calibri" w:cstheme="minorHAnsi"/>
                <w:color w:val="000000" w:themeColor="text1"/>
                <w:sz w:val="18"/>
                <w:szCs w:val="18"/>
                <w:lang w:val="ro-RO" w:eastAsia="en-GB"/>
              </w:rPr>
              <w:t>Fonduri de investiții specializate și de dimensiuni mai reduse care vizează IMM-uri, investitori individuali</w:t>
            </w:r>
          </w:p>
        </w:tc>
      </w:tr>
    </w:tbl>
    <w:p>
      <w:pPr>
        <w:pStyle w:val="Normal"/>
        <w:tabs>
          <w:tab w:val="clear" w:pos="720"/>
          <w:tab w:val="left" w:pos="850" w:leader="none"/>
          <w:tab w:val="left" w:pos="1191" w:leader="none"/>
          <w:tab w:val="left" w:pos="1531" w:leader="none"/>
        </w:tabs>
        <w:spacing w:before="60" w:after="160"/>
        <w:jc w:val="both"/>
        <w:rPr>
          <w:rFonts w:ascii="Arial" w:hAnsi="Arial" w:cs="Arial"/>
          <w:color w:val="000000" w:themeColor="text1"/>
          <w:sz w:val="18"/>
          <w:lang w:val="ro-RO" w:eastAsia="zh-CN"/>
        </w:rPr>
      </w:pPr>
      <w:r>
        <w:rPr>
          <w:rFonts w:cs="Arial" w:ascii="Arial" w:hAnsi="Arial"/>
          <w:i/>
          <w:color w:val="000000" w:themeColor="text1"/>
          <w:sz w:val="18"/>
          <w:lang w:val="ro-RO" w:eastAsia="zh-CN"/>
        </w:rPr>
        <w:t xml:space="preserve">Sursa: Bursa de Valori București (și raportul OECD) </w:t>
      </w:r>
    </w:p>
    <w:p>
      <w:pPr>
        <w:pStyle w:val="Normal"/>
        <w:rPr>
          <w:lang w:val="ro-RO"/>
        </w:rPr>
      </w:pPr>
      <w:r>
        <w:rPr>
          <w:lang w:val="ro-RO"/>
        </w:rPr>
      </w:r>
    </w:p>
    <w:p>
      <w:pPr>
        <w:pStyle w:val="Normal"/>
        <w:rPr>
          <w:lang w:val="ro-RO"/>
        </w:rPr>
      </w:pPr>
      <w:r>
        <w:rPr>
          <w:lang w:val="ro-RO"/>
        </w:rPr>
      </w:r>
    </w:p>
    <w:p>
      <w:pPr>
        <w:pStyle w:val="Normal"/>
        <w:rPr>
          <w:lang w:val="ro-RO"/>
        </w:rPr>
      </w:pPr>
      <w:r>
        <w:rPr>
          <w:lang w:val="ro-RO"/>
        </w:rPr>
      </w:r>
    </w:p>
    <w:p>
      <w:pPr>
        <w:pStyle w:val="Normal"/>
        <w:rPr>
          <w:lang w:val="ro-RO"/>
        </w:rPr>
      </w:pPr>
      <w:r>
        <w:rPr>
          <w:lang w:val="ro-RO"/>
        </w:rPr>
      </w:r>
    </w:p>
    <w:p>
      <w:pPr>
        <w:pStyle w:val="Heading3"/>
        <w:shd w:val="clear" w:color="auto" w:fill="DEEAF6" w:themeFill="accent1" w:themeFillTint="33"/>
        <w:spacing w:before="160" w:after="300"/>
        <w:rPr>
          <w:rFonts w:ascii="Calibri" w:hAnsi="Calibri" w:cs="Calibri" w:asciiTheme="minorHAnsi" w:cstheme="minorHAnsi" w:hAnsiTheme="minorHAnsi"/>
          <w:b/>
          <w:b/>
          <w:lang w:val="ro-RO"/>
        </w:rPr>
      </w:pPr>
      <w:bookmarkStart w:id="597" w:name="_Toc110535991"/>
      <w:r>
        <w:rPr>
          <w:rFonts w:cs="Calibri" w:ascii="Calibri" w:hAnsi="Calibri" w:asciiTheme="minorHAnsi" w:cstheme="minorHAnsi" w:hAnsiTheme="minorHAnsi"/>
          <w:b/>
          <w:lang w:val="ro-RO"/>
        </w:rPr>
        <w:t>5. Piața de private equity</w:t>
      </w:r>
      <w:bookmarkEnd w:id="597"/>
    </w:p>
    <w:p>
      <w:pPr>
        <w:pStyle w:val="Normal"/>
        <w:jc w:val="both"/>
        <w:rPr>
          <w:rFonts w:cs="Calibri" w:cstheme="minorHAnsi"/>
          <w:lang w:val="ro-RO"/>
        </w:rPr>
      </w:pPr>
      <w:r>
        <w:rPr>
          <w:rFonts w:cs="Calibri" w:cstheme="minorHAnsi"/>
          <w:b/>
          <w:color w:val="1F3864" w:themeColor="accent5" w:themeShade="80"/>
          <w:lang w:val="ro-RO"/>
        </w:rPr>
        <w:t>Capitalul privat (Private equity)</w:t>
      </w:r>
      <w:r>
        <w:rPr>
          <w:rFonts w:cs="Calibri" w:cstheme="minorHAnsi"/>
          <w:lang w:val="ro-RO"/>
        </w:rPr>
        <w:t xml:space="preserve"> și </w:t>
      </w:r>
      <w:r>
        <w:rPr>
          <w:rFonts w:cs="Calibri" w:cstheme="minorHAnsi"/>
          <w:b/>
          <w:color w:val="1F3864" w:themeColor="accent5" w:themeShade="80"/>
          <w:lang w:val="ro-RO"/>
        </w:rPr>
        <w:t>Capitalul de Risc (Venture Capital)</w:t>
      </w:r>
      <w:r>
        <w:rPr>
          <w:rFonts w:cs="Calibri" w:cstheme="minorHAnsi"/>
          <w:lang w:val="ro-RO"/>
        </w:rPr>
        <w:t xml:space="preserve"> reprezintă  surse alternative de finanțare pentru societățile nefinanciare, în special pentru societățile nou înființate – start-up-uri, societățile private mijlocii, societățile aflate în dificultate financiară și cele publice care doresc finanțare prin achiziții de participații (buyout financing).</w:t>
      </w:r>
    </w:p>
    <w:p>
      <w:pPr>
        <w:pStyle w:val="Normal"/>
        <w:jc w:val="both"/>
        <w:rPr>
          <w:lang w:val="ro-RO"/>
        </w:rPr>
      </w:pPr>
      <w:r>
        <w:rPr>
          <w:lang w:val="ro-RO"/>
        </w:rPr>
        <w:t>Piețele de capital privat (private equity) au cunoscut o creștere semnificativă în ultimii ani. La nivel global, activele totale cumulate până la sfârșitul lunii iunie 2019 au atins 6,5 trilioane USD la nivel global.</w:t>
      </w:r>
    </w:p>
    <w:p>
      <w:pPr>
        <w:pStyle w:val="Normal"/>
        <w:jc w:val="both"/>
        <w:rPr>
          <w:rFonts w:cs="Calibri" w:cstheme="minorHAnsi"/>
          <w:lang w:val="ro-RO"/>
        </w:rPr>
      </w:pPr>
      <w:r>
        <w:rPr>
          <w:rFonts w:cs="Calibri" w:cstheme="minorHAnsi"/>
          <w:lang w:val="ro-RO"/>
        </w:rPr>
        <w:t>Conform unei analize</w:t>
      </w:r>
      <w:r>
        <w:rPr>
          <w:rStyle w:val="FootnoteCharacters"/>
          <w:rStyle w:val="FootnoteAnchor"/>
          <w:lang w:val="ro-RO"/>
        </w:rPr>
        <w:footnoteReference w:id="6"/>
      </w:r>
      <w:r>
        <w:rPr>
          <w:rFonts w:cs="Calibri" w:cstheme="minorHAnsi"/>
          <w:lang w:val="ro-RO"/>
        </w:rPr>
        <w:t xml:space="preserve"> realizată de către consultantul global în management McKinsey &amp; Company</w:t>
      </w:r>
      <w:r>
        <w:rPr>
          <w:rFonts w:cs="Calibri" w:cstheme="minorHAnsi"/>
          <w:color w:val="222222"/>
          <w:shd w:fill="FFFFFF" w:val="clear"/>
          <w:lang w:val="ro-RO"/>
        </w:rPr>
        <w:t xml:space="preserve">, </w:t>
      </w:r>
      <w:r>
        <w:rPr>
          <w:rFonts w:cs="Calibri" w:cstheme="minorHAnsi"/>
          <w:lang w:val="ro-RO"/>
        </w:rPr>
        <w:t xml:space="preserve">capitalul privat reprezintă cea mai mare clasă de active din piața de private equity, valoarea globală a activului net crescând de opt ori din anul 2000, iar activele aflate în administrare (Assets under management-AUM) ale fondurilor de private equity au atins 3,9 trilioane USD până la sfârșitul lunii iunie 2019. </w:t>
      </w:r>
    </w:p>
    <w:p>
      <w:pPr>
        <w:pStyle w:val="Normal"/>
        <w:rPr>
          <w:lang w:val="ro-RO"/>
        </w:rPr>
      </w:pPr>
      <w:r>
        <w:rPr>
          <w:lang w:val="ro-RO"/>
        </w:rPr>
      </w:r>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Prezentare generală a activității de private equity în România</w:t>
      </w:r>
    </w:p>
    <w:p>
      <w:pPr>
        <w:pStyle w:val="Normal"/>
        <w:jc w:val="both"/>
        <w:rPr>
          <w:lang w:val="ro-RO"/>
        </w:rPr>
      </w:pPr>
      <w:r>
        <w:rPr>
          <w:lang w:val="ro-RO"/>
        </w:rPr>
        <w:t>Piața de private equity din România se află încă într-o etapă de dezvoltare. Între 2007 și 2021, firmele de private equity din România au atras 294 de milioane de euro. Valoarea a reprezentat doar 1,3% din suma totală de capital privat din regiunea ECE și a fost cu mult sub ponderea medie anuală a României în PIB-ul ECE pentru aceeași perioadă (12,1%). De altfel, în această perioadă, în România, activitatea de finanțare (fundraising) s-a concentrat pe o perioadă de opt ani. Cu toate acestea, în ultimii cinci ani, firmele de private equity au reușit să atragă o medie anuală de 32 de milioane EUR. Polonia și Ungaria s-au clasat pe primul și pe al doilea loc în activitatea de atragere de fonduri din ECE și, împreună, au reprezentat aproape 40% din totalul fondurilor atrase din regiune.</w:t>
      </w:r>
    </w:p>
    <w:p>
      <w:pPr>
        <w:pStyle w:val="Normal"/>
        <w:jc w:val="both"/>
        <w:rPr>
          <w:lang w:val="ro-RO"/>
        </w:rPr>
      </w:pPr>
      <w:r>
        <w:rPr>
          <w:lang w:val="ro-RO"/>
        </w:rPr>
        <w:t>În România, investițiile de tip private equity raportat la volumul din regiunea ECE a fost semnificativ mai mare. Între 2007 și 2021, investițiile în private equity în România au fosts în valoare de 3,25 miliarde EUR, în medie 217 milioane EUR pe an, reprezentând 10% din totalul regional, cu puțin sub ponderea PIB în ECE, cele mai mari creșteri înregistrandu-se începând cu anul 2012. Totodată, în perioada 2007-2021, dezinvestirile s-au ridicat la 1,11 miliarde EUR, reprezentând 7% din totalul țărilor ECE. Polonia și Republica Cehă s-au clasat pe primele locuri în regiunea ECE în ceea ce privește investițiile (52%) și dezinvestirile firmelor de private equity (59%).</w:t>
      </w:r>
    </w:p>
    <w:p>
      <w:pPr>
        <w:pStyle w:val="Normal"/>
        <w:jc w:val="both"/>
        <w:rPr>
          <w:lang w:val="ro-RO"/>
        </w:rPr>
      </w:pPr>
      <w:r>
        <w:rPr>
          <w:lang w:val="ro-RO"/>
        </w:rPr>
      </w:r>
    </w:p>
    <w:p>
      <w:pPr>
        <w:pStyle w:val="Normal"/>
        <w:jc w:val="both"/>
        <w:rPr>
          <w:lang w:val="ro-RO"/>
        </w:rPr>
      </w:pPr>
      <w:r>
        <w:rPr>
          <w:lang w:val="ro-RO"/>
        </w:rPr>
      </w:r>
    </w:p>
    <w:p>
      <w:pPr>
        <w:pStyle w:val="Normal"/>
        <w:jc w:val="both"/>
        <w:rPr>
          <w:lang w:val="ro-RO"/>
        </w:rPr>
      </w:pPr>
      <w:r>
        <w:rPr>
          <w:lang w:val="ro-RO"/>
        </w:rPr>
      </w:r>
    </w:p>
    <w:p>
      <w:pPr>
        <w:pStyle w:val="Caption1"/>
        <w:keepNext w:val="true"/>
        <w:spacing w:lineRule="auto" w:line="259" w:before="200" w:after="60"/>
        <w:rPr/>
      </w:pPr>
      <w:bookmarkStart w:id="598" w:name="_Toc98958285"/>
      <w:bookmarkStart w:id="599" w:name="_Toc77602938"/>
      <w:bookmarkStart w:id="600" w:name="_Toc77602441"/>
      <w:bookmarkStart w:id="601" w:name="_Toc77588455"/>
      <w:bookmarkStart w:id="602" w:name="_Toc68882431"/>
      <w:bookmarkStart w:id="603" w:name="_Toc68880490"/>
      <w:bookmarkStart w:id="604" w:name="_Toc68880031"/>
      <w:bookmarkStart w:id="605" w:name="_Toc68710848"/>
      <w:bookmarkStart w:id="606" w:name="_Toc68710766"/>
      <w:bookmarkStart w:id="607" w:name="_Toc68698449"/>
      <w:bookmarkStart w:id="608" w:name="_Toc68634652"/>
      <w:bookmarkStart w:id="609" w:name="_Toc68633840"/>
      <w:bookmarkStart w:id="610" w:name="_Toc68628386"/>
      <w:bookmarkStart w:id="611" w:name="_Toc68627732"/>
      <w:bookmarkStart w:id="612" w:name="_Toc62763499"/>
      <w:bookmarkStart w:id="613" w:name="_Toc62763395"/>
      <w:bookmarkStart w:id="614" w:name="_Toc62763187"/>
      <w:bookmarkStart w:id="615" w:name="_Toc62762147"/>
      <w:bookmarkStart w:id="616" w:name="_Toc62741879"/>
      <w:bookmarkStart w:id="617" w:name="_Toc62724053"/>
      <w:bookmarkStart w:id="618" w:name="_Toc62721845"/>
      <w:bookmarkStart w:id="619" w:name="_Toc62665406"/>
      <w:bookmarkStart w:id="620" w:name="_Toc62660902"/>
      <w:bookmarkStart w:id="621" w:name="_Toc62650412"/>
      <w:bookmarkStart w:id="622" w:name="_Toc62648668"/>
      <w:bookmarkStart w:id="623" w:name="_Toc62641614"/>
      <w:bookmarkStart w:id="624" w:name="_Toc62641441"/>
      <w:bookmarkStart w:id="625" w:name="_Toc62584927"/>
      <w:bookmarkStart w:id="626" w:name="_Toc62578914"/>
      <w:bookmarkStart w:id="627" w:name="_Toc62575202"/>
      <w:bookmarkStart w:id="628" w:name="_Toc62228160"/>
      <w:bookmarkStart w:id="629" w:name="_Toc62227744"/>
      <w:bookmarkStart w:id="630" w:name="_Toc62227889"/>
      <w:bookmarkStart w:id="631" w:name="_Toc62217512"/>
      <w:bookmarkStart w:id="632" w:name="_Toc62216504"/>
      <w:bookmarkStart w:id="633" w:name="_Toc62147477"/>
      <w:bookmarkStart w:id="634" w:name="_Toc62145938"/>
      <w:bookmarkStart w:id="635" w:name="_Toc62145730"/>
      <w:bookmarkStart w:id="636" w:name="_Toc62135071"/>
      <w:bookmarkStart w:id="637" w:name="_Toc62072385"/>
      <w:bookmarkStart w:id="638" w:name="_Toc62069851"/>
      <w:bookmarkStart w:id="639" w:name="_Toc62057062"/>
      <w:bookmarkStart w:id="640" w:name="_Toc62030115"/>
      <w:bookmarkStart w:id="641" w:name="_Toc61977244"/>
      <w:bookmarkStart w:id="642" w:name="_Toc61977142"/>
      <w:bookmarkStart w:id="643" w:name="_Toc61897979"/>
      <w:bookmarkStart w:id="644" w:name="_Toc61893307"/>
      <w:bookmarkStart w:id="645" w:name="_Toc61889735"/>
      <w:bookmarkStart w:id="646" w:name="_Toc61885417"/>
      <w:bookmarkStart w:id="647" w:name="_Toc61884781"/>
      <w:bookmarkStart w:id="648" w:name="_Toc61871338"/>
      <w:bookmarkStart w:id="649" w:name="_Toc61864446"/>
      <w:bookmarkStart w:id="650" w:name="_Toc61860396"/>
      <w:bookmarkStart w:id="651" w:name="_Toc114571528"/>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19</w:t>
      </w:r>
      <w:r>
        <w:rPr>
          <w:iCs w:val="false"/>
          <w:rFonts w:cs="Calibri"/>
        </w:rPr>
        <w:fldChar w:fldCharType="end"/>
      </w:r>
      <w:r>
        <w:rPr/>
        <w:t xml:space="preserve"> Activitatea de private equity în România și în ECE, 2007 – 2021</w:t>
      </w:r>
      <w:bookmarkEnd w:id="651"/>
      <w:r>
        <w:rPr/>
        <w:t xml:space="preserve"> </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pStyle w:val="ListParagraph"/>
        <w:numPr>
          <w:ilvl w:val="0"/>
          <w:numId w:val="14"/>
        </w:numPr>
        <w:jc w:val="center"/>
        <w:rPr>
          <w:lang w:val="ro-RO"/>
        </w:rPr>
      </w:pPr>
      <w:r>
        <w:rPr>
          <w:lang w:val="ro-RO"/>
        </w:rPr>
        <w:t>Activitatea de private equity în regiunea ECE*</w:t>
      </w:r>
    </w:p>
    <w:p>
      <w:pPr>
        <w:pStyle w:val="Normal"/>
        <w:jc w:val="center"/>
        <w:rPr>
          <w:lang w:val="ro-RO"/>
        </w:rPr>
      </w:pPr>
      <w:r>
        <w:rPr/>
        <w:drawing>
          <wp:inline distT="0" distB="0" distL="0" distR="0">
            <wp:extent cx="4577080" cy="2008505"/>
            <wp:effectExtent l="0" t="0" r="0" b="0"/>
            <wp:docPr id="2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Normal"/>
        <w:jc w:val="center"/>
        <w:rPr>
          <w:i/>
          <w:i/>
          <w:sz w:val="20"/>
          <w:lang w:val="ro-RO"/>
        </w:rPr>
      </w:pPr>
      <w:r>
        <w:rPr>
          <w:i/>
          <w:sz w:val="20"/>
          <w:lang w:val="ro-RO"/>
        </w:rPr>
        <w:t>Sursa: OECD</w:t>
      </w:r>
    </w:p>
    <w:p>
      <w:pPr>
        <w:pStyle w:val="ListParagraph"/>
        <w:numPr>
          <w:ilvl w:val="0"/>
          <w:numId w:val="14"/>
        </w:numPr>
        <w:jc w:val="center"/>
        <w:rPr>
          <w:lang w:val="ro-RO"/>
        </w:rPr>
      </w:pPr>
      <w:r>
        <w:rPr>
          <w:lang w:val="ro-RO"/>
        </w:rPr>
        <w:t>Activitatea de investire și dezinvestire – ponderea României comparativ cu regiunea ECE</w:t>
      </w:r>
    </w:p>
    <w:p>
      <w:pPr>
        <w:pStyle w:val="ListParagraph"/>
        <w:ind w:left="0" w:hanging="0"/>
        <w:jc w:val="center"/>
        <w:rPr>
          <w:lang w:val="ro-RO"/>
        </w:rPr>
      </w:pPr>
      <w:r>
        <w:rPr/>
        <w:drawing>
          <wp:inline distT="0" distB="0" distL="0" distR="0">
            <wp:extent cx="5262880" cy="2658745"/>
            <wp:effectExtent l="0" t="0" r="0" b="0"/>
            <wp:docPr id="3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Normal"/>
        <w:jc w:val="center"/>
        <w:rPr>
          <w:i/>
          <w:i/>
          <w:sz w:val="20"/>
          <w:lang w:val="ro-RO"/>
        </w:rPr>
      </w:pPr>
      <w:r>
        <w:rPr>
          <w:i/>
          <w:sz w:val="20"/>
          <w:lang w:val="ro-RO"/>
        </w:rPr>
        <w:t>Sursa: OECD</w:t>
      </w:r>
    </w:p>
    <w:p>
      <w:pPr>
        <w:pStyle w:val="Normal"/>
        <w:spacing w:before="60" w:after="0"/>
        <w:jc w:val="both"/>
        <w:rPr>
          <w:rFonts w:ascii="Arial" w:hAnsi="Arial"/>
          <w:i/>
          <w:i/>
          <w:sz w:val="18"/>
          <w:lang w:val="ro-RO"/>
        </w:rPr>
      </w:pPr>
      <w:r>
        <w:rPr>
          <w:rFonts w:ascii="Arial" w:hAnsi="Arial"/>
          <w:i/>
          <w:sz w:val="18"/>
          <w:lang w:val="ro-RO"/>
        </w:rPr>
        <w:t>*</w:t>
      </w:r>
      <w:r>
        <w:rPr>
          <w:rFonts w:ascii="Arial" w:hAnsi="Arial"/>
          <w:sz w:val="18"/>
          <w:lang w:val="ro-RO"/>
        </w:rPr>
        <w:t xml:space="preserve">În panelul A, regiunea ECE include fonduri atrase în valoare de 8 miliarde EUR, pentru care nu sunt specificate informații referitoare la țara destinatară a sumelor. </w:t>
      </w:r>
    </w:p>
    <w:p>
      <w:pPr>
        <w:pStyle w:val="Normal"/>
        <w:rPr>
          <w:sz w:val="20"/>
          <w:lang w:val="ro-RO"/>
        </w:rPr>
      </w:pPr>
      <w:r>
        <w:rPr>
          <w:sz w:val="20"/>
          <w:lang w:val="ro-RO"/>
        </w:rPr>
      </w:r>
    </w:p>
    <w:p>
      <w:pPr>
        <w:pStyle w:val="Normal"/>
        <w:jc w:val="both"/>
        <w:rPr>
          <w:lang w:val="ro-RO"/>
        </w:rPr>
      </w:pPr>
      <w:r>
        <w:rPr>
          <w:lang w:val="ro-RO"/>
        </w:rPr>
        <w:t>În comparație cu țările similare selectate, în ultimii cinci ani, activitatea de private equity din România a rămas în urmă pe zona de finanțare și dezinvestire. În Cehia și Polonia, între anii 2017-2021, finanțarea pentru private equity a reprezentat în medie 0,22%, respectiv 0,10% din PIB-ul acestora, în timp ce în România a reprezentat doar 0,01% din PIB. Mai mult, dezinvestițiile din private equity în aceeași perioadă au reprezentat doar 0,04% din PIB-ul României, sub media ECE de 0,08%. Investițiile în private equity reprezentau 0,14% față de PIB, sunt, de asemenea, sub nivelul mediu ECE de 0,18% din PIB.</w:t>
      </w:r>
    </w:p>
    <w:p>
      <w:pPr>
        <w:pStyle w:val="Caption1"/>
        <w:keepNext w:val="true"/>
        <w:spacing w:lineRule="auto" w:line="259" w:before="200" w:after="60"/>
        <w:rPr/>
      </w:pPr>
      <w:r>
        <w:rPr/>
      </w:r>
      <w:bookmarkStart w:id="652" w:name="_Toc98958286"/>
      <w:bookmarkStart w:id="653" w:name="_Toc77602939"/>
      <w:bookmarkStart w:id="654" w:name="_Toc77602442"/>
      <w:bookmarkStart w:id="655" w:name="_Toc77588456"/>
      <w:bookmarkStart w:id="656" w:name="_Toc68882432"/>
      <w:bookmarkStart w:id="657" w:name="_Toc68880491"/>
      <w:bookmarkStart w:id="658" w:name="_Toc68880032"/>
      <w:bookmarkStart w:id="659" w:name="_Toc68710849"/>
      <w:bookmarkStart w:id="660" w:name="_Toc68710767"/>
      <w:bookmarkStart w:id="661" w:name="_Toc68698450"/>
      <w:bookmarkStart w:id="662" w:name="_Toc68634653"/>
      <w:bookmarkStart w:id="663" w:name="_Toc68633841"/>
      <w:bookmarkStart w:id="664" w:name="_Toc68628387"/>
      <w:bookmarkStart w:id="665" w:name="_Toc68627733"/>
      <w:bookmarkStart w:id="666" w:name="_Toc62763500"/>
      <w:bookmarkStart w:id="667" w:name="_Toc62763396"/>
      <w:bookmarkStart w:id="668" w:name="_Toc62763188"/>
      <w:bookmarkStart w:id="669" w:name="_Toc62762148"/>
      <w:bookmarkStart w:id="670" w:name="_Toc62741880"/>
      <w:bookmarkStart w:id="671" w:name="_Toc62724054"/>
      <w:bookmarkStart w:id="672" w:name="_Toc62721846"/>
      <w:bookmarkStart w:id="673" w:name="_Toc62665407"/>
      <w:bookmarkStart w:id="674" w:name="_Toc62660903"/>
      <w:bookmarkStart w:id="675" w:name="_Toc62650413"/>
      <w:bookmarkStart w:id="676" w:name="_Toc62648669"/>
      <w:bookmarkStart w:id="677" w:name="_Toc62641615"/>
      <w:bookmarkStart w:id="678" w:name="_Toc62641442"/>
      <w:bookmarkStart w:id="679" w:name="_Toc62584928"/>
      <w:bookmarkStart w:id="680" w:name="_Toc62578915"/>
      <w:bookmarkStart w:id="681" w:name="_Toc62575203"/>
      <w:bookmarkStart w:id="682" w:name="_Toc62228161"/>
      <w:bookmarkStart w:id="683" w:name="_Toc62227745"/>
      <w:bookmarkStart w:id="684" w:name="_Toc62227890"/>
      <w:bookmarkStart w:id="685" w:name="_Toc62217513"/>
      <w:bookmarkStart w:id="686" w:name="_Toc62216505"/>
      <w:bookmarkStart w:id="687" w:name="_Toc62147478"/>
      <w:bookmarkStart w:id="688" w:name="_Toc62145939"/>
      <w:bookmarkStart w:id="689" w:name="_Toc62145731"/>
      <w:bookmarkStart w:id="690" w:name="_Toc62135072"/>
      <w:bookmarkStart w:id="691" w:name="_Toc62069852"/>
      <w:bookmarkStart w:id="692" w:name="_Toc62072386"/>
      <w:bookmarkStart w:id="693" w:name="_Toc62030116"/>
      <w:bookmarkStart w:id="694" w:name="_Toc61977245"/>
      <w:bookmarkStart w:id="695" w:name="_Toc61977143"/>
      <w:bookmarkStart w:id="696" w:name="_Toc61897980"/>
      <w:bookmarkStart w:id="697" w:name="_Toc61893308"/>
      <w:bookmarkStart w:id="698" w:name="_Toc61889736"/>
      <w:bookmarkStart w:id="699" w:name="_Toc61885418"/>
      <w:bookmarkStart w:id="700" w:name="_Toc61884782"/>
      <w:bookmarkStart w:id="701" w:name="_Toc61871339"/>
      <w:bookmarkStart w:id="702" w:name="_Toc61864447"/>
      <w:bookmarkStart w:id="703" w:name="_Toc61860397"/>
      <w:bookmarkStart w:id="704" w:name="_Toc98958286"/>
      <w:bookmarkStart w:id="705" w:name="_Toc77602939"/>
      <w:bookmarkStart w:id="706" w:name="_Toc77602442"/>
      <w:bookmarkStart w:id="707" w:name="_Toc77588456"/>
      <w:bookmarkStart w:id="708" w:name="_Toc68882432"/>
      <w:bookmarkStart w:id="709" w:name="_Toc68880491"/>
      <w:bookmarkStart w:id="710" w:name="_Toc68880032"/>
      <w:bookmarkStart w:id="711" w:name="_Toc68710849"/>
      <w:bookmarkStart w:id="712" w:name="_Toc68710767"/>
      <w:bookmarkStart w:id="713" w:name="_Toc68698450"/>
      <w:bookmarkStart w:id="714" w:name="_Toc68634653"/>
      <w:bookmarkStart w:id="715" w:name="_Toc68633841"/>
      <w:bookmarkStart w:id="716" w:name="_Toc68628387"/>
      <w:bookmarkStart w:id="717" w:name="_Toc68627733"/>
      <w:bookmarkStart w:id="718" w:name="_Toc62763500"/>
      <w:bookmarkStart w:id="719" w:name="_Toc62763396"/>
      <w:bookmarkStart w:id="720" w:name="_Toc62763188"/>
      <w:bookmarkStart w:id="721" w:name="_Toc62762148"/>
      <w:bookmarkStart w:id="722" w:name="_Toc62741880"/>
      <w:bookmarkStart w:id="723" w:name="_Toc62724054"/>
      <w:bookmarkStart w:id="724" w:name="_Toc62721846"/>
      <w:bookmarkStart w:id="725" w:name="_Toc62665407"/>
      <w:bookmarkStart w:id="726" w:name="_Toc62660903"/>
      <w:bookmarkStart w:id="727" w:name="_Toc62650413"/>
      <w:bookmarkStart w:id="728" w:name="_Toc62648669"/>
      <w:bookmarkStart w:id="729" w:name="_Toc62641615"/>
      <w:bookmarkStart w:id="730" w:name="_Toc62641442"/>
      <w:bookmarkStart w:id="731" w:name="_Toc62584928"/>
      <w:bookmarkStart w:id="732" w:name="_Toc62578915"/>
      <w:bookmarkStart w:id="733" w:name="_Toc62575203"/>
      <w:bookmarkStart w:id="734" w:name="_Toc62228161"/>
      <w:bookmarkStart w:id="735" w:name="_Toc62227745"/>
      <w:bookmarkStart w:id="736" w:name="_Toc62227890"/>
      <w:bookmarkStart w:id="737" w:name="_Toc62217513"/>
      <w:bookmarkStart w:id="738" w:name="_Toc62216505"/>
      <w:bookmarkStart w:id="739" w:name="_Toc62147478"/>
      <w:bookmarkStart w:id="740" w:name="_Toc62145939"/>
      <w:bookmarkStart w:id="741" w:name="_Toc62145731"/>
      <w:bookmarkStart w:id="742" w:name="_Toc62135072"/>
      <w:bookmarkStart w:id="743" w:name="_Toc62069852"/>
      <w:bookmarkStart w:id="744" w:name="_Toc62072386"/>
      <w:bookmarkStart w:id="745" w:name="_Toc62030116"/>
      <w:bookmarkStart w:id="746" w:name="_Toc61977245"/>
      <w:bookmarkStart w:id="747" w:name="_Toc61977143"/>
      <w:bookmarkStart w:id="748" w:name="_Toc61897980"/>
      <w:bookmarkStart w:id="749" w:name="_Toc61893308"/>
      <w:bookmarkStart w:id="750" w:name="_Toc61889736"/>
      <w:bookmarkStart w:id="751" w:name="_Toc61885418"/>
      <w:bookmarkStart w:id="752" w:name="_Toc61884782"/>
      <w:bookmarkStart w:id="753" w:name="_Toc61871339"/>
      <w:bookmarkStart w:id="754" w:name="_Toc61864447"/>
      <w:bookmarkStart w:id="755" w:name="_Toc61860397"/>
    </w:p>
    <w:p>
      <w:pPr>
        <w:pStyle w:val="Caption1"/>
        <w:keepNext w:val="true"/>
        <w:spacing w:lineRule="auto" w:line="259" w:before="200" w:after="60"/>
        <w:rPr/>
      </w:pPr>
      <w:bookmarkStart w:id="756" w:name="_Toc114571529"/>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20</w:t>
      </w:r>
      <w:r>
        <w:rPr>
          <w:iCs w:val="false"/>
          <w:rFonts w:cs="Calibri"/>
        </w:rPr>
        <w:fldChar w:fldCharType="end"/>
      </w:r>
      <w:r>
        <w:rPr/>
        <w:t xml:space="preserve"> Activitatea de private equity în România și în alte țări din regiune, % PIB, </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Pr/>
        <w:t>ultimii 5 ani (2017 – 2021)</w:t>
      </w:r>
      <w:bookmarkEnd w:id="756"/>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4675"/>
        <w:gridCol w:w="4674"/>
      </w:tblGrid>
      <w:tr>
        <w:trPr/>
        <w:tc>
          <w:tcPr>
            <w:tcW w:w="4675" w:type="dxa"/>
            <w:tcBorders>
              <w:top w:val="nil"/>
              <w:left w:val="nil"/>
              <w:bottom w:val="nil"/>
              <w:right w:val="nil"/>
              <w:insideH w:val="nil"/>
              <w:insideV w:val="nil"/>
            </w:tcBorders>
            <w:shd w:fill="auto" w:val="clear"/>
          </w:tcPr>
          <w:p>
            <w:pPr>
              <w:pStyle w:val="ListParagraph"/>
              <w:numPr>
                <w:ilvl w:val="0"/>
                <w:numId w:val="15"/>
              </w:numPr>
              <w:spacing w:lineRule="auto" w:line="240" w:before="0" w:after="0"/>
              <w:contextualSpacing/>
              <w:rPr>
                <w:lang w:val="ro-RO"/>
              </w:rPr>
            </w:pPr>
            <w:r>
              <w:rPr>
                <w:lang w:val="ro-RO"/>
              </w:rPr>
              <w:t>Finanțare</w:t>
            </w:r>
          </w:p>
        </w:tc>
        <w:tc>
          <w:tcPr>
            <w:tcW w:w="4674" w:type="dxa"/>
            <w:tcBorders>
              <w:top w:val="nil"/>
              <w:left w:val="nil"/>
              <w:bottom w:val="nil"/>
              <w:right w:val="nil"/>
              <w:insideH w:val="nil"/>
              <w:insideV w:val="nil"/>
            </w:tcBorders>
            <w:shd w:fill="auto" w:val="clear"/>
          </w:tcPr>
          <w:p>
            <w:pPr>
              <w:pStyle w:val="Normal"/>
              <w:spacing w:lineRule="auto" w:line="240" w:before="0" w:after="0"/>
              <w:rPr>
                <w:lang w:val="ro-RO"/>
              </w:rPr>
            </w:pPr>
            <w:r>
              <w:rPr>
                <w:lang w:val="ro-RO"/>
              </w:rPr>
              <w:t xml:space="preserve">B. Investiții </w:t>
            </w:r>
          </w:p>
        </w:tc>
      </w:tr>
      <w:tr>
        <w:trPr/>
        <w:tc>
          <w:tcPr>
            <w:tcW w:w="4675" w:type="dxa"/>
            <w:tcBorders>
              <w:top w:val="nil"/>
              <w:left w:val="nil"/>
              <w:bottom w:val="nil"/>
              <w:right w:val="nil"/>
              <w:insideH w:val="nil"/>
              <w:insideV w:val="nil"/>
            </w:tcBorders>
            <w:shd w:fill="auto" w:val="clear"/>
          </w:tcPr>
          <w:p>
            <w:pPr>
              <w:pStyle w:val="Normal"/>
              <w:spacing w:lineRule="auto" w:line="240" w:before="0" w:after="0"/>
              <w:rPr>
                <w:lang w:val="ro-RO"/>
              </w:rPr>
            </w:pPr>
            <w:r>
              <w:rPr/>
              <w:drawing>
                <wp:inline distT="0" distB="0" distL="0" distR="0">
                  <wp:extent cx="2617470" cy="2410460"/>
                  <wp:effectExtent l="0" t="0" r="0" b="0"/>
                  <wp:docPr id="3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674" w:type="dxa"/>
            <w:tcBorders>
              <w:top w:val="nil"/>
              <w:left w:val="nil"/>
              <w:bottom w:val="nil"/>
              <w:right w:val="nil"/>
              <w:insideH w:val="nil"/>
              <w:insideV w:val="nil"/>
            </w:tcBorders>
            <w:shd w:fill="auto" w:val="clear"/>
          </w:tcPr>
          <w:p>
            <w:pPr>
              <w:pStyle w:val="Normal"/>
              <w:spacing w:lineRule="auto" w:line="240" w:before="0" w:after="0"/>
              <w:rPr>
                <w:lang w:val="ro-RO"/>
              </w:rPr>
            </w:pPr>
            <w:r>
              <w:rPr/>
              <w:drawing>
                <wp:inline distT="0" distB="0" distL="0" distR="0">
                  <wp:extent cx="2795270" cy="2417445"/>
                  <wp:effectExtent l="0" t="0" r="0" b="0"/>
                  <wp:docPr id="3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trPr/>
        <w:tc>
          <w:tcPr>
            <w:tcW w:w="9349" w:type="dxa"/>
            <w:gridSpan w:val="2"/>
            <w:tcBorders>
              <w:top w:val="nil"/>
              <w:left w:val="nil"/>
              <w:bottom w:val="nil"/>
              <w:right w:val="nil"/>
              <w:insideH w:val="nil"/>
              <w:insideV w:val="nil"/>
            </w:tcBorders>
            <w:shd w:fill="auto" w:val="clear"/>
          </w:tcPr>
          <w:p>
            <w:pPr>
              <w:pStyle w:val="Normal"/>
              <w:spacing w:lineRule="auto" w:line="240" w:before="0" w:after="0"/>
              <w:rPr>
                <w:lang w:val="ro-RO"/>
              </w:rPr>
            </w:pPr>
            <w:r>
              <w:rPr>
                <w:lang w:val="ro-RO"/>
              </w:rPr>
            </w:r>
          </w:p>
          <w:p>
            <w:pPr>
              <w:pStyle w:val="ListParagraph"/>
              <w:numPr>
                <w:ilvl w:val="0"/>
                <w:numId w:val="15"/>
              </w:numPr>
              <w:spacing w:lineRule="auto" w:line="240" w:before="0" w:after="0"/>
              <w:contextualSpacing/>
              <w:jc w:val="center"/>
              <w:rPr>
                <w:lang w:val="ro-RO"/>
              </w:rPr>
            </w:pPr>
            <w:r>
              <w:rPr>
                <w:lang w:val="ro-RO"/>
              </w:rPr>
              <w:t>Dezinvestiții</w:t>
            </w:r>
          </w:p>
        </w:tc>
      </w:tr>
      <w:tr>
        <w:trPr/>
        <w:tc>
          <w:tcPr>
            <w:tcW w:w="9349" w:type="dxa"/>
            <w:gridSpan w:val="2"/>
            <w:tcBorders>
              <w:top w:val="nil"/>
              <w:left w:val="nil"/>
              <w:bottom w:val="nil"/>
              <w:right w:val="nil"/>
              <w:insideH w:val="nil"/>
              <w:insideV w:val="nil"/>
            </w:tcBorders>
            <w:shd w:fill="auto" w:val="clear"/>
          </w:tcPr>
          <w:p>
            <w:pPr>
              <w:pStyle w:val="Normal"/>
              <w:spacing w:lineRule="auto" w:line="240" w:before="0" w:after="0"/>
              <w:jc w:val="center"/>
              <w:rPr>
                <w:lang w:val="ro-RO"/>
              </w:rPr>
            </w:pPr>
            <w:r>
              <w:rPr/>
              <w:drawing>
                <wp:inline distT="0" distB="0" distL="0" distR="0">
                  <wp:extent cx="2797175" cy="2632075"/>
                  <wp:effectExtent l="0" t="0" r="0" b="0"/>
                  <wp:docPr id="3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pPr>
        <w:pStyle w:val="Normal"/>
        <w:jc w:val="center"/>
        <w:rPr>
          <w:i/>
          <w:i/>
          <w:lang w:val="ro-RO"/>
        </w:rPr>
      </w:pPr>
      <w:r>
        <w:rPr>
          <w:i/>
          <w:lang w:val="ro-RO"/>
        </w:rPr>
        <w:t>Sursa: OECD</w:t>
      </w:r>
      <w:bookmarkStart w:id="757" w:name="_Toc62057063"/>
      <w:bookmarkEnd w:id="757"/>
    </w:p>
    <w:p>
      <w:pPr>
        <w:pStyle w:val="Normal"/>
        <w:spacing w:before="60" w:after="0"/>
        <w:jc w:val="both"/>
        <w:rPr>
          <w:rFonts w:ascii="Arial" w:hAnsi="Arial"/>
          <w:sz w:val="18"/>
          <w:lang w:val="ro-RO"/>
        </w:rPr>
      </w:pPr>
      <w:r>
        <w:rPr>
          <w:rFonts w:ascii="Arial" w:hAnsi="Arial"/>
          <w:i/>
          <w:sz w:val="18"/>
          <w:lang w:val="ro-RO"/>
        </w:rPr>
        <w:t>Notă:</w:t>
      </w:r>
      <w:r>
        <w:rPr>
          <w:rFonts w:ascii="Arial" w:hAnsi="Arial"/>
          <w:sz w:val="18"/>
          <w:lang w:val="ro-RO"/>
        </w:rPr>
        <w:t xml:space="preserve"> Ponderile reprezintă media pe 5 ani a valorilor din perioada 2017 – 2021. În panelul A, regiunea ECE include fonduri atrase în valoare de 8 miliarde EUR, pentru care nu sunt specificate informații referitoare la țara destinatară a sumelor. </w:t>
      </w:r>
    </w:p>
    <w:p>
      <w:pPr>
        <w:pStyle w:val="Normal"/>
        <w:spacing w:before="60" w:after="0"/>
        <w:jc w:val="both"/>
        <w:rPr>
          <w:rFonts w:ascii="Arial" w:hAnsi="Arial"/>
          <w:i/>
          <w:i/>
          <w:sz w:val="18"/>
          <w:lang w:val="ro-RO"/>
        </w:rPr>
      </w:pPr>
      <w:r>
        <w:rPr>
          <w:rFonts w:ascii="Arial" w:hAnsi="Arial"/>
          <w:i/>
          <w:sz w:val="18"/>
          <w:lang w:val="ro-RO"/>
        </w:rPr>
      </w:r>
    </w:p>
    <w:p>
      <w:pPr>
        <w:pStyle w:val="Normal"/>
        <w:jc w:val="both"/>
        <w:rPr>
          <w:rFonts w:eastAsia="" w:cs="Calibri" w:cstheme="minorHAnsi" w:eastAsiaTheme="majorEastAsia"/>
          <w:b/>
          <w:b/>
          <w:color w:val="1F3864" w:themeColor="accent5" w:themeShade="80"/>
          <w:szCs w:val="24"/>
          <w:lang w:val="ro-RO"/>
        </w:rPr>
      </w:pPr>
      <w:r>
        <w:rPr>
          <w:rFonts w:eastAsia="" w:cs="Calibri" w:cstheme="minorHAnsi" w:eastAsiaTheme="majorEastAsia"/>
          <w:b/>
          <w:color w:val="1F3864" w:themeColor="accent5" w:themeShade="80"/>
          <w:szCs w:val="24"/>
          <w:lang w:val="ro-RO"/>
        </w:rPr>
        <w:t>Tendințe în atragerea de fonduri (</w:t>
      </w:r>
      <w:r>
        <w:rPr>
          <w:rFonts w:eastAsia="" w:cs="Calibri" w:cstheme="minorHAnsi" w:eastAsiaTheme="majorEastAsia"/>
          <w:b/>
          <w:i/>
          <w:color w:val="1F3864" w:themeColor="accent5" w:themeShade="80"/>
          <w:szCs w:val="24"/>
          <w:lang w:val="ro-RO"/>
        </w:rPr>
        <w:t>fundraising</w:t>
      </w:r>
      <w:r>
        <w:rPr>
          <w:rFonts w:eastAsia="" w:cs="Calibri" w:cstheme="minorHAnsi" w:eastAsiaTheme="majorEastAsia"/>
          <w:b/>
          <w:color w:val="1F3864" w:themeColor="accent5" w:themeShade="80"/>
          <w:szCs w:val="24"/>
          <w:lang w:val="ro-RO"/>
        </w:rPr>
        <w:t>), investiții și dezinvestiții</w:t>
      </w:r>
    </w:p>
    <w:p>
      <w:pPr>
        <w:pStyle w:val="Normal"/>
        <w:jc w:val="both"/>
        <w:rPr>
          <w:lang w:val="ro-RO"/>
        </w:rPr>
      </w:pPr>
      <w:r>
        <w:rPr>
          <w:lang w:val="ro-RO"/>
        </w:rPr>
        <w:t>În comparație cu volumul de finanțări pentru private equity din regiunea ECE, volumul din România este unul modest și este orientat în cea mai mare parte pe investitorii străini. Între 2007 și 2021, 67% dintre finanțările din România a fost de la investitorii europeni, reprezentând aproape de două ori mai mult decât ponderea totală de 34% ECE extra-internă. Mai mult, finanțarea de la investitorii din afara Europei a fost una modestă, în timp ce pentru regiunea ECE aproximativ 12% din finanțări au fost de la investitorii non-europeni.</w:t>
      </w:r>
    </w:p>
    <w:p>
      <w:pPr>
        <w:pStyle w:val="Normal"/>
        <w:jc w:val="both"/>
        <w:rPr>
          <w:lang w:val="ro-RO"/>
        </w:rPr>
      </w:pPr>
      <w:r>
        <w:rPr>
          <w:lang w:val="ro-RO"/>
        </w:rPr>
        <w:t>În Polonia, 46% din finanțări au fost din alte țări europene și 22% din țări non-europene. Cu toate acestea, alte țări din ECE se bazează în mare măsură pe piața lor internă, în special în Ungaria, unde 80% din finanțări provin de la investitori locali. În general, țările ECE depind foarte mult de piața internă și de alte piețe europene care, împreună, reprezintă 66% din totalul finanțărilor, în timp ce pentru Europa ponderea corespunzătoare este de 51%.</w:t>
      </w:r>
    </w:p>
    <w:p>
      <w:pPr>
        <w:pStyle w:val="Caption1"/>
        <w:keepNext w:val="true"/>
        <w:spacing w:lineRule="auto" w:line="259" w:before="200" w:after="60"/>
        <w:rPr/>
      </w:pPr>
      <w:bookmarkStart w:id="758" w:name="_Toc98958287"/>
      <w:bookmarkStart w:id="759" w:name="_Toc77602940"/>
      <w:bookmarkStart w:id="760" w:name="_Toc77602443"/>
      <w:bookmarkStart w:id="761" w:name="_Toc77588457"/>
      <w:bookmarkStart w:id="762" w:name="_Toc68882433"/>
      <w:bookmarkStart w:id="763" w:name="_Toc68880492"/>
      <w:bookmarkStart w:id="764" w:name="_Toc68880033"/>
      <w:bookmarkStart w:id="765" w:name="_Toc68710850"/>
      <w:bookmarkStart w:id="766" w:name="_Toc68710768"/>
      <w:bookmarkStart w:id="767" w:name="_Toc68698451"/>
      <w:bookmarkStart w:id="768" w:name="_Toc68634654"/>
      <w:bookmarkStart w:id="769" w:name="_Toc68633842"/>
      <w:bookmarkStart w:id="770" w:name="_Toc68628388"/>
      <w:bookmarkStart w:id="771" w:name="_Toc68627734"/>
      <w:bookmarkStart w:id="772" w:name="_Toc62763501"/>
      <w:bookmarkStart w:id="773" w:name="_Toc62763397"/>
      <w:bookmarkStart w:id="774" w:name="_Toc62763189"/>
      <w:bookmarkStart w:id="775" w:name="_Toc62762149"/>
      <w:bookmarkStart w:id="776" w:name="_Toc62741881"/>
      <w:bookmarkStart w:id="777" w:name="_Toc62724055"/>
      <w:bookmarkStart w:id="778" w:name="_Toc62721847"/>
      <w:bookmarkStart w:id="779" w:name="_Toc62665408"/>
      <w:bookmarkStart w:id="780" w:name="_Toc62660904"/>
      <w:bookmarkStart w:id="781" w:name="_Toc62650414"/>
      <w:bookmarkStart w:id="782" w:name="_Toc62648670"/>
      <w:bookmarkStart w:id="783" w:name="_Toc62641616"/>
      <w:bookmarkStart w:id="784" w:name="_Toc62641443"/>
      <w:bookmarkStart w:id="785" w:name="_Toc62584929"/>
      <w:bookmarkStart w:id="786" w:name="_Toc62578916"/>
      <w:bookmarkStart w:id="787" w:name="_Toc62575204"/>
      <w:bookmarkStart w:id="788" w:name="_Toc62228162"/>
      <w:bookmarkStart w:id="789" w:name="_Toc62227746"/>
      <w:bookmarkStart w:id="790" w:name="_Toc62227891"/>
      <w:bookmarkStart w:id="791" w:name="_Toc62217514"/>
      <w:bookmarkStart w:id="792" w:name="_Toc62216506"/>
      <w:bookmarkStart w:id="793" w:name="_Toc62147479"/>
      <w:bookmarkStart w:id="794" w:name="_Toc62145940"/>
      <w:bookmarkStart w:id="795" w:name="_Toc62145732"/>
      <w:bookmarkStart w:id="796" w:name="_Toc62135073"/>
      <w:bookmarkStart w:id="797" w:name="_Toc62072387"/>
      <w:bookmarkStart w:id="798" w:name="_Toc62069853"/>
      <w:bookmarkStart w:id="799" w:name="_Toc62057064"/>
      <w:bookmarkStart w:id="800" w:name="_Toc62030117"/>
      <w:bookmarkStart w:id="801" w:name="_Toc61977246"/>
      <w:bookmarkStart w:id="802" w:name="_Toc61977144"/>
      <w:bookmarkStart w:id="803" w:name="_Toc61897981"/>
      <w:bookmarkStart w:id="804" w:name="_Toc61893309"/>
      <w:bookmarkStart w:id="805" w:name="_Toc61889737"/>
      <w:bookmarkStart w:id="806" w:name="_Toc61885419"/>
      <w:bookmarkStart w:id="807" w:name="_Toc61884783"/>
      <w:bookmarkStart w:id="808" w:name="_Toc61871340"/>
      <w:bookmarkStart w:id="809" w:name="_Toc61864448"/>
      <w:bookmarkStart w:id="810" w:name="_Toc61860398"/>
      <w:bookmarkStart w:id="811" w:name="_Toc114571530"/>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21</w:t>
      </w:r>
      <w:r>
        <w:rPr>
          <w:iCs w:val="false"/>
          <w:rFonts w:cs="Calibri"/>
        </w:rPr>
        <w:fldChar w:fldCharType="end"/>
      </w:r>
      <w:r>
        <w:rPr/>
        <w:t xml:space="preserve"> Finanțări de private equity structurate pe originea investitorilor în România și în alte state comparabile (2007 – 2021)</w:t>
      </w:r>
      <w:bookmarkEnd w:id="811"/>
      <w:r>
        <w:rPr/>
        <w:t xml:space="preserve"> </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4675"/>
        <w:gridCol w:w="4674"/>
      </w:tblGrid>
      <w:tr>
        <w:trPr/>
        <w:tc>
          <w:tcPr>
            <w:tcW w:w="4675" w:type="dxa"/>
            <w:tcBorders>
              <w:top w:val="nil"/>
              <w:left w:val="nil"/>
              <w:bottom w:val="nil"/>
              <w:right w:val="nil"/>
              <w:insideH w:val="nil"/>
              <w:insideV w:val="nil"/>
            </w:tcBorders>
            <w:shd w:fill="auto" w:val="clear"/>
          </w:tcPr>
          <w:p>
            <w:pPr>
              <w:pStyle w:val="ListParagraph"/>
              <w:numPr>
                <w:ilvl w:val="0"/>
                <w:numId w:val="16"/>
              </w:numPr>
              <w:spacing w:lineRule="auto" w:line="240" w:before="0" w:after="0"/>
              <w:contextualSpacing/>
              <w:rPr>
                <w:lang w:val="ro-RO"/>
              </w:rPr>
            </w:pPr>
            <w:r>
              <w:rPr>
                <w:lang w:val="ro-RO"/>
              </w:rPr>
              <w:t>Investitori locali</w:t>
            </w:r>
          </w:p>
          <w:p>
            <w:pPr>
              <w:pStyle w:val="Normal"/>
              <w:spacing w:lineRule="auto" w:line="240" w:before="0" w:after="0"/>
              <w:rPr>
                <w:lang w:val="ro-RO"/>
              </w:rPr>
            </w:pPr>
            <w:r>
              <w:rPr>
                <w:lang w:val="ro-RO"/>
              </w:rPr>
            </w:r>
          </w:p>
        </w:tc>
        <w:tc>
          <w:tcPr>
            <w:tcW w:w="4674" w:type="dxa"/>
            <w:tcBorders>
              <w:top w:val="nil"/>
              <w:left w:val="nil"/>
              <w:bottom w:val="nil"/>
              <w:right w:val="nil"/>
              <w:insideH w:val="nil"/>
              <w:insideV w:val="nil"/>
            </w:tcBorders>
            <w:shd w:fill="auto" w:val="clear"/>
          </w:tcPr>
          <w:p>
            <w:pPr>
              <w:pStyle w:val="ListParagraph"/>
              <w:numPr>
                <w:ilvl w:val="0"/>
                <w:numId w:val="16"/>
              </w:numPr>
              <w:spacing w:lineRule="auto" w:line="240" w:before="0" w:after="0"/>
              <w:contextualSpacing/>
              <w:rPr>
                <w:lang w:val="ro-RO"/>
              </w:rPr>
            </w:pPr>
            <w:r>
              <w:rPr>
                <w:lang w:val="ro-RO"/>
              </w:rPr>
              <w:t>Investitori străini din Europa</w:t>
            </w:r>
          </w:p>
        </w:tc>
      </w:tr>
      <w:tr>
        <w:trPr/>
        <w:tc>
          <w:tcPr>
            <w:tcW w:w="4675" w:type="dxa"/>
            <w:tcBorders>
              <w:top w:val="nil"/>
              <w:left w:val="nil"/>
              <w:bottom w:val="nil"/>
              <w:right w:val="nil"/>
              <w:insideH w:val="nil"/>
              <w:insideV w:val="nil"/>
            </w:tcBorders>
            <w:shd w:fill="auto" w:val="clear"/>
          </w:tcPr>
          <w:p>
            <w:pPr>
              <w:pStyle w:val="Normal"/>
              <w:spacing w:lineRule="auto" w:line="240" w:before="0" w:after="0"/>
              <w:rPr>
                <w:lang w:val="ro-RO"/>
              </w:rPr>
            </w:pPr>
            <w:r>
              <w:rPr/>
              <w:drawing>
                <wp:inline distT="0" distB="0" distL="0" distR="0">
                  <wp:extent cx="2418080" cy="2112645"/>
                  <wp:effectExtent l="0" t="0" r="0" b="0"/>
                  <wp:docPr id="3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74" w:type="dxa"/>
            <w:tcBorders>
              <w:top w:val="nil"/>
              <w:left w:val="nil"/>
              <w:bottom w:val="nil"/>
              <w:right w:val="nil"/>
              <w:insideH w:val="nil"/>
              <w:insideV w:val="nil"/>
            </w:tcBorders>
            <w:shd w:fill="auto" w:val="clear"/>
          </w:tcPr>
          <w:p>
            <w:pPr>
              <w:pStyle w:val="Normal"/>
              <w:spacing w:lineRule="auto" w:line="240" w:before="0" w:after="0"/>
              <w:rPr>
                <w:lang w:val="ro-RO"/>
              </w:rPr>
            </w:pPr>
            <w:r>
              <w:rPr/>
              <w:drawing>
                <wp:inline distT="0" distB="0" distL="0" distR="0">
                  <wp:extent cx="2538730" cy="2078355"/>
                  <wp:effectExtent l="0" t="0" r="0" b="0"/>
                  <wp:docPr id="3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trPr/>
        <w:tc>
          <w:tcPr>
            <w:tcW w:w="9349" w:type="dxa"/>
            <w:gridSpan w:val="2"/>
            <w:tcBorders>
              <w:top w:val="nil"/>
              <w:left w:val="nil"/>
              <w:bottom w:val="nil"/>
              <w:right w:val="nil"/>
              <w:insideH w:val="nil"/>
              <w:insideV w:val="nil"/>
            </w:tcBorders>
            <w:shd w:fill="auto" w:val="clear"/>
          </w:tcPr>
          <w:p>
            <w:pPr>
              <w:pStyle w:val="ListParagraph"/>
              <w:numPr>
                <w:ilvl w:val="0"/>
                <w:numId w:val="16"/>
              </w:numPr>
              <w:spacing w:lineRule="auto" w:line="240" w:before="0" w:after="0"/>
              <w:contextualSpacing/>
              <w:jc w:val="center"/>
              <w:rPr>
                <w:lang w:val="ro-RO"/>
              </w:rPr>
            </w:pPr>
            <w:r>
              <w:rPr>
                <w:lang w:val="ro-RO"/>
              </w:rPr>
              <w:t>Investitori străini, din afara Europei</w:t>
            </w:r>
          </w:p>
        </w:tc>
      </w:tr>
      <w:tr>
        <w:trPr/>
        <w:tc>
          <w:tcPr>
            <w:tcW w:w="9349" w:type="dxa"/>
            <w:gridSpan w:val="2"/>
            <w:tcBorders>
              <w:top w:val="nil"/>
              <w:left w:val="nil"/>
              <w:bottom w:val="nil"/>
              <w:right w:val="nil"/>
              <w:insideH w:val="nil"/>
              <w:insideV w:val="nil"/>
            </w:tcBorders>
            <w:shd w:fill="auto" w:val="clear"/>
          </w:tcPr>
          <w:p>
            <w:pPr>
              <w:pStyle w:val="Normal"/>
              <w:spacing w:lineRule="auto" w:line="240" w:before="0" w:after="0"/>
              <w:jc w:val="center"/>
              <w:rPr>
                <w:lang w:val="ro-RO"/>
              </w:rPr>
            </w:pPr>
            <w:r>
              <w:rPr/>
              <w:drawing>
                <wp:inline distT="0" distB="0" distL="0" distR="0">
                  <wp:extent cx="2383155" cy="2548890"/>
                  <wp:effectExtent l="0" t="0" r="0" b="0"/>
                  <wp:docPr id="3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pPr>
        <w:pStyle w:val="Normal"/>
        <w:spacing w:before="60" w:after="0"/>
        <w:jc w:val="center"/>
        <w:rPr>
          <w:rFonts w:ascii="Arial" w:hAnsi="Arial" w:cs="Arial"/>
          <w:sz w:val="18"/>
          <w:lang w:val="ro-RO"/>
        </w:rPr>
      </w:pPr>
      <w:r>
        <w:rPr>
          <w:rFonts w:ascii="Arial" w:hAnsi="Arial"/>
          <w:i/>
          <w:sz w:val="18"/>
          <w:lang w:val="ro-RO"/>
        </w:rPr>
        <w:t>Notă:</w:t>
      </w:r>
      <w:r>
        <w:rPr>
          <w:rFonts w:ascii="Arial" w:hAnsi="Arial"/>
          <w:sz w:val="18"/>
          <w:lang w:val="ro-RO"/>
        </w:rPr>
        <w:t xml:space="preserve"> Au fost incluse în analiză doar fondurile atrase pentru care a fost specificată originea investitorilor.</w:t>
      </w:r>
    </w:p>
    <w:p>
      <w:pPr>
        <w:pStyle w:val="Normal"/>
        <w:jc w:val="center"/>
        <w:rPr>
          <w:rFonts w:ascii="Arial" w:hAnsi="Arial" w:cs="Arial"/>
          <w:sz w:val="18"/>
          <w:lang w:val="ro-RO"/>
        </w:rPr>
      </w:pPr>
      <w:r>
        <w:rPr>
          <w:rFonts w:ascii="Arial" w:hAnsi="Arial"/>
          <w:i/>
          <w:sz w:val="18"/>
          <w:lang w:val="ro-RO"/>
        </w:rPr>
        <w:t>Sursa:</w:t>
      </w:r>
      <w:r>
        <w:rPr>
          <w:rFonts w:ascii="Arial" w:hAnsi="Arial"/>
          <w:sz w:val="18"/>
          <w:lang w:val="ro-RO"/>
        </w:rPr>
        <w:t xml:space="preserve"> OECD</w:t>
      </w:r>
    </w:p>
    <w:p>
      <w:pPr>
        <w:pStyle w:val="Normal"/>
        <w:rPr>
          <w:lang w:val="ro-RO"/>
        </w:rPr>
      </w:pPr>
      <w:r>
        <w:rPr>
          <w:lang w:val="ro-RO"/>
        </w:rPr>
      </w:r>
    </w:p>
    <w:p>
      <w:pPr>
        <w:pStyle w:val="Normal"/>
        <w:jc w:val="both"/>
        <w:rPr>
          <w:lang w:val="ro-RO"/>
        </w:rPr>
      </w:pPr>
      <w:r>
        <w:rPr>
          <w:lang w:val="ro-RO"/>
        </w:rPr>
        <w:t>În perioada 2007-2021, fondurile de pensii au fost cei mai mari investitori, oferind 23% din totalul finanțărilor în Europa. Pentru regiunea ECE, totuși, fondurile de pensii au furnizat doar 8% din totalul fondurilor strânse, în timp ce agențiile guvernamentale și fondurile suverane au fost cea mai mare sursă de finanțare, contribuind cu 28% din totalul finanțărilor. Situația este și mai accentuată în România, unde agențiile guvernamentale reprezintă 62% din totalul finanțărilor între 2007 și 2021, fiind rezultatul activității sporite de private equity de către agențiile guvernamentale din Europa de Est, inclusiv România, pentru a compensa ieșirile de investiții ca urmare a crizei financiare globale din 2008 și a crizei euro din 2012</w:t>
      </w:r>
      <w:r>
        <w:rPr>
          <w:rStyle w:val="FootnoteCharacters"/>
          <w:rStyle w:val="FootnoteAnchor"/>
          <w:lang w:val="ro-RO"/>
        </w:rPr>
        <w:footnoteReference w:id="7"/>
      </w:r>
      <w:r>
        <w:rPr>
          <w:lang w:val="ro-RO"/>
        </w:rPr>
        <w:t>. În plus, în România investitorii individuali și instituțiile de credit au furnizat 17%, respectiv 4% din finanțări. Fondurile de fonduri nu au fost active pe piața de private equity din România, spre deosebire de Europa unde acestea au un rol semnificativ.</w:t>
      </w:r>
    </w:p>
    <w:p>
      <w:pPr>
        <w:pStyle w:val="Caption1"/>
        <w:spacing w:lineRule="auto" w:line="259" w:before="120" w:after="0"/>
        <w:rPr/>
      </w:pPr>
      <w:r>
        <w:rPr/>
      </w:r>
      <w:bookmarkStart w:id="812" w:name="_Toc98958288"/>
      <w:bookmarkStart w:id="813" w:name="_Toc77602941"/>
      <w:bookmarkStart w:id="814" w:name="_Toc77602444"/>
      <w:bookmarkStart w:id="815" w:name="_Toc77588458"/>
      <w:bookmarkStart w:id="816" w:name="_Toc68882434"/>
      <w:bookmarkStart w:id="817" w:name="_Toc68880493"/>
      <w:bookmarkStart w:id="818" w:name="_Toc68880034"/>
      <w:bookmarkStart w:id="819" w:name="_Toc68710851"/>
      <w:bookmarkStart w:id="820" w:name="_Toc68710769"/>
      <w:bookmarkStart w:id="821" w:name="_Toc68698452"/>
      <w:bookmarkStart w:id="822" w:name="_Toc68634655"/>
      <w:bookmarkStart w:id="823" w:name="_Toc68633843"/>
      <w:bookmarkStart w:id="824" w:name="_Toc68628389"/>
      <w:bookmarkStart w:id="825" w:name="_Toc68627735"/>
      <w:bookmarkStart w:id="826" w:name="_Toc62763502"/>
      <w:bookmarkStart w:id="827" w:name="_Toc62763398"/>
      <w:bookmarkStart w:id="828" w:name="_Toc62763190"/>
      <w:bookmarkStart w:id="829" w:name="_Toc62762150"/>
      <w:bookmarkStart w:id="830" w:name="_Toc62741882"/>
      <w:bookmarkStart w:id="831" w:name="_Toc62724056"/>
      <w:bookmarkStart w:id="832" w:name="_Toc62721848"/>
      <w:bookmarkStart w:id="833" w:name="_Toc62665409"/>
      <w:bookmarkStart w:id="834" w:name="_Toc62660905"/>
      <w:bookmarkStart w:id="835" w:name="_Toc62650415"/>
      <w:bookmarkStart w:id="836" w:name="_Toc62648671"/>
      <w:bookmarkStart w:id="837" w:name="_Toc62641617"/>
      <w:bookmarkStart w:id="838" w:name="_Toc62641444"/>
      <w:bookmarkStart w:id="839" w:name="_Toc62584930"/>
      <w:bookmarkStart w:id="840" w:name="_Toc62578917"/>
      <w:bookmarkStart w:id="841" w:name="_Toc62575205"/>
      <w:bookmarkStart w:id="842" w:name="_Toc62228163"/>
      <w:bookmarkStart w:id="843" w:name="_Toc62227747"/>
      <w:bookmarkStart w:id="844" w:name="_Toc62227892"/>
      <w:bookmarkStart w:id="845" w:name="_Toc62217515"/>
      <w:bookmarkStart w:id="846" w:name="_Toc62216507"/>
      <w:bookmarkStart w:id="847" w:name="_Toc62147480"/>
      <w:bookmarkStart w:id="848" w:name="_Toc62145941"/>
      <w:bookmarkStart w:id="849" w:name="_Toc62145733"/>
      <w:bookmarkStart w:id="850" w:name="_Toc62135074"/>
      <w:bookmarkStart w:id="851" w:name="_Toc62072388"/>
      <w:bookmarkStart w:id="852" w:name="_Toc62069854"/>
      <w:bookmarkStart w:id="853" w:name="_Toc62057065"/>
      <w:bookmarkStart w:id="854" w:name="_Toc62030118"/>
      <w:bookmarkStart w:id="855" w:name="_Toc61977247"/>
      <w:bookmarkStart w:id="856" w:name="_Toc61977145"/>
      <w:bookmarkStart w:id="857" w:name="_Toc61897982"/>
      <w:bookmarkStart w:id="858" w:name="_Toc61893310"/>
      <w:bookmarkStart w:id="859" w:name="_Toc61889738"/>
      <w:bookmarkStart w:id="860" w:name="_Toc61885420"/>
      <w:bookmarkStart w:id="861" w:name="_Toc61884784"/>
      <w:bookmarkStart w:id="862" w:name="_Toc61871341"/>
      <w:bookmarkStart w:id="863" w:name="_Toc61864449"/>
      <w:bookmarkStart w:id="864" w:name="_Toc61860399"/>
      <w:bookmarkStart w:id="865" w:name="_Toc98958288"/>
      <w:bookmarkStart w:id="866" w:name="_Toc77602941"/>
      <w:bookmarkStart w:id="867" w:name="_Toc77602444"/>
      <w:bookmarkStart w:id="868" w:name="_Toc77588458"/>
      <w:bookmarkStart w:id="869" w:name="_Toc68882434"/>
      <w:bookmarkStart w:id="870" w:name="_Toc68880493"/>
      <w:bookmarkStart w:id="871" w:name="_Toc68880034"/>
      <w:bookmarkStart w:id="872" w:name="_Toc68710851"/>
      <w:bookmarkStart w:id="873" w:name="_Toc68710769"/>
      <w:bookmarkStart w:id="874" w:name="_Toc68698452"/>
      <w:bookmarkStart w:id="875" w:name="_Toc68634655"/>
      <w:bookmarkStart w:id="876" w:name="_Toc68633843"/>
      <w:bookmarkStart w:id="877" w:name="_Toc68628389"/>
      <w:bookmarkStart w:id="878" w:name="_Toc68627735"/>
      <w:bookmarkStart w:id="879" w:name="_Toc62763502"/>
      <w:bookmarkStart w:id="880" w:name="_Toc62763398"/>
      <w:bookmarkStart w:id="881" w:name="_Toc62763190"/>
      <w:bookmarkStart w:id="882" w:name="_Toc62762150"/>
      <w:bookmarkStart w:id="883" w:name="_Toc62741882"/>
      <w:bookmarkStart w:id="884" w:name="_Toc62724056"/>
      <w:bookmarkStart w:id="885" w:name="_Toc62721848"/>
      <w:bookmarkStart w:id="886" w:name="_Toc62665409"/>
      <w:bookmarkStart w:id="887" w:name="_Toc62660905"/>
      <w:bookmarkStart w:id="888" w:name="_Toc62650415"/>
      <w:bookmarkStart w:id="889" w:name="_Toc62648671"/>
      <w:bookmarkStart w:id="890" w:name="_Toc62641617"/>
      <w:bookmarkStart w:id="891" w:name="_Toc62641444"/>
      <w:bookmarkStart w:id="892" w:name="_Toc62584930"/>
      <w:bookmarkStart w:id="893" w:name="_Toc62578917"/>
      <w:bookmarkStart w:id="894" w:name="_Toc62575205"/>
      <w:bookmarkStart w:id="895" w:name="_Toc62228163"/>
      <w:bookmarkStart w:id="896" w:name="_Toc62227747"/>
      <w:bookmarkStart w:id="897" w:name="_Toc62227892"/>
      <w:bookmarkStart w:id="898" w:name="_Toc62217515"/>
      <w:bookmarkStart w:id="899" w:name="_Toc62216507"/>
      <w:bookmarkStart w:id="900" w:name="_Toc62147480"/>
      <w:bookmarkStart w:id="901" w:name="_Toc62145941"/>
      <w:bookmarkStart w:id="902" w:name="_Toc62145733"/>
      <w:bookmarkStart w:id="903" w:name="_Toc62135074"/>
      <w:bookmarkStart w:id="904" w:name="_Toc62072388"/>
      <w:bookmarkStart w:id="905" w:name="_Toc62069854"/>
      <w:bookmarkStart w:id="906" w:name="_Toc62057065"/>
      <w:bookmarkStart w:id="907" w:name="_Toc62030118"/>
      <w:bookmarkStart w:id="908" w:name="_Toc61977247"/>
      <w:bookmarkStart w:id="909" w:name="_Toc61977145"/>
      <w:bookmarkStart w:id="910" w:name="_Toc61897982"/>
      <w:bookmarkStart w:id="911" w:name="_Toc61893310"/>
      <w:bookmarkStart w:id="912" w:name="_Toc61889738"/>
      <w:bookmarkStart w:id="913" w:name="_Toc61885420"/>
      <w:bookmarkStart w:id="914" w:name="_Toc61884784"/>
      <w:bookmarkStart w:id="915" w:name="_Toc61871341"/>
      <w:bookmarkStart w:id="916" w:name="_Toc61864449"/>
      <w:bookmarkStart w:id="917" w:name="_Toc61860399"/>
    </w:p>
    <w:p>
      <w:pPr>
        <w:pStyle w:val="Caption1"/>
        <w:spacing w:lineRule="auto" w:line="259" w:before="120" w:after="0"/>
        <w:rPr/>
      </w:pPr>
      <w:bookmarkStart w:id="918" w:name="_Toc114571531"/>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22</w:t>
      </w:r>
      <w:r>
        <w:rPr>
          <w:iCs w:val="false"/>
          <w:rFonts w:cs="Calibri"/>
        </w:rPr>
        <w:fldChar w:fldCharType="end"/>
      </w:r>
      <w:r>
        <w:rPr/>
        <w:t xml:space="preserve"> </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rPr/>
        <w:t>Finanțări de private equity pe tipuri de investitori în România și în alte state comparabile (2007 – 2021)</w:t>
      </w:r>
      <w:bookmarkEnd w:id="918"/>
    </w:p>
    <w:p>
      <w:pPr>
        <w:pStyle w:val="Normal"/>
        <w:rPr>
          <w:lang w:val="ro-RO"/>
        </w:rPr>
      </w:pPr>
      <w:r>
        <w:rPr>
          <w:lang w:val="ro-RO"/>
        </w:rPr>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4675"/>
        <w:gridCol w:w="4674"/>
      </w:tblGrid>
      <w:tr>
        <w:trPr/>
        <w:tc>
          <w:tcPr>
            <w:tcW w:w="4675" w:type="dxa"/>
            <w:tcBorders>
              <w:top w:val="nil"/>
              <w:left w:val="nil"/>
              <w:bottom w:val="nil"/>
              <w:right w:val="nil"/>
              <w:insideH w:val="nil"/>
              <w:insideV w:val="nil"/>
            </w:tcBorders>
            <w:shd w:fill="auto" w:val="clear"/>
          </w:tcPr>
          <w:p>
            <w:pPr>
              <w:pStyle w:val="ListParagraph"/>
              <w:numPr>
                <w:ilvl w:val="0"/>
                <w:numId w:val="17"/>
              </w:numPr>
              <w:spacing w:lineRule="auto" w:line="240" w:before="0" w:after="0"/>
              <w:contextualSpacing/>
              <w:rPr>
                <w:lang w:val="ro-RO"/>
              </w:rPr>
            </w:pPr>
            <w:r>
              <w:rPr>
                <w:lang w:val="ro-RO"/>
              </w:rPr>
              <w:t>Fonduri de pensii</w:t>
            </w:r>
          </w:p>
          <w:p>
            <w:pPr>
              <w:pStyle w:val="Normal"/>
              <w:spacing w:lineRule="auto" w:line="240" w:before="0" w:after="0"/>
              <w:rPr>
                <w:lang w:val="ro-RO"/>
              </w:rPr>
            </w:pPr>
            <w:r>
              <w:rPr>
                <w:lang w:val="ro-RO"/>
              </w:rPr>
            </w:r>
          </w:p>
        </w:tc>
        <w:tc>
          <w:tcPr>
            <w:tcW w:w="4674" w:type="dxa"/>
            <w:tcBorders>
              <w:top w:val="nil"/>
              <w:left w:val="nil"/>
              <w:bottom w:val="nil"/>
              <w:right w:val="nil"/>
              <w:insideH w:val="nil"/>
              <w:insideV w:val="nil"/>
            </w:tcBorders>
            <w:shd w:fill="auto" w:val="clear"/>
          </w:tcPr>
          <w:p>
            <w:pPr>
              <w:pStyle w:val="ListParagraph"/>
              <w:numPr>
                <w:ilvl w:val="0"/>
                <w:numId w:val="17"/>
              </w:numPr>
              <w:spacing w:lineRule="auto" w:line="240" w:before="0" w:after="0"/>
              <w:contextualSpacing/>
              <w:rPr>
                <w:lang w:val="ro-RO"/>
              </w:rPr>
            </w:pPr>
            <w:r>
              <w:rPr>
                <w:lang w:val="ro-RO"/>
              </w:rPr>
              <w:t>Sectorul public și fonduri suverane</w:t>
            </w:r>
          </w:p>
        </w:tc>
      </w:tr>
      <w:tr>
        <w:trPr/>
        <w:tc>
          <w:tcPr>
            <w:tcW w:w="4675" w:type="dxa"/>
            <w:tcBorders>
              <w:top w:val="nil"/>
              <w:left w:val="nil"/>
              <w:bottom w:val="nil"/>
              <w:right w:val="nil"/>
              <w:insideH w:val="nil"/>
              <w:insideV w:val="nil"/>
            </w:tcBorders>
            <w:shd w:fill="auto" w:val="clear"/>
          </w:tcPr>
          <w:p>
            <w:pPr>
              <w:pStyle w:val="Normal"/>
              <w:spacing w:lineRule="auto" w:line="240" w:before="0" w:after="0"/>
              <w:rPr>
                <w:lang w:val="ro-RO"/>
              </w:rPr>
            </w:pPr>
            <w:r>
              <w:rPr/>
              <w:drawing>
                <wp:inline distT="0" distB="0" distL="0" distR="0">
                  <wp:extent cx="2665730" cy="4258945"/>
                  <wp:effectExtent l="0" t="0" r="0" b="0"/>
                  <wp:docPr id="3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674" w:type="dxa"/>
            <w:tcBorders>
              <w:top w:val="nil"/>
              <w:left w:val="nil"/>
              <w:bottom w:val="nil"/>
              <w:right w:val="nil"/>
              <w:insideH w:val="nil"/>
              <w:insideV w:val="nil"/>
            </w:tcBorders>
            <w:shd w:fill="auto" w:val="clear"/>
          </w:tcPr>
          <w:p>
            <w:pPr>
              <w:pStyle w:val="Normal"/>
              <w:spacing w:lineRule="auto" w:line="240" w:before="0" w:after="0"/>
              <w:rPr>
                <w:lang w:val="ro-RO"/>
              </w:rPr>
            </w:pPr>
            <w:r>
              <w:rPr/>
              <w:drawing>
                <wp:inline distT="0" distB="0" distL="0" distR="0">
                  <wp:extent cx="2534920" cy="4275455"/>
                  <wp:effectExtent l="0" t="0" r="0" b="0"/>
                  <wp:docPr id="3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trPr/>
        <w:tc>
          <w:tcPr>
            <w:tcW w:w="9349" w:type="dxa"/>
            <w:gridSpan w:val="2"/>
            <w:tcBorders>
              <w:top w:val="nil"/>
              <w:left w:val="nil"/>
              <w:bottom w:val="nil"/>
              <w:right w:val="nil"/>
              <w:insideH w:val="nil"/>
              <w:insideV w:val="nil"/>
            </w:tcBorders>
            <w:shd w:fill="auto" w:val="clear"/>
          </w:tcPr>
          <w:p>
            <w:pPr>
              <w:pStyle w:val="ListParagraph"/>
              <w:spacing w:lineRule="auto" w:line="240" w:before="0" w:after="0"/>
              <w:contextualSpacing/>
              <w:rPr>
                <w:lang w:val="ro-RO"/>
              </w:rPr>
            </w:pPr>
            <w:r>
              <w:rPr>
                <w:lang w:val="ro-RO"/>
              </w:rPr>
            </w:r>
          </w:p>
          <w:p>
            <w:pPr>
              <w:pStyle w:val="ListParagraph"/>
              <w:spacing w:lineRule="auto" w:line="240" w:before="0" w:after="0"/>
              <w:contextualSpacing/>
              <w:rPr>
                <w:lang w:val="ro-RO"/>
              </w:rPr>
            </w:pPr>
            <w:r>
              <w:rPr>
                <w:lang w:val="ro-RO"/>
              </w:rPr>
            </w:r>
          </w:p>
          <w:p>
            <w:pPr>
              <w:pStyle w:val="ListParagraph"/>
              <w:spacing w:lineRule="auto" w:line="240" w:before="0" w:after="0"/>
              <w:contextualSpacing/>
              <w:rPr>
                <w:lang w:val="ro-RO"/>
              </w:rPr>
            </w:pPr>
            <w:r>
              <w:rPr>
                <w:lang w:val="ro-RO"/>
              </w:rPr>
            </w:r>
          </w:p>
          <w:p>
            <w:pPr>
              <w:pStyle w:val="ListParagraph"/>
              <w:spacing w:lineRule="auto" w:line="240" w:before="0" w:after="0"/>
              <w:contextualSpacing/>
              <w:rPr>
                <w:lang w:val="ro-RO"/>
              </w:rPr>
            </w:pPr>
            <w:r>
              <w:rPr>
                <w:lang w:val="ro-RO"/>
              </w:rPr>
            </w:r>
          </w:p>
          <w:p>
            <w:pPr>
              <w:pStyle w:val="ListParagraph"/>
              <w:spacing w:lineRule="auto" w:line="240" w:before="0" w:after="0"/>
              <w:contextualSpacing/>
              <w:rPr>
                <w:lang w:val="ro-RO"/>
              </w:rPr>
            </w:pPr>
            <w:r>
              <w:rPr>
                <w:lang w:val="ro-RO"/>
              </w:rPr>
            </w:r>
          </w:p>
          <w:p>
            <w:pPr>
              <w:pStyle w:val="ListParagraph"/>
              <w:spacing w:lineRule="auto" w:line="240" w:before="0" w:after="0"/>
              <w:contextualSpacing/>
              <w:rPr>
                <w:lang w:val="ro-RO"/>
              </w:rPr>
            </w:pPr>
            <w:r>
              <w:rPr>
                <w:lang w:val="ro-RO"/>
              </w:rPr>
            </w:r>
          </w:p>
          <w:p>
            <w:pPr>
              <w:pStyle w:val="ListParagraph"/>
              <w:spacing w:lineRule="auto" w:line="240" w:before="0" w:after="0"/>
              <w:contextualSpacing/>
              <w:rPr>
                <w:lang w:val="ro-RO"/>
              </w:rPr>
            </w:pPr>
            <w:r>
              <w:rPr>
                <w:lang w:val="ro-RO"/>
              </w:rPr>
            </w:r>
          </w:p>
          <w:p>
            <w:pPr>
              <w:pStyle w:val="ListParagraph"/>
              <w:numPr>
                <w:ilvl w:val="0"/>
                <w:numId w:val="17"/>
              </w:numPr>
              <w:spacing w:lineRule="auto" w:line="240" w:before="0" w:after="0"/>
              <w:contextualSpacing/>
              <w:jc w:val="center"/>
              <w:rPr>
                <w:lang w:val="ro-RO"/>
              </w:rPr>
            </w:pPr>
            <w:r>
              <w:rPr>
                <w:lang w:val="ro-RO"/>
              </w:rPr>
              <w:t>Fonduri de fonduri</w:t>
            </w:r>
          </w:p>
        </w:tc>
      </w:tr>
      <w:tr>
        <w:trPr/>
        <w:tc>
          <w:tcPr>
            <w:tcW w:w="9349" w:type="dxa"/>
            <w:gridSpan w:val="2"/>
            <w:tcBorders>
              <w:top w:val="nil"/>
              <w:left w:val="nil"/>
              <w:bottom w:val="nil"/>
              <w:right w:val="nil"/>
              <w:insideH w:val="nil"/>
              <w:insideV w:val="nil"/>
            </w:tcBorders>
            <w:shd w:fill="auto" w:val="clear"/>
          </w:tcPr>
          <w:p>
            <w:pPr>
              <w:pStyle w:val="Normal"/>
              <w:spacing w:lineRule="auto" w:line="240" w:before="0" w:after="0"/>
              <w:jc w:val="center"/>
              <w:rPr>
                <w:lang w:val="ro-RO"/>
              </w:rPr>
            </w:pPr>
            <w:r>
              <w:rPr/>
              <w:drawing>
                <wp:inline distT="0" distB="0" distL="0" distR="0">
                  <wp:extent cx="2378710" cy="3082290"/>
                  <wp:effectExtent l="0" t="0" r="0" b="0"/>
                  <wp:docPr id="3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pPr>
        <w:pStyle w:val="Normal"/>
        <w:jc w:val="center"/>
        <w:rPr>
          <w:rFonts w:ascii="Arial" w:hAnsi="Arial"/>
          <w:sz w:val="18"/>
          <w:lang w:val="ro-RO"/>
        </w:rPr>
      </w:pPr>
      <w:r>
        <w:rPr>
          <w:rFonts w:ascii="Arial" w:hAnsi="Arial"/>
          <w:i/>
          <w:sz w:val="18"/>
          <w:lang w:val="ro-RO"/>
        </w:rPr>
        <w:t>Notă</w:t>
      </w:r>
      <w:r>
        <w:rPr>
          <w:rFonts w:ascii="Arial" w:hAnsi="Arial"/>
          <w:sz w:val="18"/>
          <w:lang w:val="ro-RO"/>
        </w:rPr>
        <w:t>: regiunea ECE include fonduri atrase în valoare de 8 miliarde EUR, pentru care nu sunt specificate informații referitoare la țara destinatară a sumelor.</w:t>
      </w:r>
    </w:p>
    <w:p>
      <w:pPr>
        <w:pStyle w:val="Normal"/>
        <w:jc w:val="center"/>
        <w:rPr>
          <w:i/>
          <w:i/>
          <w:lang w:val="ro-RO"/>
        </w:rPr>
      </w:pPr>
      <w:r>
        <w:rPr>
          <w:rFonts w:ascii="Arial" w:hAnsi="Arial"/>
          <w:i/>
          <w:sz w:val="18"/>
          <w:lang w:val="ro-RO"/>
        </w:rPr>
        <w:t>Sursa: OECD</w:t>
      </w:r>
    </w:p>
    <w:p>
      <w:pPr>
        <w:pStyle w:val="Normal"/>
        <w:rPr>
          <w:lang w:val="ro-RO"/>
        </w:rPr>
      </w:pPr>
      <w:r>
        <w:rPr>
          <w:lang w:val="ro-RO"/>
        </w:rPr>
      </w:r>
    </w:p>
    <w:p>
      <w:pPr>
        <w:pStyle w:val="Normal"/>
        <w:jc w:val="both"/>
        <w:rPr>
          <w:lang w:val="ro-RO"/>
        </w:rPr>
      </w:pPr>
      <w:r>
        <w:rPr>
          <w:lang w:val="ro-RO"/>
        </w:rPr>
        <w:t xml:space="preserve">Investițiile de creștere au reprezentat 38% din totalul investițiilor în private equity din România în perioada 2007 – 2021, acest tip de investiție având cea mai mare pondere, comparativ cu alte țări din regiune. De asemenea, capitalul de risc (venture capital) a avut o pondere de 6% în toata perioada, un nivel modest comparativ cu 26% în Ungaria, respectiv 21% în Austria. </w:t>
      </w:r>
    </w:p>
    <w:p>
      <w:pPr>
        <w:pStyle w:val="Normal"/>
        <w:jc w:val="both"/>
        <w:rPr>
          <w:lang w:val="ro-RO"/>
        </w:rPr>
      </w:pPr>
      <w:r>
        <w:rPr>
          <w:lang w:val="ro-RO"/>
        </w:rPr>
        <w:t>Printre diferitele motive pentru nivelul scăzut al activității de private equity în România se numără  intensitatea totală a activității de cercetare și dezvoltare (R&amp;D) măsurată ca și cheltuieli brute de cercetare și dezvoltare în PIB, care s-a dovedit a fi strâns legată de etapele incipiente ale activității de venture capital în România</w:t>
      </w:r>
      <w:r>
        <w:rPr>
          <w:rStyle w:val="FootnoteCharacters"/>
          <w:rStyle w:val="FootnoteAnchor"/>
          <w:lang w:val="ro-RO"/>
        </w:rPr>
        <w:footnoteReference w:id="8"/>
      </w:r>
      <w:r>
        <w:rPr>
          <w:lang w:val="ro-RO"/>
        </w:rPr>
        <w:t>. Societățile realizează o cerere de venture capital pentru proiectele lor inovatoare, creând astfel activitate pe piața de venture capital. Cu toate acestea, față de majoritatea țărilor din Europa, România prezintă de departe cel mai scăzut nivel de cercetare și dezvoltare măsurat ca pondere din PIB, ceea ce ar putea explica parțial nivelul scăzut al activității de venture capital din țară.</w:t>
      </w:r>
    </w:p>
    <w:p>
      <w:pPr>
        <w:pStyle w:val="Normal"/>
        <w:jc w:val="both"/>
        <w:rPr>
          <w:lang w:val="ro-RO"/>
        </w:rPr>
      </w:pPr>
      <w:r>
        <w:rPr>
          <w:lang w:val="ro-RO"/>
        </w:rPr>
      </w:r>
    </w:p>
    <w:p>
      <w:pPr>
        <w:pStyle w:val="Caption1"/>
        <w:keepNext w:val="true"/>
        <w:spacing w:lineRule="auto" w:line="259" w:before="200" w:after="60"/>
        <w:rPr/>
      </w:pPr>
      <w:bookmarkStart w:id="919" w:name="_Toc98958289"/>
      <w:bookmarkStart w:id="920" w:name="_Toc77602942"/>
      <w:bookmarkStart w:id="921" w:name="_Toc77602445"/>
      <w:bookmarkStart w:id="922" w:name="_Toc77588459"/>
      <w:bookmarkStart w:id="923" w:name="_Toc68882435"/>
      <w:bookmarkStart w:id="924" w:name="_Toc68880494"/>
      <w:bookmarkStart w:id="925" w:name="_Toc68880035"/>
      <w:bookmarkStart w:id="926" w:name="_Toc68710852"/>
      <w:bookmarkStart w:id="927" w:name="_Toc68710770"/>
      <w:bookmarkStart w:id="928" w:name="_Toc68698453"/>
      <w:bookmarkStart w:id="929" w:name="_Toc68634656"/>
      <w:bookmarkStart w:id="930" w:name="_Toc68633844"/>
      <w:bookmarkStart w:id="931" w:name="_Toc68628390"/>
      <w:bookmarkStart w:id="932" w:name="_Toc68627736"/>
      <w:bookmarkStart w:id="933" w:name="_Toc62763503"/>
      <w:bookmarkStart w:id="934" w:name="_Toc62763399"/>
      <w:bookmarkStart w:id="935" w:name="_Toc62763191"/>
      <w:bookmarkStart w:id="936" w:name="_Toc62762151"/>
      <w:bookmarkStart w:id="937" w:name="_Toc62741883"/>
      <w:bookmarkStart w:id="938" w:name="_Toc62724057"/>
      <w:bookmarkStart w:id="939" w:name="_Toc62721849"/>
      <w:bookmarkStart w:id="940" w:name="_Toc62665410"/>
      <w:bookmarkStart w:id="941" w:name="_Toc62660906"/>
      <w:bookmarkStart w:id="942" w:name="_Toc62650416"/>
      <w:bookmarkStart w:id="943" w:name="_Toc62648672"/>
      <w:bookmarkStart w:id="944" w:name="_Toc62641618"/>
      <w:bookmarkStart w:id="945" w:name="_Toc62641445"/>
      <w:bookmarkStart w:id="946" w:name="_Toc62584931"/>
      <w:bookmarkStart w:id="947" w:name="_Toc62578918"/>
      <w:bookmarkStart w:id="948" w:name="_Toc62575206"/>
      <w:bookmarkStart w:id="949" w:name="_Toc62228164"/>
      <w:bookmarkStart w:id="950" w:name="_Toc62227748"/>
      <w:bookmarkStart w:id="951" w:name="_Toc62227893"/>
      <w:bookmarkStart w:id="952" w:name="_Toc62217516"/>
      <w:bookmarkStart w:id="953" w:name="_Toc62216508"/>
      <w:bookmarkStart w:id="954" w:name="_Toc62147481"/>
      <w:bookmarkStart w:id="955" w:name="_Toc62145942"/>
      <w:bookmarkStart w:id="956" w:name="_Toc62145734"/>
      <w:bookmarkStart w:id="957" w:name="_Toc62135075"/>
      <w:bookmarkStart w:id="958" w:name="_Toc62072389"/>
      <w:bookmarkStart w:id="959" w:name="_Toc62069855"/>
      <w:bookmarkStart w:id="960" w:name="_Toc62057066"/>
      <w:bookmarkStart w:id="961" w:name="_Toc62030119"/>
      <w:bookmarkStart w:id="962" w:name="_Toc61977248"/>
      <w:bookmarkStart w:id="963" w:name="_Toc61977146"/>
      <w:bookmarkStart w:id="964" w:name="_Toc61897983"/>
      <w:bookmarkStart w:id="965" w:name="_Toc61893311"/>
      <w:bookmarkStart w:id="966" w:name="_Toc61889739"/>
      <w:bookmarkStart w:id="967" w:name="_Toc61885421"/>
      <w:bookmarkStart w:id="968" w:name="_Toc61884785"/>
      <w:bookmarkStart w:id="969" w:name="_Toc61871342"/>
      <w:bookmarkStart w:id="970" w:name="_Toc61864450"/>
      <w:bookmarkStart w:id="971" w:name="_Toc61860400"/>
      <w:bookmarkStart w:id="972" w:name="_Toc114571532"/>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23</w:t>
      </w:r>
      <w:r>
        <w:rPr>
          <w:iCs w:val="false"/>
          <w:rFonts w:cs="Calibri"/>
        </w:rPr>
        <w:fldChar w:fldCharType="end"/>
      </w:r>
      <w:r>
        <w:rPr/>
        <w:t xml:space="preserve"> Tipuri de investiții private equity în România și în alte țări europene</w:t>
      </w:r>
      <w:bookmarkEnd w:id="972"/>
      <w:r>
        <w:rPr/>
        <w:t xml:space="preserve"> </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pPr>
        <w:pStyle w:val="Normal"/>
        <w:rPr>
          <w:lang w:val="ro-RO"/>
        </w:rPr>
      </w:pPr>
      <w:r>
        <w:rPr>
          <w:lang w:val="ro-RO"/>
        </w:rPr>
      </w:r>
    </w:p>
    <w:p>
      <w:pPr>
        <w:pStyle w:val="ListParagraph"/>
        <w:numPr>
          <w:ilvl w:val="0"/>
          <w:numId w:val="18"/>
        </w:numPr>
        <w:rPr>
          <w:lang w:val="ro-RO"/>
        </w:rPr>
      </w:pPr>
      <w:r>
        <w:rPr>
          <w:lang w:val="ro-RO"/>
        </w:rPr>
        <w:t>Tipuri de investiții private equity în regiune (2007 – 2021)</w:t>
      </w:r>
    </w:p>
    <w:p>
      <w:pPr>
        <w:pStyle w:val="Normal"/>
        <w:rPr>
          <w:lang w:val="ro-RO"/>
        </w:rPr>
      </w:pPr>
      <w:r>
        <w:rPr/>
        <w:drawing>
          <wp:inline distT="0" distB="0" distL="0" distR="0">
            <wp:extent cx="5613400" cy="2336800"/>
            <wp:effectExtent l="0" t="0" r="0" b="0"/>
            <wp:docPr id="4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Normal"/>
        <w:jc w:val="center"/>
        <w:rPr>
          <w:i/>
          <w:i/>
          <w:sz w:val="20"/>
          <w:lang w:val="ro-RO"/>
        </w:rPr>
      </w:pPr>
      <w:r>
        <w:rPr>
          <w:i/>
          <w:sz w:val="20"/>
          <w:lang w:val="ro-RO"/>
        </w:rPr>
        <w:t>Sursa: OECD</w:t>
      </w:r>
    </w:p>
    <w:p>
      <w:pPr>
        <w:pStyle w:val="ListParagraph"/>
        <w:numPr>
          <w:ilvl w:val="0"/>
          <w:numId w:val="19"/>
        </w:numPr>
        <w:rPr>
          <w:lang w:val="ro-RO"/>
        </w:rPr>
      </w:pPr>
      <w:r>
        <w:rPr>
          <w:lang w:val="ro-RO"/>
        </w:rPr>
        <w:t>Tipuri de investiții private equity în România (2007 – 2021)</w:t>
      </w:r>
    </w:p>
    <w:p>
      <w:pPr>
        <w:pStyle w:val="Normal"/>
        <w:jc w:val="center"/>
        <w:rPr>
          <w:i/>
          <w:i/>
          <w:sz w:val="20"/>
          <w:lang w:val="ro-RO"/>
        </w:rPr>
      </w:pPr>
      <w:r>
        <w:rPr/>
        <w:drawing>
          <wp:inline distT="0" distB="0" distL="0" distR="0">
            <wp:extent cx="5278120" cy="2574290"/>
            <wp:effectExtent l="0" t="0" r="0" b="0"/>
            <wp:docPr id="4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Normal"/>
        <w:jc w:val="center"/>
        <w:rPr>
          <w:i/>
          <w:i/>
          <w:sz w:val="20"/>
          <w:lang w:val="ro-RO"/>
        </w:rPr>
      </w:pPr>
      <w:r>
        <w:rPr>
          <w:i/>
          <w:sz w:val="20"/>
          <w:lang w:val="ro-RO"/>
        </w:rPr>
        <w:t>Sursa: OECD</w:t>
      </w:r>
    </w:p>
    <w:p>
      <w:pPr>
        <w:pStyle w:val="Heading2"/>
        <w:spacing w:before="0" w:after="120"/>
        <w:rPr>
          <w:b/>
          <w:b/>
          <w:lang w:val="ro-RO"/>
        </w:rPr>
      </w:pPr>
      <w:r>
        <w:rPr>
          <w:b/>
          <w:lang w:val="ro-RO"/>
        </w:rPr>
      </w:r>
    </w:p>
    <w:p>
      <w:pPr>
        <w:pStyle w:val="Normal"/>
        <w:jc w:val="both"/>
        <w:rPr>
          <w:i/>
          <w:i/>
          <w:lang w:val="ro-RO"/>
        </w:rPr>
      </w:pPr>
      <w:r>
        <w:rPr>
          <w:lang w:val="ro-RO"/>
        </w:rPr>
        <w:t xml:space="preserve">În perioada 2007-2021, cele mai multe investiții în private equity în Europa și în regiunea ECE au fost concentrate în trei industrii: </w:t>
      </w:r>
      <w:r>
        <w:rPr>
          <w:i/>
          <w:lang w:val="ro-RO"/>
        </w:rPr>
        <w:t>Tehnologie, inclusiv biotehnologie, sănătate și IT</w:t>
      </w:r>
      <w:r>
        <w:rPr>
          <w:lang w:val="ro-RO"/>
        </w:rPr>
        <w:t xml:space="preserve">;  </w:t>
      </w:r>
      <w:r>
        <w:rPr>
          <w:i/>
          <w:lang w:val="ro-RO"/>
        </w:rPr>
        <w:t>Bunuri și servicii de consum</w:t>
      </w:r>
      <w:r>
        <w:rPr>
          <w:lang w:val="ro-RO"/>
        </w:rPr>
        <w:t xml:space="preserve"> și </w:t>
      </w:r>
      <w:r>
        <w:rPr>
          <w:i/>
          <w:lang w:val="ro-RO"/>
        </w:rPr>
        <w:t xml:space="preserve">Produse și servicii în afaceri. </w:t>
      </w:r>
    </w:p>
    <w:p>
      <w:pPr>
        <w:pStyle w:val="Normal"/>
        <w:jc w:val="both"/>
        <w:rPr>
          <w:lang w:val="ro-RO"/>
        </w:rPr>
      </w:pPr>
      <w:r>
        <w:rPr>
          <w:lang w:val="ro-RO"/>
        </w:rPr>
        <w:t>Aceste trei industrii au reprezentat mai mult de 78% din totalul investițiilor în private equity în Europa, precum și în regiunea ECE, Europa în general fiind mai concentrată pe industria produselor și serviciilor pentru afaceri în comparație cu regiunea ECE. În România, cea mai mare industrie este Tehnologia, care a atras 44% din totalul investițiilor în private equity în perioada 2007-2021.</w:t>
      </w:r>
    </w:p>
    <w:p>
      <w:pPr>
        <w:pStyle w:val="Caption1"/>
        <w:keepNext w:val="true"/>
        <w:spacing w:lineRule="auto" w:line="259" w:before="200" w:after="0"/>
        <w:rPr/>
      </w:pPr>
      <w:bookmarkStart w:id="973" w:name="_Toc98958290"/>
      <w:bookmarkStart w:id="974" w:name="_Toc77602943"/>
      <w:bookmarkStart w:id="975" w:name="_Toc77602446"/>
      <w:bookmarkStart w:id="976" w:name="_Toc77588460"/>
      <w:bookmarkStart w:id="977" w:name="_Toc114571533"/>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24</w:t>
      </w:r>
      <w:r>
        <w:rPr>
          <w:iCs w:val="false"/>
          <w:rFonts w:cs="Calibri"/>
        </w:rPr>
        <w:fldChar w:fldCharType="end"/>
      </w:r>
      <w:r>
        <w:rPr/>
        <w:t xml:space="preserve"> Investiții în private equity pe industrii în România și în alte state din regiune (2007 – 2021)</w:t>
      </w:r>
      <w:bookmarkEnd w:id="977"/>
      <w:r>
        <w:rPr/>
        <w:t xml:space="preserve"> </w:t>
      </w:r>
      <w:bookmarkEnd w:id="973"/>
      <w:bookmarkEnd w:id="974"/>
      <w:bookmarkEnd w:id="975"/>
      <w:bookmarkEnd w:id="976"/>
    </w:p>
    <w:p>
      <w:pPr>
        <w:pStyle w:val="Normal"/>
        <w:spacing w:before="0" w:after="0"/>
        <w:jc w:val="center"/>
        <w:rPr>
          <w:lang w:val="ro-RO"/>
        </w:rPr>
      </w:pPr>
      <w:r>
        <w:rPr>
          <w:lang w:val="ro-RO"/>
        </w:rPr>
      </w:r>
    </w:p>
    <w:p>
      <w:pPr>
        <w:pStyle w:val="Normal"/>
        <w:spacing w:before="0" w:after="0"/>
        <w:jc w:val="center"/>
        <w:rPr>
          <w:lang w:val="ro-RO"/>
        </w:rPr>
      </w:pPr>
      <w:r>
        <w:rPr/>
        <w:drawing>
          <wp:inline distT="0" distB="0" distL="0" distR="0">
            <wp:extent cx="5943600" cy="3068320"/>
            <wp:effectExtent l="0" t="0" r="0" b="0"/>
            <wp:docPr id="4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Normal"/>
        <w:spacing w:before="0" w:after="0"/>
        <w:jc w:val="center"/>
        <w:rPr>
          <w:i/>
          <w:i/>
          <w:sz w:val="20"/>
          <w:lang w:val="ro-RO"/>
        </w:rPr>
      </w:pPr>
      <w:r>
        <w:rPr>
          <w:i/>
          <w:sz w:val="20"/>
          <w:lang w:val="ro-RO"/>
        </w:rPr>
        <w:t>Sursa: OECD</w:t>
      </w:r>
      <w:bookmarkStart w:id="978" w:name="_Hlk100583905"/>
      <w:bookmarkEnd w:id="978"/>
    </w:p>
    <w:p>
      <w:pPr>
        <w:pStyle w:val="Normal"/>
        <w:jc w:val="both"/>
        <w:rPr>
          <w:lang w:val="ro-RO"/>
        </w:rPr>
      </w:pPr>
      <w:r>
        <w:rPr>
          <w:lang w:val="ro-RO"/>
        </w:rPr>
      </w:r>
    </w:p>
    <w:p>
      <w:pPr>
        <w:pStyle w:val="Normal"/>
        <w:jc w:val="both"/>
        <w:rPr>
          <w:lang w:val="ro-RO"/>
        </w:rPr>
      </w:pPr>
      <w:r>
        <w:rPr>
          <w:lang w:val="ro-RO"/>
        </w:rPr>
        <w:t>Etapa finală a investițiilor de capital privat este dezinvestirea, moment în care fondurile de private equity își lichidează investițiile la sfârșitul ciclului de viață al fondului. Există mai multe forme de dezinvestire, inclusiv vânzarea prin oferte publice, vânzarea către alte firme de private equity sau către instituții financiare, răscumpărarea de către manageri sau acționari, rambursarea acțiunilor preferențiale/împrumuturi și anulări de datorii.</w:t>
      </w:r>
    </w:p>
    <w:p>
      <w:pPr>
        <w:pStyle w:val="Normal"/>
        <w:jc w:val="both"/>
        <w:rPr>
          <w:lang w:val="ro-RO"/>
        </w:rPr>
      </w:pPr>
      <w:r>
        <w:rPr>
          <w:lang w:val="ro-RO"/>
        </w:rPr>
        <w:t>Activitatea de dezinvestire în regiunea ECE a crescut puternic în 2020 și 2021, comparativ cu nivelul redus din 2019. În 2020 și 2021, dezinvestițiile totale în regiunea ECE s-au ridicat la 1,77 respectiv 1,46 miliarde EUR. Creșterea din anul 2020 a fost contrară tendințelor de scădere a dezinvestițiilor, observate în Europa (unde în perioada 2019 – 2020 dezinvestițiile au scăzut cu 27%). Cu toate acestea, în 2021, activitatea de dezinvestire a revenit pe un trend crescător în Europa, respectiv 55%, comparativ cu 2020. Dezinvestirile din regiunea ECE au reprezentat 4,4% din totalul european în anul 2021, periodă în care nivelul acestora în România s-a situat la 126 milioane de euro, după ce valoarea dezinvestițiilor a fost foarte scăzută în 2020. Aceste cifre au poziționat România pe locul 4 în regiune, după Serbia, Polonia și Republica Cehă.</w:t>
      </w:r>
    </w:p>
    <w:p>
      <w:pPr>
        <w:pStyle w:val="Normal"/>
        <w:jc w:val="both"/>
        <w:rPr>
          <w:lang w:val="ro-RO"/>
        </w:rPr>
      </w:pPr>
      <w:r>
        <w:rPr>
          <w:lang w:val="ro-RO"/>
        </w:rPr>
      </w:r>
    </w:p>
    <w:p>
      <w:pPr>
        <w:pStyle w:val="Normal"/>
        <w:jc w:val="both"/>
        <w:rPr>
          <w:lang w:val="ro-RO"/>
        </w:rPr>
      </w:pPr>
      <w:r>
        <w:rPr>
          <w:lang w:val="ro-RO"/>
        </w:rPr>
      </w:r>
    </w:p>
    <w:p>
      <w:pPr>
        <w:pStyle w:val="Normal"/>
        <w:jc w:val="both"/>
        <w:rPr>
          <w:lang w:val="ro-RO"/>
        </w:rPr>
      </w:pPr>
      <w:r>
        <w:rPr>
          <w:lang w:val="ro-RO"/>
        </w:rPr>
      </w:r>
    </w:p>
    <w:p>
      <w:pPr>
        <w:pStyle w:val="Normal"/>
        <w:jc w:val="both"/>
        <w:rPr>
          <w:lang w:val="ro-RO"/>
        </w:rPr>
      </w:pPr>
      <w:r>
        <w:rPr>
          <w:lang w:val="ro-RO"/>
        </w:rPr>
      </w:r>
    </w:p>
    <w:p>
      <w:pPr>
        <w:pStyle w:val="Caption1"/>
        <w:keepNext w:val="true"/>
        <w:spacing w:lineRule="auto" w:line="259" w:before="120" w:after="60"/>
        <w:rPr/>
      </w:pPr>
      <w:bookmarkStart w:id="979" w:name="_Toc98958291"/>
      <w:bookmarkStart w:id="980" w:name="_Toc77602944"/>
      <w:bookmarkStart w:id="981" w:name="_Toc77602447"/>
      <w:bookmarkStart w:id="982" w:name="_Toc77588461"/>
      <w:bookmarkStart w:id="983" w:name="_Toc68882437"/>
      <w:bookmarkStart w:id="984" w:name="_Toc68880496"/>
      <w:bookmarkStart w:id="985" w:name="_Toc68880037"/>
      <w:bookmarkStart w:id="986" w:name="_Toc68710854"/>
      <w:bookmarkStart w:id="987" w:name="_Toc68710772"/>
      <w:bookmarkStart w:id="988" w:name="_Toc68698455"/>
      <w:bookmarkStart w:id="989" w:name="_Toc68634658"/>
      <w:bookmarkStart w:id="990" w:name="_Toc68633846"/>
      <w:bookmarkStart w:id="991" w:name="_Toc68628392"/>
      <w:bookmarkStart w:id="992" w:name="_Toc68627738"/>
      <w:bookmarkStart w:id="993" w:name="_Toc62763505"/>
      <w:bookmarkStart w:id="994" w:name="_Toc62763401"/>
      <w:bookmarkStart w:id="995" w:name="_Toc62763193"/>
      <w:bookmarkStart w:id="996" w:name="_Toc62762153"/>
      <w:bookmarkStart w:id="997" w:name="_Toc62741885"/>
      <w:bookmarkStart w:id="998" w:name="_Toc62724059"/>
      <w:bookmarkStart w:id="999" w:name="_Toc62721851"/>
      <w:bookmarkStart w:id="1000" w:name="_Toc62665412"/>
      <w:bookmarkStart w:id="1001" w:name="_Toc62660908"/>
      <w:bookmarkStart w:id="1002" w:name="_Toc62650418"/>
      <w:bookmarkStart w:id="1003" w:name="_Toc62648674"/>
      <w:bookmarkStart w:id="1004" w:name="_Toc62641620"/>
      <w:bookmarkStart w:id="1005" w:name="_Toc62641447"/>
      <w:bookmarkStart w:id="1006" w:name="_Toc62584933"/>
      <w:bookmarkStart w:id="1007" w:name="_Toc62578920"/>
      <w:bookmarkStart w:id="1008" w:name="_Toc62575208"/>
      <w:bookmarkStart w:id="1009" w:name="_Toc62228166"/>
      <w:bookmarkStart w:id="1010" w:name="_Toc62227750"/>
      <w:bookmarkStart w:id="1011" w:name="_Toc62227895"/>
      <w:bookmarkStart w:id="1012" w:name="_Toc62217518"/>
      <w:bookmarkStart w:id="1013" w:name="_Toc62216510"/>
      <w:bookmarkStart w:id="1014" w:name="_Toc62147483"/>
      <w:bookmarkStart w:id="1015" w:name="_Toc62145944"/>
      <w:bookmarkStart w:id="1016" w:name="_Toc62145736"/>
      <w:bookmarkStart w:id="1017" w:name="_Toc62135077"/>
      <w:bookmarkStart w:id="1018" w:name="_Toc62072391"/>
      <w:bookmarkStart w:id="1019" w:name="_Toc62069857"/>
      <w:bookmarkStart w:id="1020" w:name="_Toc62057068"/>
      <w:bookmarkStart w:id="1021" w:name="_Toc62030121"/>
      <w:bookmarkStart w:id="1022" w:name="_Toc61977250"/>
      <w:bookmarkStart w:id="1023" w:name="_Toc61977148"/>
      <w:bookmarkStart w:id="1024" w:name="_Toc61897985"/>
      <w:bookmarkStart w:id="1025" w:name="_Toc61893313"/>
      <w:bookmarkStart w:id="1026" w:name="_Toc61889741"/>
      <w:bookmarkStart w:id="1027" w:name="_Toc61885423"/>
      <w:bookmarkStart w:id="1028" w:name="_Toc61884787"/>
      <w:bookmarkStart w:id="1029" w:name="_Toc61871344"/>
      <w:bookmarkStart w:id="1030" w:name="_Toc61864452"/>
      <w:bookmarkStart w:id="1031" w:name="_Toc61860402"/>
      <w:bookmarkStart w:id="1032" w:name="_Toc114571534"/>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25</w:t>
      </w:r>
      <w:r>
        <w:rPr>
          <w:iCs w:val="false"/>
          <w:rFonts w:cs="Calibri"/>
        </w:rPr>
        <w:fldChar w:fldCharType="end"/>
      </w:r>
      <w:r>
        <w:rPr/>
        <w:t xml:space="preserve"> Volumele de dezinvestiții în private equity în regiunea ECE și în România</w:t>
      </w:r>
      <w:bookmarkEnd w:id="1032"/>
      <w:r>
        <w:rPr/>
        <w:t xml:space="preserve"> </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pStyle w:val="ListParagraph"/>
        <w:numPr>
          <w:ilvl w:val="0"/>
          <w:numId w:val="20"/>
        </w:numPr>
        <w:rPr>
          <w:lang w:val="ro-RO"/>
        </w:rPr>
      </w:pPr>
      <w:r>
        <w:rPr>
          <w:lang w:val="ro-RO"/>
        </w:rPr>
        <w:t>Regiunea ECE</w:t>
      </w:r>
    </w:p>
    <w:p>
      <w:pPr>
        <w:pStyle w:val="Normal"/>
        <w:rPr>
          <w:lang w:val="ro-RO"/>
        </w:rPr>
      </w:pPr>
      <w:r>
        <w:rPr/>
        <w:drawing>
          <wp:inline distT="0" distB="0" distL="0" distR="0">
            <wp:extent cx="5552440" cy="2159000"/>
            <wp:effectExtent l="0" t="0" r="0" b="0"/>
            <wp:docPr id="4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ListParagraph"/>
        <w:ind w:left="0" w:hanging="0"/>
        <w:jc w:val="center"/>
        <w:rPr>
          <w:lang w:val="ro-RO"/>
        </w:rPr>
      </w:pPr>
      <w:r>
        <w:rPr>
          <w:i/>
          <w:sz w:val="20"/>
          <w:lang w:val="ro-RO"/>
        </w:rPr>
        <w:t>Sursa: OECD</w:t>
      </w:r>
    </w:p>
    <w:p>
      <w:pPr>
        <w:pStyle w:val="ListParagraph"/>
        <w:numPr>
          <w:ilvl w:val="0"/>
          <w:numId w:val="20"/>
        </w:numPr>
        <w:rPr>
          <w:lang w:val="ro-RO"/>
        </w:rPr>
      </w:pPr>
      <w:r>
        <w:rPr>
          <w:lang w:val="ro-RO"/>
        </w:rPr>
        <w:t>România</w:t>
      </w:r>
    </w:p>
    <w:p>
      <w:pPr>
        <w:pStyle w:val="Normal"/>
        <w:rPr>
          <w:lang w:val="ro-RO"/>
        </w:rPr>
      </w:pPr>
      <w:r>
        <w:rPr/>
        <w:drawing>
          <wp:inline distT="0" distB="0" distL="0" distR="0">
            <wp:extent cx="5588000" cy="2038350"/>
            <wp:effectExtent l="0" t="0" r="0" b="0"/>
            <wp:docPr id="4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ListParagraph"/>
        <w:ind w:left="0" w:hanging="0"/>
        <w:jc w:val="center"/>
        <w:rPr>
          <w:i/>
          <w:i/>
          <w:sz w:val="20"/>
          <w:lang w:val="ro-RO"/>
        </w:rPr>
      </w:pPr>
      <w:r>
        <w:rPr>
          <w:i/>
          <w:sz w:val="20"/>
          <w:lang w:val="ro-RO"/>
        </w:rPr>
        <w:t>Sursa: OECD</w:t>
      </w:r>
      <w:bookmarkStart w:id="1033" w:name="_Hlk100583944"/>
      <w:bookmarkEnd w:id="1033"/>
    </w:p>
    <w:p>
      <w:pPr>
        <w:pStyle w:val="Normal"/>
        <w:jc w:val="both"/>
        <w:rPr>
          <w:lang w:val="ro-RO"/>
        </w:rPr>
      </w:pPr>
      <w:r>
        <w:rPr>
          <w:lang w:val="ro-RO"/>
        </w:rPr>
        <w:t xml:space="preserve">Dintre diferitele forme de dezinvestire, vânzarea către o altă firmă de private equity și către trade buyers sunt cele mai comune forme, reprezentând 57% și 59% din valoarea totală a dezinvestirii pentru Europa și, respectiv, regiunea ECE. În România, aceste două forme de dezinvestire reprezintă 70% din totalul dezinvestițiilor. În special, dezinvestirea prin vânzare către o altă firmă de private equity reprezintă mai mult de 38% din valoarea totală, în timp ce dezinvestirea printr-o ofertă publică reprezintă 14%, 13% și 11% din valoarea totală de ieșire pentru Europa, regiunea ECE, respectiv România. Procentul pentru România a crescut foarte mult în contextul realizării multor dezinvestiții prin oferte publice în anul 2021, care au reprezentat 70% din totalul activității de dezinvestire. </w:t>
      </w:r>
    </w:p>
    <w:p>
      <w:pPr>
        <w:pStyle w:val="Normal"/>
        <w:jc w:val="both"/>
        <w:rPr>
          <w:lang w:val="ro-RO"/>
        </w:rPr>
      </w:pPr>
      <w:r>
        <w:rPr>
          <w:lang w:val="ro-RO"/>
        </w:rPr>
      </w:r>
    </w:p>
    <w:p>
      <w:pPr>
        <w:pStyle w:val="Normal"/>
        <w:jc w:val="both"/>
        <w:rPr>
          <w:lang w:val="ro-RO"/>
        </w:rPr>
      </w:pPr>
      <w:r>
        <w:rPr>
          <w:lang w:val="ro-RO"/>
        </w:rPr>
      </w:r>
    </w:p>
    <w:p>
      <w:pPr>
        <w:pStyle w:val="Normal"/>
        <w:jc w:val="both"/>
        <w:rPr>
          <w:lang w:val="ro-RO"/>
        </w:rPr>
      </w:pPr>
      <w:r>
        <w:rPr>
          <w:lang w:val="ro-RO"/>
        </w:rPr>
      </w:r>
    </w:p>
    <w:p>
      <w:pPr>
        <w:pStyle w:val="Normal"/>
        <w:jc w:val="both"/>
        <w:rPr>
          <w:lang w:val="ro-RO"/>
        </w:rPr>
      </w:pPr>
      <w:r>
        <w:rPr>
          <w:lang w:val="ro-RO"/>
        </w:rPr>
      </w:r>
    </w:p>
    <w:p>
      <w:pPr>
        <w:pStyle w:val="Caption1"/>
        <w:keepNext w:val="true"/>
        <w:spacing w:lineRule="auto" w:line="259" w:before="120" w:after="0"/>
        <w:rPr/>
      </w:pPr>
      <w:bookmarkStart w:id="1034" w:name="_Toc98958292"/>
      <w:bookmarkStart w:id="1035" w:name="_Toc77602945"/>
      <w:bookmarkStart w:id="1036" w:name="_Toc77602448"/>
      <w:bookmarkStart w:id="1037" w:name="_Toc77588462"/>
      <w:bookmarkStart w:id="1038" w:name="_Toc68882438"/>
      <w:bookmarkStart w:id="1039" w:name="_Toc68880497"/>
      <w:bookmarkStart w:id="1040" w:name="_Toc68880038"/>
      <w:bookmarkStart w:id="1041" w:name="_Toc68710855"/>
      <w:bookmarkStart w:id="1042" w:name="_Toc68710773"/>
      <w:bookmarkStart w:id="1043" w:name="_Toc68698456"/>
      <w:bookmarkStart w:id="1044" w:name="_Toc62724060"/>
      <w:bookmarkStart w:id="1045" w:name="_Toc62721852"/>
      <w:bookmarkStart w:id="1046" w:name="_Toc62665413"/>
      <w:bookmarkStart w:id="1047" w:name="_Toc62660909"/>
      <w:bookmarkStart w:id="1048" w:name="_Toc62650419"/>
      <w:bookmarkStart w:id="1049" w:name="_Toc62648675"/>
      <w:bookmarkStart w:id="1050" w:name="_Toc62641621"/>
      <w:bookmarkStart w:id="1051" w:name="_Toc62641448"/>
      <w:bookmarkStart w:id="1052" w:name="_Toc62584934"/>
      <w:bookmarkStart w:id="1053" w:name="_Toc62578921"/>
      <w:bookmarkStart w:id="1054" w:name="_Toc62575209"/>
      <w:bookmarkStart w:id="1055" w:name="_Toc62228167"/>
      <w:bookmarkStart w:id="1056" w:name="_Toc62227751"/>
      <w:bookmarkStart w:id="1057" w:name="_Toc62227896"/>
      <w:bookmarkStart w:id="1058" w:name="_Toc62217519"/>
      <w:bookmarkStart w:id="1059" w:name="_Toc62216511"/>
      <w:bookmarkStart w:id="1060" w:name="_Toc62147484"/>
      <w:bookmarkStart w:id="1061" w:name="_Toc62145945"/>
      <w:bookmarkStart w:id="1062" w:name="_Toc62145737"/>
      <w:bookmarkStart w:id="1063" w:name="_Toc62135078"/>
      <w:bookmarkStart w:id="1064" w:name="_Toc62072392"/>
      <w:bookmarkStart w:id="1065" w:name="_Toc62069858"/>
      <w:bookmarkStart w:id="1066" w:name="_Toc62057069"/>
      <w:bookmarkStart w:id="1067" w:name="_Toc62030122"/>
      <w:bookmarkStart w:id="1068" w:name="_Toc61977251"/>
      <w:bookmarkStart w:id="1069" w:name="_Toc61977149"/>
      <w:bookmarkStart w:id="1070" w:name="_Toc61897986"/>
      <w:bookmarkStart w:id="1071" w:name="_Toc61893314"/>
      <w:bookmarkStart w:id="1072" w:name="_Toc61889742"/>
      <w:bookmarkStart w:id="1073" w:name="_Toc61885424"/>
      <w:bookmarkStart w:id="1074" w:name="_Toc61884788"/>
      <w:bookmarkStart w:id="1075" w:name="_Toc61871345"/>
      <w:bookmarkStart w:id="1076" w:name="_Toc61864453"/>
      <w:bookmarkStart w:id="1077" w:name="_Toc61860403"/>
      <w:bookmarkStart w:id="1078" w:name="_Toc68634659"/>
      <w:bookmarkStart w:id="1079" w:name="_Toc68633847"/>
      <w:bookmarkStart w:id="1080" w:name="_Toc68628393"/>
      <w:bookmarkStart w:id="1081" w:name="_Toc68627739"/>
      <w:bookmarkStart w:id="1082" w:name="_Toc62763506"/>
      <w:bookmarkStart w:id="1083" w:name="_Toc62763402"/>
      <w:bookmarkStart w:id="1084" w:name="_Toc62763194"/>
      <w:bookmarkStart w:id="1085" w:name="_Toc62762154"/>
      <w:bookmarkStart w:id="1086" w:name="_Toc62741886"/>
      <w:bookmarkStart w:id="1087" w:name="_Toc114571535"/>
      <w:r>
        <w:rPr>
          <w:rFonts w:cs="Calibri" w:cstheme="minorHAnsi"/>
          <w:iCs w:val="false"/>
        </w:rPr>
        <w:t xml:space="preserve">Figura </w:t>
      </w:r>
      <w:r>
        <w:rPr>
          <w:rFonts w:cs="Calibri" w:cstheme="minorHAnsi"/>
          <w:iCs w:val="false"/>
        </w:rPr>
        <w:fldChar w:fldCharType="begin"/>
      </w:r>
      <w:r>
        <w:rPr>
          <w:iCs w:val="false"/>
          <w:rFonts w:cs="Calibri"/>
        </w:rPr>
        <w:instrText> SEQ Figura \* ARABIC </w:instrText>
      </w:r>
      <w:r>
        <w:rPr>
          <w:iCs w:val="false"/>
          <w:rFonts w:cs="Calibri"/>
        </w:rPr>
        <w:fldChar w:fldCharType="separate"/>
      </w:r>
      <w:r>
        <w:rPr>
          <w:iCs w:val="false"/>
          <w:rFonts w:cs="Calibri"/>
        </w:rPr>
        <w:t>26</w:t>
      </w:r>
      <w:r>
        <w:rPr>
          <w:iCs w:val="false"/>
          <w:rFonts w:cs="Calibri"/>
        </w:rPr>
        <w:fldChar w:fldCharType="end"/>
      </w:r>
      <w:r>
        <w:rPr/>
        <w:t xml:space="preserve"> Dezinvestiții private equity în funcție de tipul de ieșire în România și alte țări din regiune (2007 – 2021)</w:t>
      </w:r>
      <w:bookmarkEnd w:id="1087"/>
      <w:r>
        <w:rPr/>
        <w:t xml:space="preserve"> </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pStyle w:val="Normal"/>
        <w:spacing w:before="0" w:after="0"/>
        <w:jc w:val="center"/>
        <w:rPr/>
      </w:pPr>
      <w:r>
        <w:rPr/>
      </w:r>
      <w:bookmarkStart w:id="1088" w:name="_Hlk100583989"/>
      <w:bookmarkStart w:id="1089" w:name="_Hlk100583989"/>
      <w:bookmarkEnd w:id="1089"/>
    </w:p>
    <w:p>
      <w:pPr>
        <w:pStyle w:val="Normal"/>
        <w:ind w:left="-450" w:hanging="0"/>
        <w:jc w:val="both"/>
        <w:rPr>
          <w:rFonts w:cs="Calibri" w:cstheme="minorHAnsi"/>
          <w:lang w:val="ro-RO"/>
        </w:rPr>
      </w:pPr>
      <w:r>
        <w:rPr/>
        <mc:AlternateContent>
          <mc:Choice Requires="wpg">
            <w:drawing>
              <wp:inline distT="0" distB="0" distL="0" distR="0" wp14:anchorId="15EBC503">
                <wp:extent cx="6744970" cy="3937635"/>
                <wp:effectExtent l="0" t="0" r="0" b="0"/>
                <wp:docPr id="45" name=""/>
                <a:graphic xmlns:a="http://schemas.openxmlformats.org/drawingml/2006/main">
                  <a:graphicData uri="http://schemas.microsoft.com/office/word/2010/wordprocessingGroup">
                    <wpg:wgp>
                      <wpg:cNvGrpSpPr/>
                      <wpg:grpSpPr>
                        <a:xfrm>
                          <a:off x="0" y="0"/>
                          <a:ext cx="6744240" cy="3936960"/>
                        </a:xfrm>
                      </wpg:grpSpPr>
                      <wps:wsp>
                        <wps:cNvSpPr/>
                        <wps:spPr>
                          <a:xfrm>
                            <a:off x="0" y="0"/>
                            <a:ext cx="6744240" cy="3936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wpg:wgp>
                  </a:graphicData>
                </a:graphic>
              </wp:inline>
            </w:drawing>
          </mc:Choice>
          <mc:Fallback>
            <w:pict>
              <v:group id="shape_0" style="position:absolute;margin-left:0pt;margin-top:-310.05pt;width:531.05pt;height:310pt" coordorigin="0,-6201" coordsize="10621,6200">
                <v:rect id="shape_0" ID="Rectangle 485" fillcolor="white" stroked="t" style="position:absolute;left:0;top:-6201;width:10620;height:6199;mso-position-vertical:top">
                  <w10:wrap type="none"/>
                  <v:fill o:detectmouseclick="t" type="solid" color2="black"/>
                  <v:stroke color="white" weight="12600" joinstyle="miter" endcap="flat"/>
                </v:rect>
              </v:group>
            </w:pict>
          </mc:Fallback>
        </mc:AlternateContent>
      </w:r>
    </w:p>
    <w:p>
      <w:pPr>
        <w:pStyle w:val="Normal"/>
        <w:ind w:left="-450" w:hanging="0"/>
        <w:jc w:val="center"/>
        <w:rPr>
          <w:rFonts w:cs="Calibri" w:cstheme="minorHAnsi"/>
          <w:i/>
          <w:i/>
          <w:sz w:val="20"/>
          <w:lang w:val="ro-RO"/>
        </w:rPr>
      </w:pPr>
      <w:r>
        <w:rPr>
          <w:rFonts w:cs="Calibri" w:cstheme="minorHAnsi"/>
          <w:i/>
          <w:sz w:val="20"/>
          <w:lang w:val="ro-RO"/>
        </w:rPr>
        <w:t>Sursa: OECD</w:t>
      </w:r>
    </w:p>
    <w:p>
      <w:pPr>
        <w:pStyle w:val="Normal"/>
        <w:rPr>
          <w:rFonts w:cs="Calibri" w:cstheme="minorHAnsi"/>
          <w:lang w:val="ro-RO"/>
        </w:rPr>
      </w:pPr>
      <w:r>
        <w:rPr>
          <w:rFonts w:cs="Calibri" w:cstheme="minorHAnsi"/>
          <w:lang w:val="ro-RO"/>
        </w:rPr>
      </w:r>
      <w:r>
        <w:br w:type="page"/>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090" w:name="_Toc110535992"/>
      <w:r>
        <w:rPr>
          <w:rFonts w:cs="Calibri" w:ascii="Calibri" w:hAnsi="Calibri" w:asciiTheme="minorHAnsi" w:cstheme="minorHAnsi" w:hAnsiTheme="minorHAnsi"/>
          <w:b/>
          <w:sz w:val="28"/>
          <w:lang w:val="ro-RO"/>
        </w:rPr>
        <w:t>Obiective generale și specifice pentru dezvoltarea pieței de capital</w:t>
      </w:r>
      <w:bookmarkEnd w:id="1090"/>
    </w:p>
    <w:p>
      <w:pPr>
        <w:pStyle w:val="Heading3"/>
        <w:spacing w:before="160" w:after="160"/>
        <w:ind w:left="2250" w:hanging="1530"/>
        <w:jc w:val="both"/>
        <w:rPr>
          <w:rFonts w:ascii="Calibri" w:hAnsi="Calibri" w:cs="Calibri" w:asciiTheme="minorHAnsi" w:cstheme="minorHAnsi" w:hAnsiTheme="minorHAnsi"/>
          <w:lang w:val="ro-RO"/>
        </w:rPr>
      </w:pPr>
      <w:r>
        <w:rPr>
          <w:rFonts w:cs="Calibri" w:cstheme="minorHAnsi" w:ascii="Calibri" w:hAnsi="Calibri"/>
          <w:lang w:val="ro-RO"/>
        </w:rPr>
      </w:r>
    </w:p>
    <w:p>
      <w:pPr>
        <w:pStyle w:val="Heading3"/>
        <w:shd w:val="clear" w:color="auto" w:fill="DEEAF6" w:themeFill="accent1" w:themeFillTint="33"/>
        <w:spacing w:before="160" w:after="160"/>
        <w:jc w:val="both"/>
        <w:rPr>
          <w:rFonts w:ascii="Calibri" w:hAnsi="Calibri" w:cs="Calibri" w:asciiTheme="minorHAnsi" w:cstheme="minorHAnsi" w:hAnsiTheme="minorHAnsi"/>
          <w:b/>
          <w:b/>
          <w:lang w:val="ro-RO"/>
        </w:rPr>
      </w:pPr>
      <w:bookmarkStart w:id="1091" w:name="_Toc110535993"/>
      <w:r>
        <w:rPr>
          <w:rFonts w:cs="Calibri" w:ascii="Calibri" w:hAnsi="Calibri" w:asciiTheme="minorHAnsi" w:cstheme="minorHAnsi" w:hAnsiTheme="minorHAnsi"/>
          <w:b/>
          <w:lang w:val="ro-RO"/>
        </w:rPr>
        <w:t>Obiectiv general I: Îmbunătățirea condițiilor pentru listarea pe piața de capital</w:t>
      </w:r>
      <w:bookmarkEnd w:id="1091"/>
    </w:p>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i/>
          <w:i/>
          <w:lang w:val="ro-RO"/>
        </w:rPr>
      </w:pPr>
      <w:r>
        <w:rPr>
          <w:rFonts w:cs="Calibri" w:cstheme="minorHAnsi"/>
          <w:i/>
          <w:lang w:val="ro-RO"/>
        </w:rPr>
        <w:t>Caracteristicile pieței</w:t>
      </w:r>
    </w:p>
    <w:p>
      <w:pPr>
        <w:pStyle w:val="Normal"/>
        <w:spacing w:before="160" w:after="160"/>
        <w:jc w:val="both"/>
        <w:rPr>
          <w:rFonts w:cs="Calibri" w:cstheme="minorHAnsi"/>
          <w:lang w:val="ro-RO"/>
        </w:rPr>
      </w:pPr>
      <w:r>
        <w:rPr>
          <w:rFonts w:cs="Calibri" w:cstheme="minorHAnsi"/>
          <w:lang w:val="ro-RO"/>
        </w:rPr>
        <w:t xml:space="preserve">Bursa de Valori București a înregistrat in ultimii ani o </w:t>
      </w:r>
      <w:r>
        <w:rPr>
          <w:rFonts w:cs="Calibri" w:cstheme="minorHAnsi"/>
          <w:i/>
          <w:lang w:val="ro-RO"/>
        </w:rPr>
        <w:t>scădere pronunțată a numărului de companii listate, piața de acțiuni din România rămânând redusă și fiind caracterizată printr-o lipsă de dinamism.</w:t>
      </w:r>
      <w:r>
        <w:rPr>
          <w:rFonts w:cs="Calibri" w:cstheme="minorHAnsi"/>
          <w:lang w:val="ro-RO"/>
        </w:rPr>
        <w:t xml:space="preserve"> La sfârșitul anului 2021, capitalizarea bursieră domestică în România reprezenta 28,51 miliarde de euro, în creștere cu 22% față de aceeași perioadă a anului anterior (</w:t>
      </w:r>
      <w:r>
        <w:rPr>
          <w:rFonts w:cs="Calibri" w:cstheme="minorHAnsi"/>
          <w:i/>
          <w:lang w:val="ro-RO"/>
        </w:rPr>
        <w:t>sursa: FESE</w:t>
      </w:r>
      <w:r>
        <w:rPr>
          <w:rFonts w:cs="Calibri" w:cstheme="minorHAnsi"/>
          <w:lang w:val="ro-RO"/>
        </w:rPr>
        <w:t>). Din 2008, 13 companii s-au listat pe Piața Principală a Bursei de Valori București, față de 45 delistări.</w:t>
      </w:r>
    </w:p>
    <w:p>
      <w:pPr>
        <w:pStyle w:val="Normal"/>
        <w:spacing w:before="160" w:after="160"/>
        <w:jc w:val="both"/>
        <w:rPr>
          <w:rFonts w:cs="Calibri" w:cstheme="minorHAnsi"/>
          <w:lang w:val="ro-RO"/>
        </w:rPr>
      </w:pPr>
      <w:r>
        <w:rPr>
          <w:rFonts w:cs="Calibri" w:cstheme="minorHAnsi"/>
          <w:lang w:val="ro-RO"/>
        </w:rPr>
        <w:t xml:space="preserve">Deși în perioada 2010 – 2021 a fost atras mai mult capital prin oferte publice inițiale (IPO) comparativ cu deceniul precedent, în România cifrele rămân scăzute în comparație cu alte state din regiune. Combinația dintre un număr în scădere de companii listate și creșterea lentă a încasărilor totale din IPO a determinat situația în care </w:t>
      </w:r>
      <w:r>
        <w:rPr>
          <w:rFonts w:cs="Calibri" w:cstheme="minorHAnsi"/>
          <w:i/>
          <w:lang w:val="ro-RO"/>
        </w:rPr>
        <w:t>piața de capital din România a fost din ce în ce mai dominată de un număr mic de companii mari</w:t>
      </w:r>
      <w:r>
        <w:rPr>
          <w:rFonts w:cs="Calibri" w:cstheme="minorHAnsi"/>
          <w:lang w:val="ro-RO"/>
        </w:rPr>
        <w:t xml:space="preserve">. </w:t>
      </w:r>
    </w:p>
    <w:p>
      <w:pPr>
        <w:pStyle w:val="Normal"/>
        <w:spacing w:before="160" w:after="160"/>
        <w:jc w:val="both"/>
        <w:rPr>
          <w:rFonts w:cs="Calibri" w:cstheme="minorHAnsi"/>
          <w:lang w:val="ro-RO"/>
        </w:rPr>
      </w:pPr>
      <w:r>
        <w:rPr>
          <w:rFonts w:cs="Calibri" w:cstheme="minorHAnsi"/>
          <w:lang w:val="ro-RO"/>
        </w:rPr>
        <w:t>Piața de capital locală ar putea avea performanțe semnificativ mai bune, fiind în prezent sub potențial, multe dintre firme fiind eligibile pentru listarea la Bursa de Valori București și prezentând rezultate financiare solide, care ar putea îmbunătăți semnificativ profilul pieței de capital. Criteriile minime de listare la BVB sunt: deținere capital propriu sau o capitalizare bursieră anticipată de cel puțin 1 milion euro, un free float de cel puțin 25% și un minim de 3 ani de raportare financiară. Folosind capitalurile proprii, 91% dintre companiile mari necotate din România îndeplinesc criteriile de mărime a capitalului propriu. Pe lângă îndeplinirea criteriilor minime, multe companii mari nelistate le depășesc pe cele listate în prezent, atât în ceea ce privește dimensiunea, cât și profitabilitatea.</w:t>
      </w:r>
    </w:p>
    <w:p>
      <w:pPr>
        <w:pStyle w:val="Normal"/>
        <w:spacing w:before="160" w:after="160"/>
        <w:jc w:val="both"/>
        <w:rPr>
          <w:rFonts w:cs="Calibri" w:cstheme="minorHAnsi"/>
          <w:lang w:val="ro-RO"/>
        </w:rPr>
      </w:pPr>
      <w:r>
        <w:rPr>
          <w:rFonts w:cs="Calibri" w:cstheme="minorHAnsi"/>
          <w:i/>
          <w:lang w:val="ro-RO"/>
        </w:rPr>
        <w:t>Pe lângă problema principală a lichidității scăzute a pieței</w:t>
      </w:r>
      <w:r>
        <w:rPr>
          <w:rFonts w:cs="Calibri" w:cstheme="minorHAnsi"/>
          <w:lang w:val="ro-RO"/>
        </w:rPr>
        <w:t>, există o serie de aspecte relevante referitoare la</w:t>
      </w:r>
      <w:r>
        <w:rPr>
          <w:rFonts w:cs="Calibri" w:cstheme="minorHAnsi"/>
          <w:i/>
          <w:lang w:val="ro-RO"/>
        </w:rPr>
        <w:t xml:space="preserve"> infrastructură și guvernanță, </w:t>
      </w:r>
      <w:r>
        <w:rPr>
          <w:rFonts w:cs="Calibri" w:cstheme="minorHAnsi"/>
          <w:lang w:val="ro-RO"/>
        </w:rPr>
        <w:t xml:space="preserve">care afectează performanța bursieră (în cazul în care comisioanele percepute de bursă pentru listarea acțiunilor sunt excesive sau structura lor este deosebit de complexă, acestea pot constitui o barieră). Cele mai mari costuri asociate unei IPO sunt în general costurile de consultanță și costurile post-listare mari, precum și cerințele sporite de conformitate. </w:t>
      </w:r>
    </w:p>
    <w:p>
      <w:pPr>
        <w:pStyle w:val="Normal"/>
        <w:spacing w:before="160" w:after="160"/>
        <w:jc w:val="both"/>
        <w:rPr>
          <w:rFonts w:cs="Calibri" w:cstheme="minorHAnsi"/>
          <w:lang w:val="ro-RO"/>
        </w:rPr>
      </w:pPr>
      <w:r>
        <w:rPr>
          <w:rFonts w:cs="Calibri" w:cstheme="minorHAnsi"/>
          <w:lang w:val="ro-RO"/>
        </w:rPr>
        <w:t xml:space="preserve">Un alt factor important în calitatea și performanța unei piețe de capital îl reprezintă standardele de </w:t>
      </w:r>
      <w:r>
        <w:rPr>
          <w:rFonts w:cs="Calibri" w:cstheme="minorHAnsi"/>
          <w:i/>
          <w:lang w:val="ro-RO"/>
        </w:rPr>
        <w:t>guvernanță corporativă</w:t>
      </w:r>
      <w:r>
        <w:rPr>
          <w:rFonts w:cs="Calibri" w:cstheme="minorHAnsi"/>
          <w:lang w:val="ro-RO"/>
        </w:rPr>
        <w:t>. Pentru a crește eficiența și a preveni supra reglementarea, reglementarea guvernanței corporative trebuie să fie suficient de flexibilă pentru a putea răspunde nevoilor companiilor, fără a compromite concentrarea asupra menținerii performanței economice și a integrității pieței (</w:t>
      </w:r>
      <w:r>
        <w:rPr>
          <w:rFonts w:cs="Calibri" w:cstheme="minorHAnsi"/>
          <w:i/>
          <w:lang w:val="ro-RO"/>
        </w:rPr>
        <w:t>sursa OECD, 2018</w:t>
      </w:r>
      <w:r>
        <w:rPr>
          <w:rFonts w:cs="Calibri" w:cstheme="minorHAnsi"/>
          <w:lang w:val="ro-RO"/>
        </w:rPr>
        <w:t xml:space="preserve">). Bursa de Valori București a adoptat actualul Cod de Guvernanță Corporativă în 2015 și a lansat recent un </w:t>
      </w:r>
      <w:r>
        <w:rPr>
          <w:rFonts w:cs="Calibri" w:cstheme="minorHAnsi"/>
          <w:i/>
          <w:lang w:val="ro-RO"/>
        </w:rPr>
        <w:t>program educațional</w:t>
      </w:r>
      <w:r>
        <w:rPr>
          <w:rFonts w:cs="Calibri" w:cstheme="minorHAnsi"/>
          <w:lang w:val="ro-RO"/>
        </w:rPr>
        <w:t xml:space="preserve"> pentru a promova o mai bună guvernanță corporativă, împreună cu organizațiile partenere (</w:t>
      </w:r>
      <w:r>
        <w:rPr>
          <w:rFonts w:cs="Calibri" w:cstheme="minorHAnsi"/>
          <w:i/>
          <w:lang w:val="ro-RO"/>
        </w:rPr>
        <w:t>sursa: BVB</w:t>
      </w:r>
      <w:r>
        <w:rPr>
          <w:rFonts w:cs="Calibri" w:cstheme="minorHAnsi"/>
          <w:lang w:val="ro-RO"/>
        </w:rPr>
        <w:t>).</w:t>
      </w:r>
    </w:p>
    <w:p>
      <w:pPr>
        <w:pStyle w:val="Normal"/>
        <w:spacing w:before="160" w:after="160"/>
        <w:jc w:val="both"/>
        <w:rPr>
          <w:rFonts w:cs="Calibri" w:cstheme="minorHAnsi"/>
          <w:lang w:val="ro-RO"/>
        </w:rPr>
      </w:pPr>
      <w:r>
        <w:rPr>
          <w:rFonts w:cs="Calibri" w:cstheme="minorHAnsi"/>
          <w:lang w:val="ro-RO"/>
        </w:rPr>
        <w:t>O serie de companii de stat care sunt deja listate au rata free-float scăzută, iar o măsură complementară emiterii de acțiuni minoritare la întreprinderile de stat necotate, semnificative din punct de vedere financiar ar fi, prin urmare, creșterea acestei rate prin reducerea participațiilor guvernamentale. Creșterea free-float-ului ar contribui la îmbunătățirea activității bursiere și ar sprijini încercarea de a muta companiile de stat listate pe piața alternativă AeRO pe Piața Principală. O altă modalitate de creștere a dimensiunii valorilor investibile în România ar fi promovarea înființării unui număr de societăți de investiții cotate la bursă, care se concentrează activ pe investițiile în companii nelistate, cu avantajul de a stabili o legătură între companiile nelistate și piața publică de acțiuni. Pentru a promova listarea companiilor nelistate, alte piețe au lansat programe/campanii pentru a oferi companiilor informații, sprijin, îndrumare și conexiuni cu potențialii investitori.</w:t>
      </w:r>
    </w:p>
    <w:p>
      <w:pPr>
        <w:pStyle w:val="Normal"/>
        <w:spacing w:before="160" w:after="160"/>
        <w:jc w:val="both"/>
        <w:rPr>
          <w:rFonts w:cs="Calibri" w:cstheme="minorHAnsi"/>
          <w:lang w:val="ro-RO"/>
        </w:rPr>
      </w:pPr>
      <w:r>
        <w:rPr>
          <w:rFonts w:cs="Calibri" w:cstheme="minorHAnsi"/>
          <w:lang w:val="ro-RO"/>
        </w:rPr>
        <w:t xml:space="preserve">Există încă un potențial mare de extindere a pieței de capital prin listarea publică a participațiilor minoritare ale întreprinderilor de stat semnificative din punct de vedere financiar, care ar putea juca un rol important în îmbunătățirea profilului pieței de valori din România, cu dublu beneficiu de a crește semnificativ dimensiunea pieței și de a îmbunătăți performanța financiară. </w:t>
      </w:r>
    </w:p>
    <w:p>
      <w:pPr>
        <w:pStyle w:val="Normal"/>
        <w:spacing w:before="160" w:after="160"/>
        <w:jc w:val="both"/>
        <w:rPr>
          <w:rFonts w:cs="Calibri" w:cstheme="minorHAnsi"/>
          <w:lang w:val="ro-RO"/>
        </w:rPr>
      </w:pPr>
      <w:r>
        <w:rPr>
          <w:rFonts w:cs="Calibri" w:cstheme="minorHAnsi"/>
          <w:lang w:val="ro-RO"/>
        </w:rPr>
        <w:t>Planul Național de Recuperare și Reziliență al României în urma crizei provocate de pandemia COVID-19, aprobat de Consiliul UE în 28 octombrie 2021, include o secțiune care se concentrează în mod special pe schemele de ajutor pentru sectorul privat, care se adresează companiilor care doresc să se listeze public și să își diversifice sursele de finanțare (</w:t>
      </w:r>
      <w:r>
        <w:rPr>
          <w:rFonts w:cs="Calibri" w:cstheme="minorHAnsi"/>
          <w:i/>
          <w:lang w:val="ro-RO"/>
        </w:rPr>
        <w:t>sursa MFE, 2021</w:t>
      </w:r>
      <w:r>
        <w:rPr>
          <w:rFonts w:cs="Calibri" w:cstheme="minorHAnsi"/>
          <w:lang w:val="ro-RO"/>
        </w:rPr>
        <w:t xml:space="preserve">). O piață de capital care funcționează bine, care poate mobiliza fonduri și le poate aloca în mod productiv va fi deosebit de importantă în perioada de redresare după această criză.  </w:t>
      </w:r>
    </w:p>
    <w:p>
      <w:pPr>
        <w:pStyle w:val="Normal"/>
        <w:spacing w:before="160" w:after="160"/>
        <w:jc w:val="both"/>
        <w:rPr>
          <w:rFonts w:cs="Calibri" w:cstheme="minorHAnsi"/>
          <w:lang w:val="ro-RO"/>
        </w:rPr>
      </w:pPr>
      <w:r>
        <w:rPr>
          <w:rFonts w:cs="Calibri" w:cstheme="minorHAnsi"/>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Obiective specifice pentru  îmbunătățirea condițiilor de listare la bursă</w:t>
      </w:r>
      <w:r>
        <w:rPr>
          <w:rFonts w:cs="Calibri" w:cstheme="minorHAnsi"/>
          <w:color w:val="1F3864" w:themeColor="accent5" w:themeShade="80"/>
          <w:lang w:val="ro-RO"/>
        </w:rPr>
        <w:t>:</w:t>
      </w:r>
    </w:p>
    <w:p>
      <w:pPr>
        <w:pStyle w:val="Normal"/>
        <w:numPr>
          <w:ilvl w:val="0"/>
          <w:numId w:val="1"/>
        </w:numPr>
        <w:spacing w:before="160" w:after="160"/>
        <w:ind w:left="360" w:hanging="360"/>
        <w:jc w:val="both"/>
        <w:rPr>
          <w:rFonts w:cs="Calibri" w:cstheme="minorHAnsi"/>
          <w:i/>
          <w:i/>
          <w:lang w:val="ro-RO"/>
        </w:rPr>
      </w:pPr>
      <w:r>
        <w:rPr>
          <w:rFonts w:cs="Calibri" w:cstheme="minorHAnsi"/>
          <w:b/>
          <w:color w:val="2F5496" w:themeColor="accent5" w:themeShade="bf"/>
          <w:lang w:val="ro-RO"/>
        </w:rPr>
        <w:t xml:space="preserve">Obiectiv specific I.1: </w:t>
      </w:r>
      <w:r>
        <w:rPr>
          <w:rFonts w:cs="Calibri"/>
          <w:lang w:val="ro-RO"/>
        </w:rPr>
        <w:t>Revizuirea cadrului de reglementare aplicabil procedurii de atragere de capital, atât pentru ofertele publice inițiale, cât și pentru cele derulate ulterior admiterii la tranzacționare a valorilor mobiliare,  în vederea simplificării procedurilor și a  reducerii perioadei de timp necesar pentru atragerea de capital.</w:t>
      </w:r>
    </w:p>
    <w:p>
      <w:pPr>
        <w:pStyle w:val="ListParagraph"/>
        <w:numPr>
          <w:ilvl w:val="0"/>
          <w:numId w:val="1"/>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I.2: </w:t>
      </w:r>
      <w:r>
        <w:rPr>
          <w:rFonts w:cs="Calibri" w:cstheme="minorHAnsi"/>
          <w:lang w:val="ro-RO"/>
        </w:rPr>
        <w:t>Îmbunătățirea standardelor de guvernanță corporativă prin:</w:t>
      </w:r>
    </w:p>
    <w:p>
      <w:pPr>
        <w:pStyle w:val="Normal"/>
        <w:numPr>
          <w:ilvl w:val="0"/>
          <w:numId w:val="2"/>
        </w:numPr>
        <w:spacing w:before="160" w:after="160"/>
        <w:ind w:left="810" w:hanging="360"/>
        <w:jc w:val="both"/>
        <w:rPr>
          <w:rFonts w:cs="Calibri" w:cstheme="minorHAnsi"/>
          <w:lang w:val="ro-RO"/>
        </w:rPr>
      </w:pPr>
      <w:r>
        <w:rPr>
          <w:rFonts w:cs="Calibri" w:cstheme="minorHAnsi"/>
          <w:lang w:val="ro-RO"/>
        </w:rPr>
        <w:t>Aderarea companiilor deținute de stat listate sau care urmează a fi listate la cele mai înalte standarde de guvernanță corporativă</w:t>
      </w:r>
    </w:p>
    <w:p>
      <w:pPr>
        <w:pStyle w:val="ListParagraph"/>
        <w:numPr>
          <w:ilvl w:val="0"/>
          <w:numId w:val="28"/>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I.3: </w:t>
      </w:r>
      <w:r>
        <w:rPr>
          <w:rFonts w:cs="Calibri" w:cstheme="minorHAnsi"/>
          <w:lang w:val="ro-RO"/>
        </w:rPr>
        <w:t>Extinderea și diversificarea tipologiei de instrumente tranzacționabile pe piața de capital prin:</w:t>
      </w:r>
    </w:p>
    <w:p>
      <w:pPr>
        <w:pStyle w:val="Normal"/>
        <w:numPr>
          <w:ilvl w:val="0"/>
          <w:numId w:val="2"/>
        </w:numPr>
        <w:spacing w:before="160" w:after="160"/>
        <w:ind w:left="810" w:hanging="360"/>
        <w:jc w:val="both"/>
        <w:rPr>
          <w:rFonts w:cs="Calibri" w:cstheme="minorHAnsi"/>
          <w:lang w:val="ro-RO"/>
        </w:rPr>
      </w:pPr>
      <w:r>
        <w:rPr>
          <w:rFonts w:cs="Calibri" w:cstheme="minorHAnsi"/>
          <w:lang w:val="ro-RO"/>
        </w:rPr>
        <w:t>listarea acțiunilor reprezentând dețineri minoritare la companiile mari care sunt deținute de stat și creșterea free-float-ului pentru astfel de companii deja listate;</w:t>
      </w:r>
    </w:p>
    <w:p>
      <w:pPr>
        <w:pStyle w:val="Normal"/>
        <w:numPr>
          <w:ilvl w:val="0"/>
          <w:numId w:val="2"/>
        </w:numPr>
        <w:spacing w:before="160" w:after="160"/>
        <w:ind w:left="810" w:hanging="360"/>
        <w:jc w:val="both"/>
        <w:rPr>
          <w:rFonts w:cs="Calibri" w:cstheme="minorHAnsi"/>
          <w:lang w:val="ro-RO"/>
        </w:rPr>
      </w:pPr>
      <w:r>
        <w:rPr>
          <w:rFonts w:cs="Calibri" w:cstheme="minorHAnsi"/>
          <w:lang w:val="ro-RO"/>
        </w:rPr>
        <w:t>încurajarea transferului pe piața  reglementată a companiilor deținute de stat listate pe sistemul multilateral de tranzacționare administrat de BVB prin întărirea și respectarea principiilor de guvernanță corporativă și îmbunătățirea cerințelor de transparență.</w:t>
      </w:r>
    </w:p>
    <w:p>
      <w:pPr>
        <w:pStyle w:val="Normal"/>
        <w:numPr>
          <w:ilvl w:val="0"/>
          <w:numId w:val="1"/>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I.4: </w:t>
      </w:r>
      <w:r>
        <w:rPr>
          <w:rFonts w:cs="Calibri" w:cstheme="minorHAnsi"/>
          <w:lang w:val="ro-RO"/>
        </w:rPr>
        <w:t xml:space="preserve">Introducerea unei campanii naționale </w:t>
      </w:r>
      <w:r>
        <w:rPr>
          <w:rFonts w:ascii="Times New Roman" w:hAnsi="Times New Roman"/>
          <w:color w:val="000000"/>
          <w:sz w:val="24"/>
          <w:szCs w:val="24"/>
        </w:rPr>
        <w:t>care se va adresa atât companiilor publice, cât și celor private</w:t>
      </w:r>
      <w:r>
        <w:rPr>
          <w:rFonts w:cs="Calibri" w:cstheme="minorHAnsi"/>
          <w:lang w:val="ro-RO"/>
        </w:rPr>
        <w:t xml:space="preserve"> pentru a încuraja companiile să utilizeze finanțarea din piața de capital, </w:t>
      </w:r>
      <w:r>
        <w:rPr>
          <w:rFonts w:cs="Calibri"/>
          <w:lang w:val="ro-RO"/>
        </w:rPr>
        <w:t>informând conducerea companiilor și alți actori relevanți despre numeroasele oportunități existente.</w:t>
      </w:r>
    </w:p>
    <w:p>
      <w:pPr>
        <w:pStyle w:val="Normal"/>
        <w:numPr>
          <w:ilvl w:val="0"/>
          <w:numId w:val="1"/>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I.5: </w:t>
      </w:r>
      <w:r>
        <w:rPr>
          <w:rFonts w:cs="Calibri" w:cstheme="minorHAnsi"/>
          <w:lang w:val="ro-RO"/>
        </w:rPr>
        <w:t>Intensificarea demersurilor pentru îndeplinirea cerințelor de autorizare și operaționalizare a unei contrapărți centrale (CCP).</w:t>
      </w:r>
    </w:p>
    <w:p>
      <w:pPr>
        <w:pStyle w:val="ListParagraph"/>
        <w:numPr>
          <w:ilvl w:val="0"/>
          <w:numId w:val="1"/>
        </w:numPr>
        <w:ind w:left="360" w:hanging="360"/>
        <w:jc w:val="both"/>
        <w:rPr>
          <w:lang w:val="ro-RO"/>
        </w:rPr>
      </w:pPr>
      <w:r>
        <w:rPr>
          <w:rFonts w:cs="Calibri" w:cstheme="minorHAnsi"/>
          <w:b/>
          <w:color w:val="2F5496" w:themeColor="accent5" w:themeShade="bf"/>
          <w:lang w:val="ro-RO"/>
        </w:rPr>
        <w:t xml:space="preserve">Obiectiv specific I.6: </w:t>
      </w:r>
      <w:r>
        <w:rPr>
          <w:rFonts w:cs="Calibri" w:cstheme="minorHAnsi"/>
          <w:lang w:val="ro-RO"/>
        </w:rPr>
        <w:t xml:space="preserve">Încurajarea listării companiilor pe sistemul multilateral de tranzacționare administrat de BVB, </w:t>
      </w:r>
      <w:r>
        <w:rPr>
          <w:lang w:val="ro-RO"/>
        </w:rPr>
        <w:t>inclusiv prin:</w:t>
      </w:r>
    </w:p>
    <w:p>
      <w:pPr>
        <w:pStyle w:val="Normal"/>
        <w:numPr>
          <w:ilvl w:val="0"/>
          <w:numId w:val="2"/>
        </w:numPr>
        <w:spacing w:before="160" w:after="160"/>
        <w:ind w:left="810" w:hanging="360"/>
        <w:jc w:val="both"/>
        <w:rPr>
          <w:rFonts w:cs="Calibri" w:cstheme="minorHAnsi"/>
          <w:lang w:val="ro-RO"/>
        </w:rPr>
      </w:pPr>
      <w:r>
        <w:rPr>
          <w:rFonts w:cs="Calibri" w:cstheme="minorHAnsi"/>
          <w:lang w:val="ro-RO"/>
        </w:rPr>
        <w:t>simplificarea procedurilor de listare;</w:t>
      </w:r>
    </w:p>
    <w:p>
      <w:pPr>
        <w:pStyle w:val="Normal"/>
        <w:numPr>
          <w:ilvl w:val="0"/>
          <w:numId w:val="2"/>
        </w:numPr>
        <w:spacing w:before="160" w:after="160"/>
        <w:ind w:left="810" w:hanging="360"/>
        <w:jc w:val="both"/>
        <w:rPr>
          <w:rFonts w:cs="Calibri" w:cstheme="minorHAnsi"/>
          <w:lang w:val="ro-RO"/>
        </w:rPr>
      </w:pPr>
      <w:r>
        <w:rPr>
          <w:rFonts w:cs="Calibri" w:cstheme="minorHAnsi"/>
          <w:lang w:val="ro-RO"/>
        </w:rPr>
        <w:t>implementarea utilizării unei platforme electronice posibil de accesat de către emitent și autoritățile/instituțiile cu atribuții în aprobarea solicitării de listare pentru asigurarea celerității procesului.</w:t>
      </w:r>
    </w:p>
    <w:p>
      <w:pPr>
        <w:pStyle w:val="ListParagraph"/>
        <w:spacing w:before="160" w:after="160"/>
        <w:jc w:val="both"/>
        <w:rPr>
          <w:rFonts w:cs="Calibri" w:cstheme="minorHAnsi"/>
          <w:lang w:val="ro-RO"/>
        </w:rPr>
      </w:pPr>
      <w:r>
        <w:rPr>
          <w:rFonts w:cs="Calibri" w:cstheme="minorHAnsi"/>
          <w:lang w:val="ro-RO"/>
        </w:rPr>
      </w:r>
    </w:p>
    <w:p>
      <w:pPr>
        <w:pStyle w:val="Heading3"/>
        <w:shd w:val="clear" w:color="auto" w:fill="DEEAF6" w:themeFill="accent1" w:themeFillTint="33"/>
        <w:spacing w:before="160" w:after="160"/>
        <w:jc w:val="both"/>
        <w:rPr>
          <w:rFonts w:ascii="Calibri" w:hAnsi="Calibri" w:cs="Calibri" w:asciiTheme="minorHAnsi" w:cstheme="minorHAnsi" w:hAnsiTheme="minorHAnsi"/>
          <w:b/>
          <w:b/>
          <w:lang w:val="ro-RO"/>
        </w:rPr>
      </w:pPr>
      <w:bookmarkStart w:id="1092" w:name="_Toc110535994"/>
      <w:r>
        <w:rPr>
          <w:rFonts w:cs="Calibri" w:ascii="Calibri" w:hAnsi="Calibri" w:asciiTheme="minorHAnsi" w:cstheme="minorHAnsi" w:hAnsiTheme="minorHAnsi"/>
          <w:b/>
          <w:lang w:val="ro-RO"/>
        </w:rPr>
        <w:t>Obiectiv general II: Creșterea lichidității pe piața secundară</w:t>
      </w:r>
      <w:bookmarkEnd w:id="1092"/>
    </w:p>
    <w:p>
      <w:pPr>
        <w:pStyle w:val="Normal"/>
        <w:spacing w:before="160" w:after="160"/>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t>Piețele de capital bine dezvoltate depind în mare măsură de piețele secundare active, unde instrumentele financiare sunt tranzacționate frecvent, permițând un proces eficient de formare a prețurilor și o corelație pozitivă între lichiditatea pieței secundare și dimensiunea pieței de capital.</w:t>
      </w:r>
    </w:p>
    <w:p>
      <w:pPr>
        <w:pStyle w:val="Normal"/>
        <w:spacing w:before="160" w:after="160"/>
        <w:jc w:val="both"/>
        <w:rPr>
          <w:rFonts w:cs="Calibri" w:cstheme="minorHAnsi"/>
          <w:lang w:val="ro-RO"/>
        </w:rPr>
      </w:pPr>
      <w:r>
        <w:rPr>
          <w:rFonts w:cs="Calibri" w:cstheme="minorHAnsi"/>
          <w:lang w:val="ro-RO"/>
        </w:rPr>
        <w:t xml:space="preserve">Dezvoltarea pieței de capital depinde, de asemenea, de un sector financiar care funcționează bine, inclusiv de o bază diversificată de investitori instituționali, care poate canaliza economiile către piețele de capital și poate contribui la stabilitatea și lichiditatea sectorului. Având în vedere natura orizontului lor de investiții, fondurile de pensii oferă o sursă pe termen lung de fonduri piețelor de capital, dar datorită faptului că acestea urmează în cea mai mare parte strategii de investiții de tip “ buy-and-hold” (cumpără și așteaptă), ele nu stimulează creșterea lichidității pieței, spre deosebire de fondurile de investiții. </w:t>
      </w:r>
    </w:p>
    <w:p>
      <w:pPr>
        <w:pStyle w:val="Normal"/>
        <w:spacing w:before="160" w:after="160"/>
        <w:jc w:val="both"/>
        <w:rPr>
          <w:rFonts w:cs="Calibri" w:cstheme="minorHAnsi"/>
          <w:lang w:val="ro-RO"/>
        </w:rPr>
      </w:pPr>
      <w:r>
        <w:rPr>
          <w:rFonts w:cs="Calibri" w:cstheme="minorHAnsi"/>
          <w:lang w:val="ro-RO"/>
        </w:rPr>
        <w:t xml:space="preserve">Analiza mai detaliată a pieței de capital din România arată că atât segmentul principal, cât și segmentul AeRO sunt caracterizate prin </w:t>
      </w:r>
      <w:r>
        <w:rPr>
          <w:rFonts w:cs="Calibri" w:cstheme="minorHAnsi"/>
          <w:i/>
          <w:lang w:val="ro-RO"/>
        </w:rPr>
        <w:t>niveluri scăzute de lichiditate</w:t>
      </w:r>
      <w:r>
        <w:rPr>
          <w:rFonts w:cs="Calibri" w:cstheme="minorHAnsi"/>
          <w:lang w:val="ro-RO"/>
        </w:rPr>
        <w:t>. Lichiditatea scăzută la BVB, în special în segmentul AeRO, este determinată și de multe acțiuni inactive. În segmentul principal, nivelul mediu de free-float al categoriei Premium este aproape de două ori mai mare decât al categoriei Standard, iar numărul de tranzacții în Premium este de șapte ori mai mare decât în Standard.</w:t>
      </w:r>
    </w:p>
    <w:p>
      <w:pPr>
        <w:pStyle w:val="Normal"/>
        <w:spacing w:before="160" w:after="160"/>
        <w:jc w:val="both"/>
        <w:rPr>
          <w:rFonts w:cs="Calibri" w:cstheme="minorHAnsi"/>
          <w:lang w:val="ro-RO"/>
        </w:rPr>
      </w:pPr>
      <w:r>
        <w:rPr>
          <w:rFonts w:cs="Calibri" w:cstheme="minorHAnsi"/>
          <w:lang w:val="ro-RO"/>
        </w:rPr>
        <w:t xml:space="preserve">Ofertele secundare (SPO) nu sunt doar o sursă importantă de capital nou pentru companii, ci le permit acestora să își mărească nivelurile de free-float ori de câte ori sunt emise noi acțiuni. În prezent, Regulamentul (UE) 2017/1129 privind prospectul care trebuie să fie publicat atunci când valorile mobiliare sunt oferite publicului sau admise la tranzacționare pe o piață reglementată permite un prospect simplificat pentru ofertele publice secundare și crește pragul de emitere a capitalurilor proprii fără prospect. Deși </w:t>
      </w:r>
      <w:r>
        <w:rPr>
          <w:rFonts w:cs="Calibri" w:cstheme="minorHAnsi"/>
          <w:i/>
          <w:lang w:val="ro-RO"/>
        </w:rPr>
        <w:t>prospectul rămâne un document cheie pentru investitori, deoarece oferă informații calitative și cuprinzătoare, pentru ofertele publice secundare ar putea fi împovărător</w:t>
      </w:r>
      <w:r>
        <w:rPr>
          <w:rFonts w:cs="Calibri" w:cstheme="minorHAnsi"/>
          <w:lang w:val="ro-RO"/>
        </w:rPr>
        <w:t xml:space="preserve">, deoarece companiile dezvăluie deja informații pe piață în mod regulat. Emisiunile de valori mobiliare în valoare totală de până la un prag între 1 și 8 milioane euro sunt exceptate de la publicarea unui prospect, iar statele pot să-și adapteze pragurile naționale pentru a încuraja atât listările de companii mai mici, cât și ofertele publice secundare. Cu toate acestea, România nu a modificat încă pragul. </w:t>
      </w:r>
    </w:p>
    <w:p>
      <w:pPr>
        <w:pStyle w:val="Normal"/>
        <w:spacing w:before="160" w:after="160"/>
        <w:jc w:val="both"/>
        <w:rPr>
          <w:rFonts w:cs="Calibri" w:cstheme="minorHAnsi"/>
          <w:lang w:val="ro-RO"/>
        </w:rPr>
      </w:pPr>
      <w:r>
        <w:rPr>
          <w:rFonts w:cs="Calibri" w:cstheme="minorHAnsi"/>
          <w:lang w:val="ro-RO"/>
        </w:rPr>
        <w:t xml:space="preserve">Un posibil motiv pentru lichiditatea scăzută înregistrată pentru unele acțiuni de pe piața din România este existența unor </w:t>
      </w:r>
      <w:r>
        <w:rPr>
          <w:rFonts w:cs="Calibri" w:cstheme="minorHAnsi"/>
          <w:i/>
          <w:lang w:val="ro-RO"/>
        </w:rPr>
        <w:t>conturi inactive</w:t>
      </w:r>
      <w:r>
        <w:rPr>
          <w:rFonts w:cs="Calibri" w:cstheme="minorHAnsi"/>
          <w:lang w:val="ro-RO"/>
        </w:rPr>
        <w:t xml:space="preserve"> de retail care dețin acțiunile alocate cetățenilor în cadrul Programului de privatizare în masă din 1995-1996. Lipsa de activitate a deținătorilor acestor acțiuni nu afectează doar lichiditatea din piață, ci și brokerii, BVB și Depozitarul Central, care nu pot valorifica ocazia de a obține venituri din tranzacții altfel posibile. În ultimii ani, BVB și DC au propus programe de conștientizare pentru a ajunge la acționarii inactivi, dar situația nu s-a îmbunătățit semnificativ.</w:t>
      </w:r>
    </w:p>
    <w:p>
      <w:pPr>
        <w:pStyle w:val="Normal"/>
        <w:spacing w:before="160" w:after="160"/>
        <w:jc w:val="both"/>
        <w:rPr>
          <w:rFonts w:cs="Calibri" w:cstheme="minorHAnsi"/>
          <w:lang w:val="ro-RO"/>
        </w:rPr>
      </w:pPr>
      <w:r>
        <w:rPr>
          <w:rFonts w:cs="Calibri" w:cstheme="minorHAnsi"/>
          <w:lang w:val="ro-RO"/>
        </w:rPr>
        <w:t xml:space="preserve">Decalajul dintre numărul de tranzacții, valoarea și frecvența de tranzacționare dintre piața principală și segmentul AeRO poate fi explicat parțial prin decalajele informaționale mari existente. </w:t>
      </w:r>
    </w:p>
    <w:p>
      <w:pPr>
        <w:pStyle w:val="Normal"/>
        <w:spacing w:before="160" w:after="160"/>
        <w:jc w:val="both"/>
        <w:rPr>
          <w:rFonts w:cs="Calibri" w:cstheme="minorHAnsi"/>
          <w:lang w:val="ro-RO"/>
        </w:rPr>
      </w:pPr>
      <w:r>
        <w:rPr>
          <w:rFonts w:cs="Calibri" w:cstheme="minorHAnsi"/>
          <w:lang w:val="ro-RO"/>
        </w:rPr>
        <w:t xml:space="preserve">Disponibilitatea cercetării de piață pentru companii le oferă acestora vizibilitate pentru investitori și ajută la generarea mai multor informații care sprijină piețele de capital eficiente, precum și tranzacționarea informată. Acesta este în principal rezultatul modificărilor de reglementare introduse de </w:t>
      </w:r>
      <w:r>
        <w:rPr>
          <w:rFonts w:cs="Calibri" w:cstheme="minorHAnsi"/>
          <w:i/>
          <w:lang w:val="ro-RO"/>
        </w:rPr>
        <w:t>MiFID II în 2018, care vizează separarea costurilor de cercetare de costurile de execuție</w:t>
      </w:r>
      <w:r>
        <w:rPr>
          <w:rFonts w:cs="Calibri" w:cstheme="minorHAnsi"/>
          <w:lang w:val="ro-RO"/>
        </w:rPr>
        <w:t xml:space="preserve"> (costul cercetării să fie separat de comisioanele de tranzacționare plătite brokerilor) și a avut un impact deosebit asupra companiilor mai mici cotate la bursă. </w:t>
      </w:r>
    </w:p>
    <w:p>
      <w:pPr>
        <w:pStyle w:val="Normal"/>
        <w:spacing w:before="160" w:after="160"/>
        <w:jc w:val="both"/>
        <w:rPr>
          <w:rFonts w:cs="Calibri" w:cstheme="minorHAnsi"/>
          <w:lang w:val="ro-RO"/>
        </w:rPr>
      </w:pPr>
      <w:r>
        <w:rPr>
          <w:rFonts w:cs="Calibri" w:cstheme="minorHAnsi"/>
          <w:lang w:val="ro-RO"/>
        </w:rPr>
        <w:t xml:space="preserve">În februarie 2021, în cadrul pachetului de redresare a piețelor de capital aprobat ca răspuns la pandemia COVID-19, Comisia Europeană a aprobat o derogare de la cadrul MiFID II pentru a renunța la regulile de separare pentru cercetarea acțiunilor pe companii cu o capitalizare de piață mai mică de 1 miliard euro în ultimele 36 de luni. Această scutire are ca scop sprijinirea lichidității și creșterea vizibilității companiilor cu capitalizare mică și mijlocie într-o perioadă în care poate fi necesară finanțare. </w:t>
      </w:r>
    </w:p>
    <w:p>
      <w:pPr>
        <w:pStyle w:val="Normal"/>
        <w:spacing w:before="160" w:after="160"/>
        <w:jc w:val="both"/>
        <w:rPr>
          <w:rFonts w:cs="Calibri" w:cstheme="minorHAnsi"/>
          <w:lang w:val="ro-RO"/>
        </w:rPr>
      </w:pPr>
      <w:r>
        <w:rPr>
          <w:rFonts w:cs="Calibri" w:cstheme="minorHAnsi"/>
          <w:lang w:val="ro-RO"/>
        </w:rPr>
        <w:t xml:space="preserve">Investitorii pe termen lung pot utiliza </w:t>
      </w:r>
      <w:r>
        <w:rPr>
          <w:rFonts w:cs="Calibri" w:cstheme="minorHAnsi"/>
          <w:i/>
          <w:lang w:val="ro-RO"/>
        </w:rPr>
        <w:t>instrumente derivate</w:t>
      </w:r>
      <w:r>
        <w:rPr>
          <w:rFonts w:cs="Calibri" w:cstheme="minorHAnsi"/>
          <w:lang w:val="ro-RO"/>
        </w:rPr>
        <w:t xml:space="preserve"> pentru a-și gestiona expunerile la riscul de portofoliu. Cu toate acestea, în multe țări, reglementările privind pensiile constrâng investițiile în instrumente derivate. În România, investiția în instrumente derivate este permisă numai în măsura în care contribuie la reducerea riscurilor investiționale exclusiv prin scăderea riscului valutar sau a riscului ratei dobânzii. La sfârșitul anului 2021, instrumentele derivate erau aproape inexistente în valoarea totală a activelor fondurilor de pensii private. Cu toate acestea, ponderea activelor denominate în valută în totalul activelor fondurilor românești administrate privat este de aproximativ 10%, majoritatea fiind denominate în euro (</w:t>
      </w:r>
      <w:r>
        <w:rPr>
          <w:rFonts w:cs="Calibri" w:cstheme="minorHAnsi"/>
          <w:i/>
          <w:lang w:val="ro-RO"/>
        </w:rPr>
        <w:t>sursa: ASF).</w:t>
      </w:r>
      <w:r>
        <w:rPr>
          <w:rFonts w:cs="Calibri" w:cstheme="minorHAnsi"/>
          <w:lang w:val="ro-RO"/>
        </w:rPr>
        <w:t xml:space="preserve"> În timp ce riscurile valutare sunt gestionate în conformitate cu strategia de management al riscului a fondurilor de pensii, utilizarea limitată a instrumentelor derivate în valută pentru acoperirea expunerilor valutare ar putea fi o consecință a lipsei unei piețe de instrumente derivate care să funcționeze bine în România. Până în 2018, SIBEX - Sibiu Stock Exchange S.A. (SIBEX) a fost operatorul de piață și administratorul pieței de instrumente derivate din România (1996 – 2017), operatorul unei piețe la vedere reglementate (2010 – 2017) și al unui sistem alternativ de tranzacționare (2010 – 2017). În ianuarie 2018, a</w:t>
      </w:r>
      <w:r>
        <w:rPr>
          <w:lang w:val="ro-RO"/>
        </w:rPr>
        <w:t xml:space="preserve"> fost implementată fuziunea prin absorbție dintre BVB în calitate de societate absorbantă și SIBEX în calitate de societate absorbită. Ulterior, </w:t>
      </w:r>
      <w:r>
        <w:rPr>
          <w:rFonts w:cs="Calibri" w:cstheme="minorHAnsi"/>
          <w:lang w:val="ro-RO"/>
        </w:rPr>
        <w:t xml:space="preserve">BVB și-a anunțat intenția de a-și extinde operațiunile prin relansarea pieței de instrumente derivate pentru a contribui la creșterea lichidității pieței locale de capital și, în special, pentru a-și atinge obiectivul de dublare a mediei valorii zilnică de tranzacționare pe o perioadă de zece ani. </w:t>
      </w:r>
    </w:p>
    <w:p>
      <w:pPr>
        <w:pStyle w:val="Normal"/>
        <w:spacing w:before="160" w:after="160"/>
        <w:jc w:val="both"/>
        <w:rPr>
          <w:rFonts w:cs="Calibri" w:cstheme="minorHAnsi"/>
          <w:lang w:val="ro-RO"/>
        </w:rPr>
      </w:pPr>
      <w:r>
        <w:rPr>
          <w:rFonts w:cs="Calibri" w:cstheme="minorHAnsi"/>
          <w:lang w:val="ro-RO"/>
        </w:rPr>
        <w:t xml:space="preserve">Ca prim pas, în noiembrie 2019, BVB împreună cu alți opt acționari, au înființat o societate cu scopul de a fi autorizată în calitate de Contraparte Centrală și de a furniza servicii de compensare pentru piețele de capital și energie din România. Prima etapă  a funcționării acestei entități ulterior autorizării  vizează și compensarea instrumentelor financiare derivate constând în futures pe acțiuni, futures pe indice și futures pe energie. </w:t>
      </w:r>
    </w:p>
    <w:p>
      <w:pPr>
        <w:pStyle w:val="Normal"/>
        <w:spacing w:before="160" w:after="160"/>
        <w:jc w:val="both"/>
        <w:rPr>
          <w:rFonts w:cs="Calibri" w:cstheme="minorHAnsi"/>
          <w:lang w:val="ro-RO"/>
        </w:rPr>
      </w:pPr>
      <w:r>
        <w:rPr>
          <w:rFonts w:cs="Calibri" w:cstheme="minorHAnsi"/>
          <w:lang w:val="ro-RO"/>
        </w:rPr>
        <w:t>În 2020, BVB a introdus un program pilot de formare de piață care îmbunătățește și mai mult mecanismul deja existent de creștere a lichidității. În urma îmbunătățirii mecanismului de formare a pieței, o îmbunătățire a lichidității pe segmentul principal al bursei din România s-ar putea explica prin creșterea lichidității indusă de modernizarea statutului României de la piața de frontieră la cea secundară emergentă (în septembrie 2020).</w:t>
      </w:r>
    </w:p>
    <w:p>
      <w:pPr>
        <w:pStyle w:val="Normal"/>
        <w:spacing w:before="160" w:after="160"/>
        <w:jc w:val="both"/>
        <w:rPr>
          <w:rFonts w:cs="Calibri" w:cstheme="minorHAnsi"/>
          <w:lang w:val="ro-RO"/>
        </w:rPr>
      </w:pPr>
      <w:r>
        <w:rPr>
          <w:rFonts w:cs="Calibri" w:cstheme="minorHAnsi"/>
          <w:lang w:val="ro-RO"/>
        </w:rPr>
        <w:t>Fondurile de pensii din România se află în continuare într-o fază de acumulare și este de așteptat ca în viitor o pondere mai mare din activele lor aflate în administrare să fie alocată investițiilor străine în scopul diversificării portofoliului, pentru care ar fi nevoie de o bună funcționare a piețelor derivate. Este de așteptat să existe o cerere mai mare de derivate în valută de la companiile nefinanciare, deoarece acestea sunt foarte dependente de valută.</w:t>
      </w:r>
    </w:p>
    <w:p>
      <w:pPr>
        <w:pStyle w:val="Normal"/>
        <w:spacing w:before="160" w:after="160"/>
        <w:jc w:val="both"/>
        <w:rPr>
          <w:rFonts w:cs="Calibri" w:cstheme="minorHAnsi"/>
          <w:lang w:val="ro-RO"/>
        </w:rPr>
      </w:pPr>
      <w:r>
        <w:rPr>
          <w:rFonts w:cs="Calibri" w:cstheme="minorHAnsi"/>
          <w:lang w:val="ro-RO"/>
        </w:rPr>
        <w:t>Pentru a crește lichiditatea pieței BVB și pentru a atrage noi categorii de investitori de retail, se recomandă implementarea unui sistem deschis de tranzacționare a fondurilor de investiții prin sistemul BVB. Acest lucru se poate face într-un mod similar cu cel oferit de Euronext Fund Services, care este un sistem de tranzacționare la valoarea de piață.</w:t>
      </w:r>
    </w:p>
    <w:p>
      <w:pPr>
        <w:pStyle w:val="Normal"/>
        <w:spacing w:before="160" w:after="160"/>
        <w:jc w:val="both"/>
        <w:rPr>
          <w:rFonts w:cs="Calibri" w:cstheme="minorHAnsi"/>
          <w:lang w:val="ro-RO"/>
        </w:rPr>
      </w:pPr>
      <w:r>
        <w:rPr>
          <w:rFonts w:cs="Calibri" w:cstheme="minorHAnsi"/>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Obiective specifice pentru  creșterea lichidității pe piața secundară:</w:t>
      </w:r>
    </w:p>
    <w:p>
      <w:pPr>
        <w:pStyle w:val="Normal"/>
        <w:numPr>
          <w:ilvl w:val="0"/>
          <w:numId w:val="4"/>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II.1: </w:t>
      </w:r>
      <w:r>
        <w:rPr>
          <w:rFonts w:cs="Calibri" w:cstheme="minorHAnsi"/>
          <w:lang w:val="ro-RO"/>
        </w:rPr>
        <w:t>Stabilirea unui mecanism care să ofere participanților la piață analize independente (</w:t>
      </w:r>
      <w:r>
        <w:rPr>
          <w:rFonts w:cs="Calibri" w:cstheme="minorHAnsi"/>
          <w:i/>
          <w:lang w:val="ro-RO"/>
        </w:rPr>
        <w:t>independent quantitative research</w:t>
      </w:r>
      <w:r>
        <w:rPr>
          <w:rFonts w:cs="Calibri" w:cstheme="minorHAnsi"/>
          <w:lang w:val="ro-RO"/>
        </w:rPr>
        <w:t xml:space="preserve">) cu costuri reduse, cu privire la companiile mai mici </w:t>
      </w:r>
      <w:r>
        <w:rPr>
          <w:rFonts w:cs="Calibri"/>
          <w:lang w:val="ro-RO"/>
        </w:rPr>
        <w:t>sau să sprijine Societățile de Servicii de Investiții Financiare pentru furnizarea acestor cercetări pe piață (sprijinirea programului recent lansat de bursă, care vizează creșterea acoperirii cercetării cu privire la companii cu capitalizare medie sau mică)</w:t>
      </w:r>
      <w:r>
        <w:rPr>
          <w:rFonts w:cs="Calibri" w:cstheme="minorHAnsi"/>
          <w:lang w:val="ro-RO"/>
        </w:rPr>
        <w:t>.</w:t>
      </w:r>
    </w:p>
    <w:p>
      <w:pPr>
        <w:pStyle w:val="Normal"/>
        <w:numPr>
          <w:ilvl w:val="0"/>
          <w:numId w:val="4"/>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II.2: </w:t>
      </w:r>
      <w:r>
        <w:rPr>
          <w:rFonts w:cs="Calibri" w:cstheme="minorHAnsi"/>
          <w:lang w:val="ro-RO"/>
        </w:rPr>
        <w:t>Realizarea unei campanii naționale de informare a acționarilor inactivi care au beneficiat de programul de privatizare în masă derulat din anii 1990 cu scopul lichidării deținerilor acestora; Acordarea unei exceptări de la plata oricărei taxe de tranzacționare.</w:t>
      </w:r>
    </w:p>
    <w:p>
      <w:pPr>
        <w:pStyle w:val="Normal"/>
        <w:spacing w:before="160" w:after="160"/>
        <w:ind w:left="360" w:hanging="0"/>
        <w:jc w:val="both"/>
        <w:rPr>
          <w:rFonts w:cs="Calibri" w:cstheme="minorHAnsi"/>
          <w:i/>
          <w:i/>
          <w:lang w:val="ro-RO"/>
        </w:rPr>
      </w:pPr>
      <w:r>
        <w:rPr>
          <w:rFonts w:cs="Calibri" w:cstheme="minorHAnsi"/>
          <w:i/>
          <w:lang w:val="ro-RO"/>
        </w:rPr>
        <w:t xml:space="preserve">Acest demers de informare pe scară largă a populației cu privire la deținerile inactive rezultate în urma procesului de privatizare în masă este prevăzut în cadrul proiectului de Lege privind regimul deținerilor inactive rezultate ca urmare a programului de privatizare în masa, proiect realizat cu asistența Băncii Europene de Reconstrucție și Dezvoltare, finanțat de Comisia Europeană prin intermediul Programului de Sprijin pentru Reforme Structurale (Structural Reform Support Programme) și aflat în proces interministerial de analiză.  Prin promovarea și adoptarea acestui proiect de lege se va realiza astfel și campania de informare. </w:t>
      </w:r>
    </w:p>
    <w:p>
      <w:pPr>
        <w:pStyle w:val="ListParagraph"/>
        <w:numPr>
          <w:ilvl w:val="0"/>
          <w:numId w:val="9"/>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II.3: </w:t>
      </w:r>
      <w:r>
        <w:rPr>
          <w:rFonts w:cs="Calibri" w:cstheme="minorHAnsi"/>
          <w:lang w:val="ro-RO"/>
        </w:rPr>
        <w:t>Evaluarea cadrului de reglementare și a cerințelor operaționale din piață în vederea stimulării ofertelor derulate ulterior admiterii la tranzacționare a valorilor mobiliare, pentru a încuraja societățile să își mărească nivelul de free-float, prin furnizare de asistență pentru acoperirea parțială sau integrală a costului acestor oferte.</w:t>
      </w:r>
    </w:p>
    <w:p>
      <w:pPr>
        <w:pStyle w:val="ListParagraph"/>
        <w:numPr>
          <w:ilvl w:val="0"/>
          <w:numId w:val="9"/>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II.4: </w:t>
      </w:r>
      <w:r>
        <w:rPr>
          <w:rFonts w:cs="Calibri" w:cstheme="minorHAnsi"/>
          <w:lang w:val="ro-RO"/>
        </w:rPr>
        <w:t>Intensificarea și continuarea eforturilor de creare și dezvoltare a unei piețe de instrumente financiare derivate.</w:t>
      </w:r>
    </w:p>
    <w:p>
      <w:pPr>
        <w:pStyle w:val="Normal"/>
        <w:numPr>
          <w:ilvl w:val="0"/>
          <w:numId w:val="4"/>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II.5: </w:t>
      </w:r>
      <w:r>
        <w:rPr>
          <w:rFonts w:cs="Calibri" w:cstheme="minorHAnsi"/>
          <w:lang w:val="ro-RO"/>
        </w:rPr>
        <w:t>Stimularea dezvoltării operațiunilor de împrumut de instrumente financiare prin eficientizarea proceselor de gestionare a garanțiilor.</w:t>
      </w:r>
    </w:p>
    <w:p>
      <w:pPr>
        <w:pStyle w:val="Normal"/>
        <w:numPr>
          <w:ilvl w:val="0"/>
          <w:numId w:val="4"/>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II.6: </w:t>
      </w:r>
      <w:r>
        <w:rPr>
          <w:rFonts w:cs="Calibri" w:cstheme="minorHAnsi"/>
          <w:lang w:val="ro-RO"/>
        </w:rPr>
        <w:t>Stimularea tranzacționării titlurilor de participare ale fondurilor deschise de investiții (OPCVM) prin intermediul sistemelor de tranzacționare ale pieței.</w:t>
      </w:r>
    </w:p>
    <w:p>
      <w:pPr>
        <w:pStyle w:val="Normal"/>
        <w:spacing w:before="160" w:after="160"/>
        <w:ind w:left="720" w:hanging="0"/>
        <w:jc w:val="both"/>
        <w:rPr>
          <w:rFonts w:cs="Calibri" w:cstheme="minorHAnsi"/>
          <w:lang w:val="ro-RO"/>
        </w:rPr>
      </w:pPr>
      <w:r>
        <w:rPr>
          <w:rFonts w:cs="Calibri" w:cstheme="minorHAnsi"/>
          <w:lang w:val="ro-RO"/>
        </w:rPr>
      </w:r>
    </w:p>
    <w:p>
      <w:pPr>
        <w:pStyle w:val="Heading3"/>
        <w:shd w:val="clear" w:color="auto" w:fill="DEEAF6" w:themeFill="accent1" w:themeFillTint="33"/>
        <w:spacing w:before="160" w:after="160"/>
        <w:jc w:val="both"/>
        <w:rPr>
          <w:rFonts w:ascii="Calibri" w:hAnsi="Calibri" w:cs="Calibri" w:asciiTheme="minorHAnsi" w:cstheme="minorHAnsi" w:hAnsiTheme="minorHAnsi"/>
          <w:b/>
          <w:b/>
          <w:lang w:val="ro-RO"/>
        </w:rPr>
      </w:pPr>
      <w:bookmarkStart w:id="1093" w:name="_Toc110535995"/>
      <w:r>
        <w:rPr>
          <w:rFonts w:cs="Calibri" w:ascii="Calibri" w:hAnsi="Calibri" w:asciiTheme="minorHAnsi" w:cstheme="minorHAnsi" w:hAnsiTheme="minorHAnsi"/>
          <w:b/>
          <w:lang w:val="ro-RO"/>
        </w:rPr>
        <w:t>Obiectiv</w:t>
      </w:r>
      <w:r>
        <w:rPr>
          <w:rFonts w:cs="Calibri" w:ascii="Calibri" w:hAnsi="Calibri" w:asciiTheme="minorHAnsi" w:cstheme="minorHAnsi" w:hAnsiTheme="minorHAnsi"/>
          <w:b/>
          <w:shd w:fill="DEEAF6" w:val="clear"/>
          <w:lang w:val="ro-RO"/>
        </w:rPr>
        <w:t xml:space="preserve"> general III: Susținerea dezvoltării și creșterii pieței IMM-urilor</w:t>
      </w:r>
      <w:bookmarkEnd w:id="1093"/>
    </w:p>
    <w:p>
      <w:pPr>
        <w:pStyle w:val="Normal"/>
        <w:spacing w:before="160" w:after="160"/>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t>IMM-urile din România se confruntă cu obstacole semnificative în accesul la finanțare. Nivelurile scăzute de capitalizare, constrângerile semnificative în materie de creditare și sursele limitate de finanțare externă le-au împiedicat să profite de oportunitățile de creștere. Buna funcționare a piețelor de capital public care vizează IMM-urile, precum și piețele de capital privat, pot juca un rol important în sprijinirea creșterii acestora.</w:t>
      </w:r>
    </w:p>
    <w:p>
      <w:pPr>
        <w:pStyle w:val="Normal"/>
        <w:spacing w:before="160" w:after="160"/>
        <w:jc w:val="both"/>
        <w:rPr>
          <w:rFonts w:cs="Calibri" w:cstheme="minorHAnsi"/>
          <w:lang w:val="ro-RO"/>
        </w:rPr>
      </w:pPr>
      <w:r>
        <w:rPr>
          <w:rFonts w:cs="Calibri" w:cstheme="minorHAnsi"/>
          <w:lang w:val="ro-RO"/>
        </w:rPr>
        <w:t xml:space="preserve">În ceea ce privește structura de finanțare, IMM-urile, în comparație cu companiile mai mari, sunt în general mai </w:t>
      </w:r>
      <w:r>
        <w:rPr>
          <w:rFonts w:cs="Calibri" w:cstheme="minorHAnsi"/>
          <w:i/>
          <w:lang w:val="ro-RO"/>
        </w:rPr>
        <w:t>dependente de finanțarea internă și de împrumuturile bancare</w:t>
      </w:r>
      <w:r>
        <w:rPr>
          <w:rFonts w:cs="Calibri" w:cstheme="minorHAnsi"/>
          <w:lang w:val="ro-RO"/>
        </w:rPr>
        <w:t xml:space="preserve">. Profilul de risc mai ridicat al IMM-urilor le face mai puțin adecvate pentru finanțarea externă. Această structură de finanțare face ca IMM-urile să fie vulnerabile din punct de vedere financiar, în special în perioadele de criză, când disponibilitatea creditului, în special a creditelor bancare, tinde să se contracte rapid, lăsându-le cu mai puține opțiuni de finanțare. </w:t>
      </w:r>
    </w:p>
    <w:p>
      <w:pPr>
        <w:pStyle w:val="Normal"/>
        <w:spacing w:before="160" w:after="160"/>
        <w:jc w:val="both"/>
        <w:rPr>
          <w:rFonts w:cs="Calibri" w:cstheme="minorHAnsi"/>
          <w:lang w:val="ro-RO"/>
        </w:rPr>
      </w:pPr>
      <w:r>
        <w:rPr>
          <w:rFonts w:cs="Calibri" w:cstheme="minorHAnsi"/>
          <w:lang w:val="ro-RO"/>
        </w:rPr>
        <w:t xml:space="preserve">În 2015, BVB a lansat un sistem alternativ (multilateral) de tranzacționare al carui segment principal este cunoscut sub denumirea comercială de, piața </w:t>
      </w:r>
      <w:r>
        <w:rPr>
          <w:rFonts w:cs="Calibri" w:cstheme="minorHAnsi"/>
          <w:b/>
          <w:lang w:val="ro-RO"/>
        </w:rPr>
        <w:t>AeRo</w:t>
      </w:r>
      <w:r>
        <w:rPr>
          <w:rFonts w:cs="Calibri" w:cstheme="minorHAnsi"/>
          <w:lang w:val="ro-RO"/>
        </w:rPr>
        <w:t>, dedicată finanțării, creșterii si promovării IMM-urilor. În comparație cu piața principală, piața AeRO are standarde mai puțin exigente pentru emitenți, fiind compusă atât dintr-un segment de acțiuni, cât și dintr-un segment de obligațiuni corporative.</w:t>
      </w:r>
    </w:p>
    <w:p>
      <w:pPr>
        <w:pStyle w:val="Normal"/>
        <w:spacing w:before="160" w:after="160"/>
        <w:jc w:val="both"/>
        <w:rPr>
          <w:rFonts w:cs="Calibri" w:cstheme="minorHAnsi"/>
          <w:lang w:val="ro-RO"/>
        </w:rPr>
      </w:pPr>
      <w:r>
        <w:rPr>
          <w:rFonts w:cs="Calibri" w:cstheme="minorHAnsi"/>
          <w:lang w:val="ro-RO"/>
        </w:rPr>
        <w:t xml:space="preserve">Capitalul privat (private equity) este, de asemenea, un instrument important pentru finanțarea IMM-urilor. Nu numai că poate oferi finanțare pentru companie, dar poate aduce și expertiză pentru a îmbunătăți practicile de management și eficiența operațională. Investițiile în private equity  joacă un rol din ce în ce mai important pentru companiile din România. Dezvoltarea unei strategii de cercetare și inovare va necesita sprijin din partea finanțării din piață. </w:t>
      </w:r>
    </w:p>
    <w:p>
      <w:pPr>
        <w:pStyle w:val="Normal"/>
        <w:spacing w:before="160" w:after="160"/>
        <w:jc w:val="both"/>
        <w:rPr>
          <w:rFonts w:cs="Calibri" w:cstheme="minorHAnsi"/>
          <w:b/>
          <w:b/>
          <w:u w:val="single"/>
          <w:lang w:val="ro-RO"/>
        </w:rPr>
      </w:pPr>
      <w:r>
        <w:rPr>
          <w:rFonts w:cs="Calibri" w:cstheme="minorHAnsi"/>
          <w:b/>
          <w:u w:val="single"/>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Obiective specifice  pentru dezvoltarea pieței IMM-urilor:</w:t>
      </w:r>
    </w:p>
    <w:p>
      <w:pPr>
        <w:pStyle w:val="Normal"/>
        <w:numPr>
          <w:ilvl w:val="0"/>
          <w:numId w:val="5"/>
        </w:numPr>
        <w:spacing w:before="160" w:after="160"/>
        <w:jc w:val="both"/>
        <w:rPr>
          <w:rFonts w:cs="Calibri" w:cstheme="minorHAnsi"/>
          <w:i/>
          <w:i/>
          <w:lang w:val="ro-RO"/>
        </w:rPr>
      </w:pPr>
      <w:r>
        <w:rPr>
          <w:rFonts w:cs="Calibri" w:cstheme="minorHAnsi"/>
          <w:b/>
          <w:color w:val="2F5496" w:themeColor="accent5" w:themeShade="bf"/>
          <w:lang w:val="ro-RO"/>
        </w:rPr>
        <w:t xml:space="preserve">Obiectiv specific III.1: </w:t>
      </w:r>
      <w:r>
        <w:rPr>
          <w:rFonts w:cs="Calibri" w:cstheme="minorHAnsi"/>
          <w:lang w:val="ro-RO"/>
        </w:rPr>
        <w:t xml:space="preserve">Intensificarea cooperării între BVB și Camera de Comerț și Industrie a României (CCIR) </w:t>
      </w:r>
      <w:r>
        <w:rPr>
          <w:rFonts w:cs="Calibri"/>
          <w:lang w:val="ro-RO"/>
        </w:rPr>
        <w:t xml:space="preserve">și organizarea de workshop-uri, seminarii, conferințe </w:t>
      </w:r>
      <w:r>
        <w:rPr>
          <w:rFonts w:cs="Calibri" w:cstheme="minorHAnsi"/>
          <w:lang w:val="ro-RO"/>
        </w:rPr>
        <w:t xml:space="preserve">pentru a promova metodele de finanțare prin piața de capital în rândul IMM-urilor; </w:t>
      </w:r>
      <w:r>
        <w:rPr>
          <w:rFonts w:cs="Calibri" w:cstheme="minorHAnsi"/>
          <w:i/>
          <w:lang w:val="ro-RO"/>
        </w:rPr>
        <w:t xml:space="preserve">întrucât CCIR reprezintă peste 15.000 de companii din țară, aceasta ar putea juca un rol esențial în a ajunge la acele IMM-uri care au potențialul de creștere, dar care nu dispun de finanțarea necesară. În cadrul </w:t>
      </w:r>
      <w:r>
        <w:rPr>
          <w:rFonts w:cs="Calibri"/>
          <w:i/>
          <w:lang w:val="ro-RO"/>
        </w:rPr>
        <w:t xml:space="preserve">unei </w:t>
      </w:r>
      <w:r>
        <w:rPr>
          <w:i/>
        </w:rPr>
        <w:t>campanii naționale care se va adresa atât companiilor publice, cât și celor private</w:t>
      </w:r>
      <w:r>
        <w:rPr>
          <w:rFonts w:cs="Calibri" w:cstheme="minorHAnsi"/>
          <w:i/>
          <w:lang w:val="ro-RO"/>
        </w:rPr>
        <w:t>, experții din cadrul burselor ar putea susține seminarii și sesiuni de formare privind finanțarea pe piață pentru IMM-urile selectate. Astfel de programe pot contribui la creșterea gradului de conștientizare în rândul IMM-urilor cu privire la beneficiile finanțării bazate pe piață.</w:t>
      </w:r>
    </w:p>
    <w:p>
      <w:pPr>
        <w:pStyle w:val="Normal"/>
        <w:numPr>
          <w:ilvl w:val="0"/>
          <w:numId w:val="5"/>
        </w:numPr>
        <w:spacing w:before="160" w:after="160"/>
        <w:jc w:val="both"/>
        <w:rPr>
          <w:rFonts w:cs="Calibri" w:cstheme="minorHAnsi"/>
          <w:i/>
          <w:i/>
          <w:lang w:val="ro-RO"/>
        </w:rPr>
      </w:pPr>
      <w:r>
        <w:rPr>
          <w:rFonts w:cs="Calibri" w:cstheme="minorHAnsi"/>
          <w:b/>
          <w:color w:val="2F5496" w:themeColor="accent5" w:themeShade="bf"/>
          <w:lang w:val="ro-RO"/>
        </w:rPr>
        <w:t xml:space="preserve">Obiectiv specific III.2: </w:t>
      </w:r>
      <w:r>
        <w:rPr>
          <w:rFonts w:cs="Calibri" w:cstheme="minorHAnsi"/>
          <w:lang w:val="ro-RO"/>
        </w:rPr>
        <w:t>Evaluarea caracterului adecvat al pragului sub care ofertele publice de valori mobiliare sunt scutite de obligația de a publica un prospect</w:t>
      </w:r>
      <w:r>
        <w:rPr>
          <w:rFonts w:cs="Calibri" w:cstheme="minorHAnsi"/>
          <w:i/>
          <w:lang w:val="ro-RO"/>
        </w:rPr>
        <w:t>; cu toate că a fost înființată piața AeRO, ofertele de acțiuni au fost limitate și aproape toate ofertele au fost efectuate ca plasamente private. Regulamentul (UE) 2017/1129 a acordat statelor membre ale UE flexibilitatea de a renunța la obligația de prospect dacă emisiunea este sub 8 milioane euro. În România, pragul actual este de doar 1 milion euro, ceea ce este semnificativ mai mic decât pragul stabilit în ​​alte țări membre. Pentru a încuraja IMM-urile să facă oferte publice pentru a ajunge la un grup mai mare de investitori, se poate lua în considerare creșterea acestui prag, ceea ce ar putea facilita utilizarea ofertelor publice și ar putea permite companiilor să ajungă la un grup mai larg de investitori.</w:t>
      </w:r>
    </w:p>
    <w:p>
      <w:pPr>
        <w:pStyle w:val="Normal"/>
        <w:numPr>
          <w:ilvl w:val="0"/>
          <w:numId w:val="5"/>
        </w:numPr>
        <w:spacing w:before="160" w:after="160"/>
        <w:jc w:val="both"/>
        <w:rPr>
          <w:rFonts w:cs="Calibri" w:cstheme="minorHAnsi"/>
          <w:lang w:val="ro-RO"/>
        </w:rPr>
      </w:pPr>
      <w:r>
        <w:rPr>
          <w:rFonts w:cs="Calibri" w:cstheme="minorHAnsi"/>
          <w:b/>
          <w:color w:val="2F5496" w:themeColor="accent5" w:themeShade="bf"/>
          <w:lang w:val="ro-RO"/>
        </w:rPr>
        <w:t xml:space="preserve">Obiectiv specific III.3: </w:t>
      </w:r>
      <w:r>
        <w:rPr>
          <w:rFonts w:cs="Calibri" w:cstheme="minorHAnsi"/>
          <w:lang w:val="ro-RO"/>
        </w:rPr>
        <w:t>Sprijinirea intermediarilor prin reducerea de taxe și tarife pentru a susține companiile mici în evaluarea perspectivelor financiare și admiterii pe sistemul multilateral de tranzacționare administrat de BVB.</w:t>
      </w:r>
      <w:r>
        <w:rPr>
          <w:rFonts w:cs="Calibri" w:cstheme="minorHAnsi"/>
          <w:b/>
          <w:lang w:val="ro-RO"/>
        </w:rPr>
        <w:t xml:space="preserve"> </w:t>
      </w:r>
    </w:p>
    <w:p>
      <w:pPr>
        <w:pStyle w:val="Normal"/>
        <w:numPr>
          <w:ilvl w:val="0"/>
          <w:numId w:val="5"/>
        </w:numPr>
        <w:spacing w:before="160" w:after="160"/>
        <w:jc w:val="both"/>
        <w:rPr>
          <w:rFonts w:cs="Calibri" w:cstheme="minorHAnsi"/>
          <w:b/>
          <w:b/>
          <w:lang w:val="ro-RO"/>
        </w:rPr>
      </w:pPr>
      <w:r>
        <w:rPr>
          <w:rFonts w:cs="Calibri" w:cstheme="minorHAnsi"/>
          <w:b/>
          <w:color w:val="2F5496" w:themeColor="accent5" w:themeShade="bf"/>
          <w:lang w:val="ro-RO"/>
        </w:rPr>
        <w:t xml:space="preserve">Obiectiv specific III.4: </w:t>
      </w:r>
      <w:r>
        <w:rPr>
          <w:rFonts w:cs="Calibri" w:cstheme="minorHAnsi"/>
          <w:lang w:val="ro-RO"/>
        </w:rPr>
        <w:t>Elaborarea unui mecanism pentru stimularea societăților listate pe sistemul multilateral de tranzacționare administrat de BVB care îndeplinesc cerințele legale pentru a se transfera pe piața reglementată;</w:t>
      </w:r>
      <w:r>
        <w:rPr>
          <w:rFonts w:cs="Calibri" w:cstheme="minorHAnsi"/>
          <w:b/>
          <w:lang w:val="ro-RO"/>
        </w:rPr>
        <w:t xml:space="preserve"> </w:t>
      </w:r>
      <w:r>
        <w:rPr>
          <w:rFonts w:cs="Calibri" w:cstheme="minorHAnsi"/>
          <w:i/>
          <w:lang w:val="ro-RO"/>
        </w:rPr>
        <w:t>pe măsură ce sistemul multilateral de tranzacționare administrat de BVB</w:t>
      </w:r>
      <w:r>
        <w:rPr>
          <w:rFonts w:cs="Calibri" w:cstheme="minorHAnsi"/>
          <w:b/>
          <w:i/>
          <w:lang w:val="ro-RO"/>
        </w:rPr>
        <w:t xml:space="preserve"> </w:t>
      </w:r>
      <w:r>
        <w:rPr>
          <w:rFonts w:cs="Calibri" w:cstheme="minorHAnsi"/>
          <w:i/>
          <w:lang w:val="ro-RO"/>
        </w:rPr>
        <w:t xml:space="preserve">s-a dezvoltat, o serie de companii au înregistrat o creștere semnificativă și ar putea începe să planifice, cu ajutorul bursei, un viitor transfer pe piața principală. Este important să se proiecteze un mecanism pentru ca societățile listate pe sistemul multilateral de tranzacționare administrat de BVB </w:t>
      </w:r>
      <w:r>
        <w:rPr>
          <w:rFonts w:cs="Calibri" w:cstheme="minorHAnsi"/>
          <w:b/>
          <w:i/>
          <w:lang w:val="ro-RO"/>
        </w:rPr>
        <w:t xml:space="preserve"> </w:t>
      </w:r>
      <w:r>
        <w:rPr>
          <w:rFonts w:cs="Calibri" w:cstheme="minorHAnsi"/>
          <w:i/>
          <w:lang w:val="ro-RO"/>
        </w:rPr>
        <w:t>să se transfere în cele din urmă pe piața principală și să nu rămână listate pe piața alternativă o perioadă nedeterminată. Pe lângă faptul că ar ajuta la poziționarea sistemului multilateral de tranzacționare administrat de BVB</w:t>
      </w:r>
      <w:r>
        <w:rPr>
          <w:rFonts w:cs="Calibri" w:cstheme="minorHAnsi"/>
          <w:b/>
          <w:i/>
          <w:lang w:val="ro-RO"/>
        </w:rPr>
        <w:t xml:space="preserve">  </w:t>
      </w:r>
      <w:r>
        <w:rPr>
          <w:rFonts w:cs="Calibri" w:cstheme="minorHAnsi"/>
          <w:i/>
          <w:lang w:val="ro-RO"/>
        </w:rPr>
        <w:t>pentru companiile mai mici, perspectiva de a trece pe piața principală ar putea fi văzută și ca un stimulent pentru unele IMM-uri să se listeze pe această piață.</w:t>
      </w:r>
    </w:p>
    <w:p>
      <w:pPr>
        <w:pStyle w:val="Normal"/>
        <w:numPr>
          <w:ilvl w:val="0"/>
          <w:numId w:val="5"/>
        </w:numPr>
        <w:spacing w:before="160" w:after="160"/>
        <w:jc w:val="both"/>
        <w:rPr>
          <w:rFonts w:cs="Calibri" w:cstheme="minorHAnsi"/>
          <w:lang w:val="ro-RO"/>
        </w:rPr>
      </w:pPr>
      <w:r>
        <w:rPr>
          <w:rFonts w:cs="Calibri" w:cstheme="minorHAnsi"/>
          <w:b/>
          <w:color w:val="2F5496" w:themeColor="accent5" w:themeShade="bf"/>
          <w:lang w:val="ro-RO"/>
        </w:rPr>
        <w:t xml:space="preserve">Obiectiv specific III.5: </w:t>
      </w:r>
      <w:r>
        <w:rPr>
          <w:rFonts w:cs="Calibri" w:cstheme="minorHAnsi"/>
          <w:lang w:val="ro-RO"/>
        </w:rPr>
        <w:t>Stimularea înființării fondurilor de investiții de tip IPO Fund pentru sprijinirea finanțării IMM-urilor. Sprijinirea IMM-urilor pentru accesul la finanțarea oferită prin intermediul Fondului European pentru sprijinirea IPO pentru IMM (</w:t>
      </w:r>
      <w:r>
        <w:rPr>
          <w:rFonts w:cs="Calibri" w:cstheme="minorHAnsi"/>
          <w:i/>
          <w:lang w:val="ro-RO"/>
        </w:rPr>
        <w:t>EU fund to help promote SME IPOs</w:t>
      </w:r>
      <w:r>
        <w:rPr>
          <w:rFonts w:cs="Calibri" w:cstheme="minorHAnsi"/>
          <w:lang w:val="ro-RO"/>
        </w:rPr>
        <w:t xml:space="preserve">). </w:t>
      </w:r>
    </w:p>
    <w:p>
      <w:pPr>
        <w:pStyle w:val="Normal"/>
        <w:spacing w:before="160" w:after="160"/>
        <w:rPr>
          <w:rFonts w:cs="Calibri" w:cstheme="minorHAnsi"/>
          <w:b/>
          <w:b/>
          <w:lang w:val="ro-RO"/>
        </w:rPr>
      </w:pPr>
      <w:r>
        <w:rPr>
          <w:rFonts w:cs="Calibri" w:cstheme="minorHAnsi"/>
          <w:b/>
          <w:lang w:val="ro-RO"/>
        </w:rPr>
      </w:r>
    </w:p>
    <w:p>
      <w:pPr>
        <w:pStyle w:val="Heading3"/>
        <w:shd w:val="clear" w:color="auto" w:fill="DEEAF6" w:themeFill="accent1" w:themeFillTint="33"/>
        <w:spacing w:before="160" w:after="160"/>
        <w:jc w:val="both"/>
        <w:rPr>
          <w:rFonts w:ascii="Calibri" w:hAnsi="Calibri" w:cs="Calibri" w:asciiTheme="minorHAnsi" w:cstheme="minorHAnsi" w:hAnsiTheme="minorHAnsi"/>
          <w:b/>
          <w:b/>
          <w:lang w:val="ro-RO"/>
        </w:rPr>
      </w:pPr>
      <w:bookmarkStart w:id="1094" w:name="_Toc110535996"/>
      <w:r>
        <w:rPr>
          <w:rFonts w:cs="Calibri" w:ascii="Calibri" w:hAnsi="Calibri" w:asciiTheme="minorHAnsi" w:cstheme="minorHAnsi" w:hAnsiTheme="minorHAnsi"/>
          <w:b/>
          <w:lang w:val="ro-RO"/>
        </w:rPr>
        <w:t>Obiectiv general IV: Promovarea economiilor în rândul investitorilor persoane fizice</w:t>
      </w:r>
      <w:bookmarkEnd w:id="1094"/>
      <w:r>
        <w:rPr>
          <w:rFonts w:cs="Calibri" w:ascii="Calibri" w:hAnsi="Calibri" w:asciiTheme="minorHAnsi" w:cstheme="minorHAnsi" w:hAnsiTheme="minorHAnsi"/>
          <w:b/>
          <w:lang w:val="ro-RO"/>
        </w:rPr>
        <w:t xml:space="preserve"> </w:t>
      </w:r>
    </w:p>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t xml:space="preserve">Unul dintre principalele obstacole în calea extinderii piețelor de capital din România îl reprezintă </w:t>
      </w:r>
      <w:r>
        <w:rPr>
          <w:rFonts w:cs="Calibri" w:cstheme="minorHAnsi"/>
          <w:i/>
          <w:lang w:val="ro-RO"/>
        </w:rPr>
        <w:t>nivelul limitat al economiilor din rândul investitorilor persoane fizice și alocarea redusă a acestora către titlurile de capital</w:t>
      </w:r>
      <w:r>
        <w:rPr>
          <w:rFonts w:cs="Calibri" w:cstheme="minorHAnsi"/>
          <w:lang w:val="ro-RO"/>
        </w:rPr>
        <w:t xml:space="preserve">. </w:t>
      </w:r>
    </w:p>
    <w:p>
      <w:pPr>
        <w:pStyle w:val="Normal"/>
        <w:spacing w:before="160" w:after="160"/>
        <w:jc w:val="both"/>
        <w:rPr>
          <w:rFonts w:cs="Calibri" w:cstheme="minorHAnsi"/>
          <w:lang w:val="ro-RO"/>
        </w:rPr>
      </w:pPr>
      <w:r>
        <w:rPr>
          <w:rFonts w:cs="Calibri" w:cstheme="minorHAnsi"/>
          <w:lang w:val="ro-RO"/>
        </w:rPr>
        <w:t>Activele financiare ale investitorilor persoane fizice din România s-au dublat de la 71 de miliarde euro în 2010 la 178 de miliarde euro în 2020. Activele financiare ale acestora se ridică la 82% din PIB-ul României, acest procent fiind sub cel înregistrat de Germania, Austria, Cehia, Ungaria, Polonia. În ceea ce privește componența acestor active financiare, moneda și depozitele reprezintă cca. 37% din totalul activelor financiare în România. (</w:t>
      </w:r>
      <w:r>
        <w:rPr>
          <w:rFonts w:cs="Calibri" w:cstheme="minorHAnsi"/>
          <w:i/>
          <w:lang w:val="ro-RO"/>
        </w:rPr>
        <w:t>sursa: Eurostat</w:t>
      </w:r>
      <w:r>
        <w:rPr>
          <w:rFonts w:cs="Calibri" w:cstheme="minorHAnsi"/>
          <w:lang w:val="ro-RO"/>
        </w:rPr>
        <w:t>)</w:t>
      </w:r>
    </w:p>
    <w:p>
      <w:pPr>
        <w:pStyle w:val="Normal"/>
        <w:spacing w:before="160" w:after="160"/>
        <w:jc w:val="both"/>
        <w:rPr>
          <w:rFonts w:cs="Calibri" w:cstheme="minorHAnsi"/>
          <w:lang w:val="ro-RO"/>
        </w:rPr>
      </w:pPr>
      <w:r>
        <w:rPr>
          <w:rFonts w:cs="Calibri" w:cstheme="minorHAnsi"/>
          <w:lang w:val="ro-RO"/>
        </w:rPr>
        <w:t xml:space="preserve">Potrivit Sondajului Global privind alfabetizarea financiară, elaborat de Standard &amp; Poor’s Ratings Services, România prezintă cea mai scăzută rată de alfabetizare financiară din Uniunea Europeană, doar 22% din populație fiind alfabetizată financiar </w:t>
      </w:r>
      <w:r>
        <w:rPr>
          <w:rFonts w:cs="Calibri" w:cstheme="minorHAnsi"/>
          <w:i/>
          <w:lang w:val="ro-RO"/>
        </w:rPr>
        <w:t>(sursa: Klapper, Lusardi, and Oudheusden, 2016).</w:t>
      </w:r>
      <w:r>
        <w:rPr>
          <w:rFonts w:cs="Calibri" w:cstheme="minorHAnsi"/>
          <w:lang w:val="ro-RO"/>
        </w:rPr>
        <w:tab/>
        <w:t xml:space="preserve">În luna iulie 2018, Ministerul Educației și Cercetării, Banca Națională a României, Ministerul Finanțelor Publice, Autoritatea de Supraveghere Financiară și Asociația Română a Băncilor au încheiat un </w:t>
      </w:r>
      <w:r>
        <w:rPr>
          <w:rFonts w:cs="Calibri" w:cstheme="minorHAnsi"/>
          <w:i/>
          <w:lang w:val="ro-RO"/>
        </w:rPr>
        <w:t>Acord de colaborare pentru activități comune în domeniul educației financiare și elaborarea Strategiei Naționale pentru Educație Financiară</w:t>
      </w:r>
      <w:r>
        <w:rPr>
          <w:rFonts w:cs="Calibri" w:cstheme="minorHAnsi"/>
          <w:lang w:val="ro-RO"/>
        </w:rPr>
        <w:t>. Inițiativa a fost susținută de OECD printr-un proiect de asistență tehnică implementat prin Programul de Circumscripție (</w:t>
      </w:r>
      <w:r>
        <w:rPr>
          <w:rFonts w:cs="Calibri" w:cstheme="minorHAnsi"/>
          <w:i/>
          <w:lang w:val="ro-RO"/>
        </w:rPr>
        <w:t>Constituency Program</w:t>
      </w:r>
      <w:r>
        <w:rPr>
          <w:rFonts w:cs="Calibri" w:cstheme="minorHAnsi"/>
          <w:lang w:val="ro-RO"/>
        </w:rPr>
        <w:t>) al Ministerului Finanțelor din Olanda</w:t>
      </w:r>
      <w:r>
        <w:rPr>
          <w:rFonts w:cs="Calibri" w:cstheme="minorHAnsi"/>
          <w:i/>
          <w:lang w:val="ro-RO"/>
        </w:rPr>
        <w:t xml:space="preserve"> (sursa: SNEF, 2021).</w:t>
      </w:r>
      <w:r>
        <w:rPr>
          <w:rFonts w:cs="Calibri" w:cstheme="minorHAnsi"/>
          <w:lang w:val="ro-RO"/>
        </w:rPr>
        <w:t xml:space="preserve"> Platforma de educație financiară a fost lansată în martie 2021, reprezentând un prim pas în dezvoltarea strategiei. </w:t>
      </w:r>
    </w:p>
    <w:p>
      <w:pPr>
        <w:pStyle w:val="Normal"/>
        <w:spacing w:before="160" w:after="160"/>
        <w:jc w:val="both"/>
        <w:rPr>
          <w:rFonts w:cs="Calibri" w:cstheme="minorHAnsi"/>
          <w:b/>
          <w:b/>
          <w:lang w:val="ro-RO"/>
        </w:rPr>
      </w:pPr>
      <w:r>
        <w:rPr>
          <w:rFonts w:cs="Calibri" w:cstheme="minorHAnsi"/>
          <w:b/>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Obiective specifice pentru promovarea economiilor la nivelul investitorilor persoane fizice:</w:t>
      </w:r>
    </w:p>
    <w:p>
      <w:pPr>
        <w:pStyle w:val="Normal"/>
        <w:numPr>
          <w:ilvl w:val="0"/>
          <w:numId w:val="6"/>
        </w:numPr>
        <w:spacing w:before="160" w:after="160"/>
        <w:jc w:val="both"/>
        <w:rPr>
          <w:rFonts w:cs="Calibri" w:cstheme="minorHAnsi"/>
          <w:lang w:val="ro-RO"/>
        </w:rPr>
      </w:pPr>
      <w:r>
        <w:rPr>
          <w:rFonts w:cs="Calibri" w:cstheme="minorHAnsi"/>
          <w:b/>
          <w:color w:val="2F5496" w:themeColor="accent5" w:themeShade="bf"/>
          <w:lang w:val="ro-RO"/>
        </w:rPr>
        <w:t xml:space="preserve">Obiectiv specific IV.1: </w:t>
      </w:r>
      <w:r>
        <w:rPr>
          <w:rFonts w:cs="Calibri" w:cstheme="minorHAnsi"/>
          <w:lang w:val="ro-RO"/>
        </w:rPr>
        <w:t xml:space="preserve">Creșterea segmentului de populație care are acces la un cont bancar prin bănci cooperatiste și implementarea de instrumente digitale de reducere a costurilor, precum și a gradului de conștientizare în rândul potențialilor investitori </w:t>
      </w:r>
      <w:r>
        <w:rPr>
          <w:rFonts w:cs="Calibri"/>
          <w:lang w:val="ro-RO"/>
        </w:rPr>
        <w:t xml:space="preserve">persoane fizice </w:t>
      </w:r>
      <w:r>
        <w:rPr>
          <w:rFonts w:cs="Calibri" w:cstheme="minorHAnsi"/>
          <w:lang w:val="ro-RO"/>
        </w:rPr>
        <w:t xml:space="preserve">cu privire la alternativa investițiilor/plasamentelor în instrumente financiare </w:t>
      </w:r>
      <w:r>
        <w:rPr>
          <w:rFonts w:cs="Calibri"/>
          <w:lang w:val="ro-RO"/>
        </w:rPr>
        <w:t>- Utilizarea resorturilor aferente Strategiei Naționale de Educație Financiară</w:t>
      </w:r>
      <w:r>
        <w:rPr>
          <w:rFonts w:cs="Calibri" w:cstheme="minorHAnsi"/>
          <w:lang w:val="ro-RO"/>
        </w:rPr>
        <w:t>.</w:t>
      </w:r>
      <w:r>
        <w:rPr>
          <w:rFonts w:cs="Calibri" w:cstheme="minorHAnsi"/>
          <w:b/>
          <w:lang w:val="ro-RO"/>
        </w:rPr>
        <w:t xml:space="preserve"> </w:t>
      </w:r>
      <w:r>
        <w:rPr>
          <w:rFonts w:cs="Calibri" w:cstheme="minorHAnsi"/>
          <w:i/>
          <w:lang w:val="ro-RO"/>
        </w:rPr>
        <w:t>Organismul central al cooperativelor de credit – Banca Centrală Cooperatistă Creditcoop – poate câștiga amploare prin implementarea unor instrumente digitale care economisesc costuri, de exemplu prin accesul la servicii prin telefonul mobil, care le-ar putea permite să ajungă astfel la persoane fizice care sunt excluse din punct de vedere financiar.</w:t>
      </w:r>
    </w:p>
    <w:p>
      <w:pPr>
        <w:pStyle w:val="Normal"/>
        <w:spacing w:before="160" w:after="160"/>
        <w:ind w:left="360" w:hanging="0"/>
        <w:jc w:val="both"/>
        <w:rPr>
          <w:rFonts w:cs="Calibri" w:cstheme="minorHAnsi"/>
          <w:lang w:val="ro-RO"/>
        </w:rPr>
      </w:pPr>
      <w:r>
        <w:rPr>
          <w:rFonts w:cs="Calibri" w:cstheme="minorHAnsi"/>
          <w:lang w:val="ro-RO"/>
        </w:rPr>
      </w:r>
    </w:p>
    <w:p>
      <w:pPr>
        <w:pStyle w:val="Heading3"/>
        <w:shd w:val="clear" w:color="auto" w:fill="DEEAF6" w:themeFill="accent1" w:themeFillTint="33"/>
        <w:spacing w:before="160" w:after="160"/>
        <w:jc w:val="both"/>
        <w:rPr>
          <w:rFonts w:ascii="Calibri" w:hAnsi="Calibri" w:cs="Calibri" w:asciiTheme="minorHAnsi" w:cstheme="minorHAnsi" w:hAnsiTheme="minorHAnsi"/>
          <w:b/>
          <w:b/>
          <w:lang w:val="ro-RO"/>
        </w:rPr>
      </w:pPr>
      <w:bookmarkStart w:id="1095" w:name="_Toc110535997"/>
      <w:r>
        <w:rPr>
          <w:rFonts w:cs="Calibri" w:ascii="Calibri" w:hAnsi="Calibri" w:asciiTheme="minorHAnsi" w:cstheme="minorHAnsi" w:hAnsiTheme="minorHAnsi"/>
          <w:b/>
          <w:lang w:val="ro-RO"/>
        </w:rPr>
        <w:t xml:space="preserve">Obiectiv general V: </w:t>
      </w:r>
      <w:bookmarkStart w:id="1096" w:name="_Hlk100319765"/>
      <w:r>
        <w:rPr>
          <w:rFonts w:cs="Calibri" w:ascii="Calibri" w:hAnsi="Calibri" w:asciiTheme="minorHAnsi" w:cstheme="minorHAnsi" w:hAnsiTheme="minorHAnsi"/>
          <w:b/>
          <w:lang w:val="ro-RO"/>
        </w:rPr>
        <w:t>Creșterea rolului investitorilor instituționali</w:t>
      </w:r>
      <w:bookmarkEnd w:id="1095"/>
      <w:bookmarkEnd w:id="1096"/>
    </w:p>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t>Investitorii instituționali joacă un rol important în dezvoltarea piețelor de capital, fiind capabili să canalizeze o cantitate semnificativă de finanțare către sectorul real pentru investiții și creștere. În România, activele administrate de către investitorii instituționali reprezentau 33,7 miliarde euro la sfârșitul anului 2021. În rândul investitorilor instituționali, cea mai mare categorie o reprezintă fondurile de pensii, atât fondurile administrate privat cât și facultative, cu active gestionate de 18,7 miliarde euro, urmate de fondurile de investiții cu 10,1 miliarde euro și societățile de asigurări cu 4,9 miliarde EUR (</w:t>
      </w:r>
      <w:r>
        <w:rPr>
          <w:rFonts w:cs="Calibri" w:cstheme="minorHAnsi"/>
          <w:i/>
          <w:lang w:val="ro-RO"/>
        </w:rPr>
        <w:t>sursa ASF</w:t>
      </w:r>
      <w:r>
        <w:rPr>
          <w:rFonts w:cs="Calibri" w:cstheme="minorHAnsi"/>
          <w:lang w:val="ro-RO"/>
        </w:rPr>
        <w:t>).</w:t>
      </w:r>
    </w:p>
    <w:p>
      <w:pPr>
        <w:pStyle w:val="Normal"/>
        <w:spacing w:before="160" w:after="160"/>
        <w:jc w:val="both"/>
        <w:rPr>
          <w:rFonts w:cs="Calibri" w:cstheme="minorHAnsi"/>
          <w:b/>
          <w:b/>
          <w:i/>
          <w:i/>
          <w:color w:val="1F3864" w:themeColor="accent5" w:themeShade="80"/>
          <w:lang w:val="ro-RO"/>
        </w:rPr>
      </w:pPr>
      <w:r>
        <w:rPr>
          <w:rFonts w:cs="Calibri" w:cstheme="minorHAnsi"/>
          <w:b/>
          <w:i/>
          <w:color w:val="1F3864" w:themeColor="accent5" w:themeShade="80"/>
          <w:lang w:val="ro-RO"/>
        </w:rPr>
        <w:t>Fondurile de pensii</w:t>
      </w:r>
    </w:p>
    <w:p>
      <w:pPr>
        <w:pStyle w:val="Normal"/>
        <w:spacing w:before="160" w:after="160"/>
        <w:jc w:val="both"/>
        <w:rPr>
          <w:rFonts w:cs="Calibri" w:cstheme="minorHAnsi"/>
          <w:lang w:val="ro-RO"/>
        </w:rPr>
      </w:pPr>
      <w:r>
        <w:rPr>
          <w:rFonts w:cs="Calibri" w:cstheme="minorHAnsi"/>
          <w:lang w:val="ro-RO"/>
        </w:rPr>
        <w:t>Sistemul de pensii din România este format din patru piloni, schema de economisire voluntară (Pilonul III), fiind pusă în aplicare în 2007, iar schema obligatorie (Pilonul II) în 2008. Atât pilonul II cât și pilonul III sunt administrate privat de societăți de administrare a fondurilor de pensii. Cel de-al patrulea pilon de pensii a fost instituit în anul 2020, până în prezent fiind autorizat doar un singur administrator pe acest segment. La sfârșitul lunii decembrie 2021, existau zece societăți de administrare fondurilor de pensii private care gestionau în total 18,01 miliarde euro pentru Pilonul II și 690 milioane euro pentru Pilonul III (</w:t>
      </w:r>
      <w:r>
        <w:rPr>
          <w:rFonts w:cs="Calibri" w:cstheme="minorHAnsi"/>
          <w:i/>
          <w:lang w:val="ro-RO"/>
        </w:rPr>
        <w:t>sursa ASF</w:t>
      </w:r>
      <w:r>
        <w:rPr>
          <w:rFonts w:cs="Calibri" w:cstheme="minorHAnsi"/>
          <w:lang w:val="ro-RO"/>
        </w:rPr>
        <w:t xml:space="preserve">). </w:t>
      </w:r>
    </w:p>
    <w:p>
      <w:pPr>
        <w:pStyle w:val="Normal"/>
        <w:spacing w:before="160" w:after="160"/>
        <w:jc w:val="both"/>
        <w:rPr>
          <w:rFonts w:cs="Calibri" w:cstheme="minorHAnsi"/>
          <w:lang w:val="ro-RO"/>
        </w:rPr>
      </w:pPr>
      <w:r>
        <w:rPr>
          <w:rFonts w:cs="Calibri" w:cstheme="minorHAnsi"/>
          <w:lang w:val="ro-RO"/>
        </w:rPr>
        <w:t>Fondurile de pensii private din România urmează o strategie generală de investiții conservatoare, deoarece marea majoritate a activelor lor sunt investite în titluri cu venit fix. La sfârșitul lunii decembrie 2021, 60% din active erau alocate titlurilor de stat, 2% depozitelor și încă 2% obligațiunilor supranaționale (</w:t>
      </w:r>
      <w:r>
        <w:rPr>
          <w:rFonts w:cs="Calibri" w:cstheme="minorHAnsi"/>
          <w:i/>
          <w:lang w:val="ro-RO"/>
        </w:rPr>
        <w:t>sursa ASF</w:t>
      </w:r>
      <w:r>
        <w:rPr>
          <w:rFonts w:cs="Calibri" w:cstheme="minorHAnsi"/>
          <w:lang w:val="ro-RO"/>
        </w:rPr>
        <w:t>).</w:t>
      </w:r>
    </w:p>
    <w:p>
      <w:pPr>
        <w:pStyle w:val="Normal"/>
        <w:spacing w:before="160" w:after="160"/>
        <w:jc w:val="both"/>
        <w:rPr>
          <w:rFonts w:cs="Calibri" w:cstheme="minorHAnsi"/>
          <w:lang w:val="ro-RO"/>
        </w:rPr>
      </w:pPr>
      <w:r>
        <w:rPr>
          <w:rFonts w:cs="Calibri" w:cstheme="minorHAnsi"/>
          <w:lang w:val="ro-RO"/>
        </w:rPr>
        <w:t>Având în vedere scopul și natura fondurilor de pensii private din România, în vederea protecției participanților s-au impus, prin reglementări, limite investiționale referitoare la tipurile de active: maximum 50% pentru investirea activelor lor în acțiuni și 30% în obligațiuni emise de sectorul privat. Pe lângă restricția privind limitele de investiții, actuala reglementare în vigoare (Norma ASF nr. 11/2011, Capitolul VII) impune ca fondurile de pensii să se încadreze într-un set de categorii de risc predefinite (risc scăzut, mediu și ridicat).</w:t>
      </w:r>
    </w:p>
    <w:p>
      <w:pPr>
        <w:pStyle w:val="Normal"/>
        <w:spacing w:before="160" w:after="160"/>
        <w:jc w:val="both"/>
        <w:rPr>
          <w:rFonts w:cs="Calibri" w:cstheme="minorHAnsi"/>
          <w:i/>
          <w:i/>
          <w:lang w:val="ro-RO"/>
        </w:rPr>
      </w:pPr>
      <w:r>
        <w:rPr>
          <w:rFonts w:cs="Calibri" w:cstheme="minorHAnsi"/>
          <w:lang w:val="ro-RO"/>
        </w:rPr>
        <w:t xml:space="preserve">În ciuda sumei tot mai mari investite în acțiuni de către fondurile de pensii din România, participarea acestora la bursă este încă relativ modestă în comparație cu Polonia, Ungaria și Austria (sursa: Raportul OECD). Societățile de administrare a fondurilor de pensii private din România percep comisioane participanților la fondurile de pensii, în schimbul gestionării economiilor pentru pensii. Sistemul actual percepe două tipuri de comisioane: comisionul de administrare din contribuții, echivalent cu 0,5% din fiecare contribuție lunară la fond, din care 0,1 puncte procentuale din suma totală ce face obiectul operaţiunii financiare efectuate pentru fiecare fond de pensii administrat privat să fie virată la Casa Naţională de Pensii Publice și  comisionul de administrare din active - o deducere lunară din totalul activelor nete ale fondurilor, care variază de la 0,02% la 0,07%. </w:t>
      </w:r>
    </w:p>
    <w:p>
      <w:pPr>
        <w:pStyle w:val="Normal"/>
        <w:spacing w:before="160" w:after="160"/>
        <w:jc w:val="both"/>
        <w:rPr>
          <w:rFonts w:cs="Calibri" w:cstheme="minorHAnsi"/>
          <w:b/>
          <w:b/>
          <w:i/>
          <w:i/>
          <w:color w:val="1F3864" w:themeColor="accent5" w:themeShade="80"/>
          <w:lang w:val="ro-RO"/>
        </w:rPr>
      </w:pPr>
      <w:r>
        <w:rPr>
          <w:rFonts w:cs="Calibri" w:cstheme="minorHAnsi"/>
          <w:b/>
          <w:i/>
          <w:color w:val="1F3864" w:themeColor="accent5" w:themeShade="80"/>
          <w:lang w:val="ro-RO"/>
        </w:rPr>
      </w:r>
    </w:p>
    <w:p>
      <w:pPr>
        <w:pStyle w:val="Normal"/>
        <w:spacing w:before="160" w:after="160"/>
        <w:jc w:val="both"/>
        <w:rPr>
          <w:rFonts w:cs="Calibri" w:cstheme="minorHAnsi"/>
          <w:b/>
          <w:b/>
          <w:i/>
          <w:i/>
          <w:color w:val="1F3864" w:themeColor="accent5" w:themeShade="80"/>
          <w:lang w:val="ro-RO"/>
        </w:rPr>
      </w:pPr>
      <w:r>
        <w:rPr>
          <w:rFonts w:cs="Calibri" w:cstheme="minorHAnsi"/>
          <w:b/>
          <w:i/>
          <w:color w:val="1F3864" w:themeColor="accent5" w:themeShade="80"/>
          <w:lang w:val="ro-RO"/>
        </w:rPr>
        <w:t>Fondurile de investiții</w:t>
      </w:r>
    </w:p>
    <w:p>
      <w:pPr>
        <w:pStyle w:val="Normal"/>
        <w:spacing w:before="160" w:after="160"/>
        <w:jc w:val="both"/>
        <w:rPr>
          <w:rFonts w:cs="Calibri" w:cstheme="minorHAnsi"/>
          <w:lang w:val="ro-RO"/>
        </w:rPr>
      </w:pPr>
      <w:r>
        <w:rPr>
          <w:rFonts w:cs="Calibri" w:cstheme="minorHAnsi"/>
          <w:lang w:val="ro-RO"/>
        </w:rPr>
        <w:t>Industria fondurilor de investiții din România s-a dezvoltat în jurul unor mari grupuri bancare. La sfârșitul lunii decembrie 2021, primele 5 companii de administrare a investițiilor erau afiliate băncilor și concentrau 92,91% din totalul activelor aferente industriei fondurilor de investiții. O altă caracteristică a industriei este dominația clară a fondurilor deschise (sursa: ASF).</w:t>
      </w:r>
    </w:p>
    <w:p>
      <w:pPr>
        <w:pStyle w:val="Normal"/>
        <w:spacing w:before="160" w:after="160"/>
        <w:jc w:val="both"/>
        <w:rPr>
          <w:rFonts w:cs="Calibri" w:cstheme="minorHAnsi"/>
          <w:lang w:val="ro-RO"/>
        </w:rPr>
      </w:pPr>
      <w:r>
        <w:rPr>
          <w:rFonts w:cs="Calibri" w:cstheme="minorHAnsi"/>
          <w:lang w:val="ro-RO"/>
        </w:rPr>
        <w:t>Aproape jumătate din investiția în acțiuni a fondurilor de investiții din România corespunde investițiilor Fondului Proprietatea, reprezentând acțiuni acordate persoanelor ale căror bunuri au fost expropriate de regimul comunist.</w:t>
      </w:r>
    </w:p>
    <w:p>
      <w:pPr>
        <w:pStyle w:val="Normal"/>
        <w:spacing w:before="160" w:after="160"/>
        <w:jc w:val="both"/>
        <w:rPr>
          <w:rFonts w:cs="Calibri" w:cstheme="minorHAnsi"/>
          <w:lang w:val="ro-RO"/>
        </w:rPr>
      </w:pPr>
      <w:r>
        <w:rPr>
          <w:rFonts w:cs="Calibri" w:cstheme="minorHAnsi"/>
          <w:lang w:val="ro-RO"/>
        </w:rPr>
        <w:t>În cazul fondurilor alternative de investiții, peste 70% din investițiile acestora corespund acțiunilor cotate, și doar circa 16% în cazul Fondului Proprietatea. Investițiile în obligații corporative sunt în general scăzute. Fondurile deschise alocă obligațiilor corporative 19%, în timp ce fondurile alternative de investiții și companiile financiare investesc doar 2,6% și, respectiv, 1,5% (</w:t>
      </w:r>
      <w:r>
        <w:rPr>
          <w:rFonts w:cs="Calibri" w:cstheme="minorHAnsi"/>
          <w:i/>
          <w:lang w:val="ro-RO"/>
        </w:rPr>
        <w:t>sursa: ASF</w:t>
      </w:r>
      <w:r>
        <w:rPr>
          <w:rFonts w:cs="Calibri" w:cstheme="minorHAnsi"/>
          <w:lang w:val="ro-RO"/>
        </w:rPr>
        <w:t>).</w:t>
      </w:r>
    </w:p>
    <w:p>
      <w:pPr>
        <w:pStyle w:val="Normal"/>
        <w:spacing w:before="160" w:after="160"/>
        <w:jc w:val="both"/>
        <w:rPr>
          <w:rFonts w:cs="Calibri" w:cstheme="minorHAnsi"/>
          <w:b/>
          <w:b/>
          <w:i/>
          <w:i/>
          <w:color w:val="1F3864" w:themeColor="accent5" w:themeShade="80"/>
          <w:lang w:val="ro-RO"/>
        </w:rPr>
      </w:pPr>
      <w:r>
        <w:rPr>
          <w:rFonts w:cs="Calibri" w:cstheme="minorHAnsi"/>
          <w:b/>
          <w:i/>
          <w:color w:val="1F3864" w:themeColor="accent5" w:themeShade="80"/>
          <w:lang w:val="ro-RO"/>
        </w:rPr>
        <w:t>Societățile de asigurare</w:t>
      </w:r>
    </w:p>
    <w:p>
      <w:pPr>
        <w:pStyle w:val="Normal"/>
        <w:spacing w:before="160" w:after="160"/>
        <w:jc w:val="both"/>
        <w:rPr>
          <w:rFonts w:cs="Calibri" w:cstheme="minorHAnsi"/>
          <w:i/>
          <w:i/>
          <w:lang w:val="ro-RO"/>
        </w:rPr>
      </w:pPr>
      <w:r>
        <w:rPr>
          <w:rFonts w:cs="Calibri" w:cstheme="minorHAnsi"/>
          <w:color w:val="5B9BD5" w:themeColor="accent1"/>
          <w:lang w:val="ro-RO"/>
        </w:rPr>
        <w:t xml:space="preserve"> </w:t>
      </w:r>
      <w:r>
        <w:rPr>
          <w:rFonts w:cs="Calibri" w:cstheme="minorHAnsi"/>
          <w:lang w:val="ro-RO"/>
        </w:rPr>
        <w:t>Activele totale ale societăților de asigurări din România s-au ridicat la 4,9 miliarde euro în 2021, reprezentând aproximativ 2% din PIB-ul României.  În ceea ce privește compoziția activelor, societățile de asigurări alocă 77% din activele lor obligațiunilor guvernamentale – media europeană fiind de 31%. Organismele de plasament colectiv reprezentă 2% din active în 2021- media europeană fiind de 22%. În plus, întrucât societățile de asigurări din România fac parte din grupuri internaționale, organismele de plasament colectiv sunt în general observate în fonduri transfrontaliere mai degrabă decât pe piaţa de capital românească. Mai mult, societățile de asigurări din România alocă 7% din activele lor obligațiunilor corporative față de, spre exemplu, 70% în Estonia. (</w:t>
      </w:r>
      <w:r>
        <w:rPr>
          <w:rFonts w:cs="Calibri" w:cstheme="minorHAnsi"/>
          <w:i/>
          <w:lang w:val="ro-RO"/>
        </w:rPr>
        <w:t>sursa: ASF, EIOPA Insurance statistics</w:t>
      </w:r>
      <w:r>
        <w:rPr>
          <w:rFonts w:cs="Calibri" w:cstheme="minorHAnsi"/>
          <w:lang w:val="ro-RO"/>
        </w:rPr>
        <w:t>).</w:t>
      </w:r>
      <w:bookmarkStart w:id="1097" w:name="_Hlk100320060"/>
      <w:bookmarkEnd w:id="1097"/>
    </w:p>
    <w:p>
      <w:pPr>
        <w:pStyle w:val="Normal"/>
        <w:tabs>
          <w:tab w:val="clear" w:pos="720"/>
          <w:tab w:val="left" w:pos="1695" w:leader="none"/>
        </w:tabs>
        <w:spacing w:before="160" w:after="160"/>
        <w:jc w:val="both"/>
        <w:rPr>
          <w:rFonts w:cs="Calibri" w:cstheme="minorHAnsi"/>
          <w:lang w:val="ro-RO"/>
        </w:rPr>
      </w:pPr>
      <w:r>
        <w:rPr>
          <w:rFonts w:cs="Calibri" w:cstheme="minorHAnsi"/>
          <w:lang w:val="ro-RO"/>
        </w:rPr>
        <w:tab/>
      </w:r>
    </w:p>
    <w:p>
      <w:pPr>
        <w:pStyle w:val="Normal"/>
        <w:tabs>
          <w:tab w:val="clear" w:pos="720"/>
          <w:tab w:val="left" w:pos="1695" w:leader="none"/>
        </w:tabs>
        <w:spacing w:before="160" w:after="160"/>
        <w:jc w:val="both"/>
        <w:rPr>
          <w:rFonts w:cs="Calibri" w:cstheme="minorHAnsi"/>
          <w:lang w:val="ro-RO"/>
        </w:rPr>
      </w:pPr>
      <w:r>
        <w:rPr>
          <w:rFonts w:cs="Calibri" w:cstheme="minorHAnsi"/>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Obiective specifice pentru creșterea rolului investitorilor instituționali:</w:t>
      </w:r>
    </w:p>
    <w:p>
      <w:pPr>
        <w:pStyle w:val="Normal"/>
        <w:numPr>
          <w:ilvl w:val="0"/>
          <w:numId w:val="7"/>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V.1: </w:t>
      </w:r>
      <w:r>
        <w:rPr>
          <w:rFonts w:cs="Calibri" w:cstheme="minorHAnsi"/>
          <w:lang w:val="ro-RO"/>
        </w:rPr>
        <w:t xml:space="preserve">Continuarea  procesului de simplificare, debirocratizare și fluidizare a operațiunilor / procedurilor de  autorizare / înregistrare a  OPC </w:t>
        <w:br/>
        <w:t xml:space="preserve">(OPCVM / FIA) / fondurilor de pensii private / ocupaționale) </w:t>
      </w:r>
      <w:r>
        <w:rPr>
          <w:rFonts w:cs="Calibri"/>
          <w:lang w:val="ro-RO"/>
        </w:rPr>
        <w:t xml:space="preserve">inclusiv prin revizuirea legislației secundare și standardizarea unora dintre documentele necesare. </w:t>
      </w:r>
    </w:p>
    <w:p>
      <w:pPr>
        <w:pStyle w:val="Normal"/>
        <w:numPr>
          <w:ilvl w:val="0"/>
          <w:numId w:val="7"/>
        </w:numPr>
        <w:spacing w:before="160" w:after="160"/>
        <w:ind w:left="360" w:hanging="360"/>
        <w:jc w:val="both"/>
        <w:rPr>
          <w:rFonts w:cs="Calibri" w:cstheme="minorHAnsi"/>
          <w:b/>
          <w:b/>
          <w:color w:val="2F5496" w:themeColor="accent5" w:themeShade="bf"/>
          <w:lang w:val="ro-RO"/>
        </w:rPr>
      </w:pPr>
      <w:r>
        <w:rPr>
          <w:rFonts w:cs="Calibri" w:cstheme="minorHAnsi"/>
          <w:b/>
          <w:color w:val="2F5496" w:themeColor="accent5" w:themeShade="bf"/>
          <w:lang w:val="ro-RO"/>
        </w:rPr>
        <w:t>Obiectiv specific V.2</w:t>
      </w:r>
      <w:r>
        <w:rPr>
          <w:rFonts w:cs="Calibri" w:cstheme="minorHAnsi"/>
          <w:lang w:val="ro-RO"/>
        </w:rPr>
        <w:t>: Prioritizarea campaniei de conștientizare în ceea ce privește necesitatea creșterii ratei de economisire concomitent cu promovarea produselor de investiții pe termen lung.</w:t>
      </w:r>
    </w:p>
    <w:p>
      <w:pPr>
        <w:pStyle w:val="ListParagraph"/>
        <w:numPr>
          <w:ilvl w:val="0"/>
          <w:numId w:val="29"/>
        </w:numPr>
        <w:spacing w:before="160" w:after="160"/>
        <w:ind w:left="360" w:hanging="360"/>
        <w:jc w:val="both"/>
        <w:rPr>
          <w:rFonts w:cs="Calibri" w:cstheme="minorHAnsi"/>
          <w:lang w:val="ro-RO"/>
        </w:rPr>
      </w:pPr>
      <w:r>
        <w:rPr>
          <w:rFonts w:cs="Calibri" w:cstheme="minorHAnsi"/>
          <w:b/>
          <w:color w:val="2F5496" w:themeColor="accent5" w:themeShade="bf"/>
          <w:lang w:val="ro-RO"/>
        </w:rPr>
        <w:t>Obiectiv specific V.3:</w:t>
      </w:r>
      <w:r>
        <w:rPr>
          <w:rFonts w:cs="Calibri" w:cstheme="minorHAnsi"/>
          <w:b/>
          <w:lang w:val="ro-RO"/>
        </w:rPr>
        <w:t xml:space="preserve"> </w:t>
      </w:r>
      <w:r>
        <w:rPr>
          <w:rFonts w:cs="Calibri" w:cstheme="minorHAnsi"/>
          <w:lang w:val="ro-RO"/>
        </w:rPr>
        <w:t xml:space="preserve">Creșterea gradului de conștientizare în rândul angajatorilor din sectorul public și privat cu privire la oportunitățile oferite prin înființarea de fonduri de pensii ocupaționale (stimulare/fidelizare a salariaților; creșterea conturilor de economisire pentru pensii prin activitatea celui de al 4-lea pilon; salariații pot contribui împreună cu angajatorii la conturile personale de pensii ocupaționale);  </w:t>
      </w:r>
    </w:p>
    <w:p>
      <w:pPr>
        <w:pStyle w:val="Normal"/>
        <w:spacing w:before="160" w:after="160"/>
        <w:ind w:left="720" w:hanging="0"/>
        <w:jc w:val="both"/>
        <w:rPr>
          <w:rFonts w:cs="Calibri" w:cstheme="minorHAnsi"/>
          <w:i/>
          <w:i/>
          <w:lang w:val="ro-RO"/>
        </w:rPr>
      </w:pPr>
      <w:r>
        <w:rPr>
          <w:rFonts w:cs="Calibri"/>
          <w:lang w:val="ro-RO"/>
        </w:rPr>
        <w:t>Evaluarea oportunității și inițierea înființării unor Fonduri de pensii ocupaționale de către angajatorii din diferite ramuri economice (ex. Fondul ocupațional pentru salariații din industria IT/ din sectorul financiar/ din agricultură/ din industria auto/ din administrația publică etc).</w:t>
      </w:r>
    </w:p>
    <w:p>
      <w:pPr>
        <w:pStyle w:val="ListParagraph"/>
        <w:spacing w:before="160" w:after="160"/>
        <w:ind w:left="360" w:hanging="0"/>
        <w:jc w:val="both"/>
        <w:rPr>
          <w:rFonts w:cs="Calibri" w:cstheme="minorHAnsi"/>
          <w:lang w:val="ro-RO"/>
        </w:rPr>
      </w:pPr>
      <w:r>
        <w:rPr>
          <w:rFonts w:cs="Calibri" w:cstheme="minorHAnsi"/>
          <w:lang w:val="ro-RO"/>
        </w:rPr>
      </w:r>
    </w:p>
    <w:p>
      <w:pPr>
        <w:pStyle w:val="Heading3"/>
        <w:shd w:val="clear" w:color="auto" w:fill="DEEAF6" w:themeFill="accent1" w:themeFillTint="33"/>
        <w:spacing w:before="160" w:after="160"/>
        <w:jc w:val="both"/>
        <w:rPr>
          <w:rFonts w:ascii="Calibri" w:hAnsi="Calibri" w:cs="Calibri" w:asciiTheme="minorHAnsi" w:cstheme="minorHAnsi" w:hAnsiTheme="minorHAnsi"/>
          <w:b/>
          <w:b/>
          <w:lang w:val="ro-RO"/>
        </w:rPr>
      </w:pPr>
      <w:bookmarkStart w:id="1098" w:name="_Toc110535998"/>
      <w:r>
        <w:rPr>
          <w:rFonts w:cs="Calibri" w:ascii="Calibri" w:hAnsi="Calibri" w:asciiTheme="minorHAnsi" w:cstheme="minorHAnsi" w:hAnsiTheme="minorHAnsi"/>
          <w:b/>
          <w:lang w:val="ro-RO"/>
        </w:rPr>
        <w:t xml:space="preserve">Obiectiv general VI: </w:t>
      </w:r>
      <w:bookmarkStart w:id="1099" w:name="_Hlk100320100"/>
      <w:r>
        <w:rPr>
          <w:rFonts w:cs="Calibri" w:ascii="Calibri" w:hAnsi="Calibri" w:asciiTheme="minorHAnsi" w:cstheme="minorHAnsi" w:hAnsiTheme="minorHAnsi"/>
          <w:b/>
          <w:lang w:val="ro-RO"/>
        </w:rPr>
        <w:t>Facilitarea finanțării pe termen lung prin mecanisme de piață</w:t>
      </w:r>
      <w:bookmarkEnd w:id="1098"/>
      <w:bookmarkEnd w:id="1099"/>
      <w:r>
        <w:rPr>
          <w:rFonts w:cs="Calibri" w:ascii="Calibri" w:hAnsi="Calibri" w:asciiTheme="minorHAnsi" w:cstheme="minorHAnsi" w:hAnsiTheme="minorHAnsi"/>
          <w:b/>
          <w:lang w:val="ro-RO"/>
        </w:rPr>
        <w:t xml:space="preserve"> </w:t>
      </w:r>
    </w:p>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t>Piața de obligațiuni corporative din România este subdimensionată. Lipsa generală de acces la finanțare constituie o barieră în calea investițiilor corporative și a creșterii economice, iar dependența excesivă de împrumuturile bancare în comparație cu finanțarea bazată pe piață este un potențial impediment pentru stabilitatea financiară.</w:t>
      </w:r>
    </w:p>
    <w:p>
      <w:pPr>
        <w:pStyle w:val="Normal"/>
        <w:spacing w:before="160" w:after="160"/>
        <w:jc w:val="both"/>
        <w:rPr>
          <w:rFonts w:cs="Calibri" w:cstheme="minorHAnsi"/>
          <w:lang w:val="ro-RO"/>
        </w:rPr>
      </w:pPr>
      <w:r>
        <w:rPr>
          <w:rFonts w:cs="Calibri" w:cstheme="minorHAnsi"/>
          <w:lang w:val="ro-RO"/>
        </w:rPr>
        <w:t xml:space="preserve">Lipsa unei piețe de obligațiuni corporative care să funcționeze optim nu a condus doar la </w:t>
      </w:r>
      <w:r>
        <w:rPr>
          <w:rFonts w:cs="Calibri" w:cstheme="minorHAnsi"/>
          <w:i/>
          <w:lang w:val="ro-RO"/>
        </w:rPr>
        <w:t>restricții semnificative în accesul la finanțare</w:t>
      </w:r>
      <w:r>
        <w:rPr>
          <w:rFonts w:cs="Calibri" w:cstheme="minorHAnsi"/>
          <w:lang w:val="ro-RO"/>
        </w:rPr>
        <w:t xml:space="preserve"> pentru segmente substanțiale ale sectorului corporativ din România, dar a dus și la o </w:t>
      </w:r>
      <w:r>
        <w:rPr>
          <w:rFonts w:cs="Calibri" w:cstheme="minorHAnsi"/>
          <w:i/>
          <w:lang w:val="ro-RO"/>
        </w:rPr>
        <w:t>expunere ridicată la titlurile de stat românești</w:t>
      </w:r>
      <w:r>
        <w:rPr>
          <w:rFonts w:cs="Calibri" w:cstheme="minorHAnsi"/>
          <w:lang w:val="ro-RO"/>
        </w:rPr>
        <w:t xml:space="preserve"> în rândul investitorilor instituționali.</w:t>
      </w:r>
    </w:p>
    <w:p>
      <w:pPr>
        <w:pStyle w:val="Normal"/>
        <w:spacing w:before="160" w:after="160"/>
        <w:jc w:val="both"/>
        <w:rPr>
          <w:rFonts w:cs="Calibri" w:cstheme="minorHAnsi"/>
          <w:lang w:val="ro-RO"/>
        </w:rPr>
      </w:pPr>
      <w:r>
        <w:rPr>
          <w:rFonts w:cs="Calibri" w:cstheme="minorHAnsi"/>
          <w:lang w:val="ro-RO"/>
        </w:rPr>
        <w:t xml:space="preserve">Investitorii și politicile lor investiționale joacă un rol cheie în dezvoltarea pieței interne. În prezent, participarea investitorilor instituționali pe piața obligațiunilor corporative este foarte limitată. În timp ce investitorii instituționali tradiționali sunt încă într-un stadiu incipient de dezvoltare și rămân mici, diversificarea investițiilor lor cu o alocare crescândă pentru obligațiunile corporative ar putea genera o cerere crescută pentru aceste instrumente și ar încuraja alți emitenți să folosească piața. Acest lucru ar permite o dezvoltare simultană a investitorilor instituționali și a piețelor de obligațiuni corporative în timp. </w:t>
      </w:r>
    </w:p>
    <w:p>
      <w:pPr>
        <w:pStyle w:val="Normal"/>
        <w:spacing w:before="160" w:after="160"/>
        <w:jc w:val="both"/>
        <w:rPr>
          <w:rFonts w:cs="Calibri" w:cstheme="minorHAnsi"/>
          <w:lang w:val="ro-RO"/>
        </w:rPr>
      </w:pPr>
      <w:r>
        <w:rPr>
          <w:rFonts w:cs="Calibri" w:cstheme="minorHAnsi"/>
          <w:lang w:val="ro-RO"/>
        </w:rPr>
        <w:t xml:space="preserve">Mai mulți participanți la piață și-au exprimat îngrijorarea cu privire la </w:t>
      </w:r>
      <w:r>
        <w:rPr>
          <w:rFonts w:cs="Calibri" w:cstheme="minorHAnsi"/>
          <w:i/>
          <w:lang w:val="ro-RO"/>
        </w:rPr>
        <w:t>timpul necesar emiterii unei obligațiuni</w:t>
      </w:r>
      <w:r>
        <w:rPr>
          <w:rFonts w:cs="Calibri" w:cstheme="minorHAnsi"/>
          <w:lang w:val="ro-RO"/>
        </w:rPr>
        <w:t xml:space="preserve">, subliniind necesitatea reevaluării cerinței de a organiza o adunare generală extraordinară pentru emiterea unei obligațiuni. </w:t>
      </w:r>
    </w:p>
    <w:p>
      <w:pPr>
        <w:pStyle w:val="Normal"/>
        <w:spacing w:before="160" w:after="160"/>
        <w:jc w:val="both"/>
        <w:rPr>
          <w:rFonts w:cs="Calibri" w:cstheme="minorHAnsi"/>
          <w:b/>
          <w:b/>
          <w:lang w:val="ro-RO"/>
        </w:rPr>
      </w:pPr>
      <w:r>
        <w:rPr>
          <w:rFonts w:cs="Calibri" w:cstheme="minorHAnsi"/>
          <w:b/>
          <w:lang w:val="ro-RO"/>
        </w:rPr>
      </w:r>
    </w:p>
    <w:p>
      <w:pPr>
        <w:pStyle w:val="Normal"/>
        <w:spacing w:before="160" w:after="160"/>
        <w:jc w:val="both"/>
        <w:rPr>
          <w:rFonts w:cs="Calibri" w:cstheme="minorHAnsi"/>
          <w:b/>
          <w:b/>
          <w:lang w:val="ro-RO"/>
        </w:rPr>
      </w:pPr>
      <w:r>
        <w:rPr>
          <w:rFonts w:cs="Calibri" w:cstheme="minorHAnsi"/>
          <w:b/>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 xml:space="preserve">Obiective specifice pentru facilitarea finanțării pe termen lung prin mecanisme de piață </w:t>
      </w:r>
    </w:p>
    <w:p>
      <w:pPr>
        <w:pStyle w:val="Normal"/>
        <w:numPr>
          <w:ilvl w:val="0"/>
          <w:numId w:val="8"/>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VI.1: </w:t>
      </w:r>
      <w:r>
        <w:rPr>
          <w:rFonts w:cs="Calibri"/>
          <w:lang w:val="ro-RO"/>
        </w:rPr>
        <w:t>Analizarea cadrului de reglementare și a proceselor operaționale aplicabile în vederea  identificării modificărilor necesare pentru eficientizarea  procesului de listare a obligațiunilor corporative.</w:t>
      </w:r>
    </w:p>
    <w:p>
      <w:pPr>
        <w:pStyle w:val="Normal"/>
        <w:numPr>
          <w:ilvl w:val="0"/>
          <w:numId w:val="8"/>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VI.2: </w:t>
      </w:r>
      <w:r>
        <w:rPr>
          <w:rFonts w:cs="Calibri" w:cstheme="minorHAnsi"/>
          <w:lang w:val="ro-RO"/>
        </w:rPr>
        <w:t>Stimularea dezvoltării pieței obligațiunilor corporative inclusiv prin încurajarea investițiilor în obligațiuni emise de societățile nefinanciare admise la tranzacționare în cadrul BVB de către investitori instituționali prin reducerea/eliminarea taxelor/tarifelor de tranzacționare.</w:t>
      </w:r>
    </w:p>
    <w:p>
      <w:pPr>
        <w:pStyle w:val="Normal"/>
        <w:numPr>
          <w:ilvl w:val="0"/>
          <w:numId w:val="8"/>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VI.3: </w:t>
      </w:r>
      <w:r>
        <w:rPr/>
        <w:t xml:space="preserve">Dezvoltarea de proiecte în regim de parteneriat public-privat în care, în urma unei proceduri </w:t>
      </w:r>
      <w:r>
        <w:rPr>
          <w:lang w:val="ro-RO"/>
        </w:rPr>
        <w:t>concurențiale</w:t>
      </w:r>
      <w:r>
        <w:rPr/>
        <w:t>, este creat</w:t>
      </w:r>
      <w:r>
        <w:rPr>
          <w:lang w:val="ro-RO"/>
        </w:rPr>
        <w:t>ă</w:t>
      </w:r>
      <w:r>
        <w:rPr/>
        <w:t xml:space="preserve"> o companie sau entitate  în scopul executării proiectelor de infrastructură, pe care le-ar putea finanța prin emiterea de obligațiuni corporative</w:t>
      </w:r>
      <w:r>
        <w:rPr>
          <w:rFonts w:cs="Calibri" w:cstheme="minorHAnsi"/>
          <w:lang w:val="ro-RO"/>
        </w:rPr>
        <w:t>.</w:t>
      </w:r>
    </w:p>
    <w:p>
      <w:pPr>
        <w:pStyle w:val="Normal"/>
        <w:spacing w:before="160" w:after="160"/>
        <w:ind w:left="360" w:hanging="0"/>
        <w:jc w:val="both"/>
        <w:rPr>
          <w:rFonts w:cs="Calibri" w:cstheme="minorHAnsi"/>
          <w:lang w:val="ro-RO"/>
        </w:rPr>
      </w:pPr>
      <w:r>
        <w:rPr>
          <w:rFonts w:cs="Calibri" w:cstheme="minorHAnsi"/>
          <w:lang w:val="ro-RO"/>
        </w:rPr>
      </w:r>
    </w:p>
    <w:p>
      <w:pPr>
        <w:pStyle w:val="Heading3"/>
        <w:shd w:val="clear" w:color="auto" w:fill="DEEAF6" w:themeFill="accent1" w:themeFillTint="33"/>
        <w:spacing w:before="160" w:after="160"/>
        <w:jc w:val="both"/>
        <w:rPr>
          <w:rFonts w:ascii="Calibri" w:hAnsi="Calibri" w:cs="Calibri" w:asciiTheme="minorHAnsi" w:cstheme="minorHAnsi" w:hAnsiTheme="minorHAnsi"/>
          <w:b/>
          <w:b/>
          <w:lang w:val="ro-RO"/>
        </w:rPr>
      </w:pPr>
      <w:bookmarkStart w:id="1100" w:name="_Toc110535999"/>
      <w:r>
        <w:rPr>
          <w:rFonts w:cs="Calibri" w:ascii="Calibri" w:hAnsi="Calibri" w:asciiTheme="minorHAnsi" w:cstheme="minorHAnsi" w:hAnsiTheme="minorHAnsi"/>
          <w:b/>
          <w:lang w:val="ro-RO"/>
        </w:rPr>
        <w:t>Obiectiv general VII: Susținerea digitalizării și a inovației financiare</w:t>
      </w:r>
      <w:bookmarkEnd w:id="1100"/>
    </w:p>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t xml:space="preserve">Potrivit definiției Băncii Centrale Europene, </w:t>
      </w:r>
      <w:r>
        <w:rPr>
          <w:rFonts w:cs="Calibri" w:cstheme="minorHAnsi"/>
          <w:b/>
          <w:lang w:val="ro-RO"/>
        </w:rPr>
        <w:t>fintech</w:t>
      </w:r>
      <w:r>
        <w:rPr>
          <w:rFonts w:cs="Calibri" w:cstheme="minorHAnsi"/>
          <w:lang w:val="ro-RO"/>
        </w:rPr>
        <w:t xml:space="preserve"> reprezintă „</w:t>
      </w:r>
      <w:r>
        <w:rPr>
          <w:rFonts w:cs="Calibri" w:cstheme="minorHAnsi"/>
          <w:i/>
          <w:lang w:val="ro-RO"/>
        </w:rPr>
        <w:t>inovație financiară bazată pe tehnologie care ar putea avea ca rezultat noi modele de afaceri, aplicații, procese sau produse cu un efect material asociat asupra piețelor și instituțiilor financiare și prestării de servicii financiare</w:t>
      </w:r>
      <w:r>
        <w:rPr>
          <w:rFonts w:cs="Calibri" w:cstheme="minorHAnsi"/>
          <w:lang w:val="ro-RO"/>
        </w:rPr>
        <w:t>”.</w:t>
      </w:r>
    </w:p>
    <w:p>
      <w:pPr>
        <w:pStyle w:val="Normal"/>
        <w:spacing w:before="160" w:after="160"/>
        <w:jc w:val="both"/>
        <w:rPr>
          <w:rFonts w:cs="Calibri" w:cstheme="minorHAnsi"/>
          <w:lang w:val="ro-RO"/>
        </w:rPr>
      </w:pPr>
      <w:r>
        <w:rPr>
          <w:rFonts w:cs="Calibri" w:cstheme="minorHAnsi"/>
          <w:lang w:val="ro-RO"/>
        </w:rPr>
        <w:t>Fintech are capacitatea de a îmbunătății accesul persoanelor și firmelor la servicii financiare, precum și de a conduce la noi produse financiare care să servească mai bine nevoile participanților la piețele financiare.   Activitatea fintech se poate împărți în două direcții principale – furnizori de servicii financiare și furnizori de tehnologie și servicii suport.</w:t>
      </w:r>
    </w:p>
    <w:p>
      <w:pPr>
        <w:pStyle w:val="Normal"/>
        <w:spacing w:before="160" w:after="160"/>
        <w:jc w:val="both"/>
        <w:rPr>
          <w:rFonts w:cs="Calibri" w:cstheme="minorHAnsi"/>
          <w:lang w:val="ro-RO"/>
        </w:rPr>
      </w:pPr>
      <w:r>
        <w:rPr>
          <w:rFonts w:cs="Calibri" w:cstheme="minorHAnsi"/>
          <w:lang w:val="ro-RO"/>
        </w:rPr>
        <w:t xml:space="preserve">În data de 24 septembrie 2020, Comisia Europeană (CE) a adoptat un pachet privind finanțele digitale, care include strategia privind finanțele digitale și propuneri legislative privind cripto-activele și reziliența digitală. Prin acest pachet, CE își propune să sprijine dezvoltarea competitivă a sectorului financiar al UE și să ofere consumatorilor acces la produse financiare inovatoare, asigurând, în același timp, protecție consumatorilor și stabilitate piețelor. </w:t>
      </w:r>
    </w:p>
    <w:p>
      <w:pPr>
        <w:pStyle w:val="Normal"/>
        <w:spacing w:before="160" w:after="160"/>
        <w:jc w:val="both"/>
        <w:rPr>
          <w:rFonts w:cs="Calibri" w:cstheme="minorHAnsi"/>
          <w:lang w:val="ro-RO"/>
        </w:rPr>
      </w:pPr>
      <w:r>
        <w:rPr>
          <w:rFonts w:cs="Calibri" w:cstheme="minorHAnsi"/>
          <w:lang w:val="ro-RO"/>
        </w:rPr>
        <w:t>În cazul piețelor financiare nebancare, stadiul actual al piețelor conduce la idee că există o oportunitate de a stimula digitalizarea și inovarea în domeniul financiar, iar autoritatea poate avea un rol important în această direcție.</w:t>
      </w:r>
    </w:p>
    <w:p>
      <w:pPr>
        <w:pStyle w:val="Normal"/>
        <w:spacing w:before="160" w:after="160"/>
        <w:jc w:val="both"/>
        <w:rPr>
          <w:rFonts w:cs="Calibri" w:cstheme="minorHAnsi"/>
          <w:lang w:val="ro-RO"/>
        </w:rPr>
      </w:pPr>
      <w:r>
        <w:rPr>
          <w:rFonts w:cs="Calibri" w:cstheme="minorHAnsi"/>
          <w:lang w:val="ro-RO"/>
        </w:rPr>
        <w:t xml:space="preserve">În trend cu cele mai bune practici pe plan internațional, ASF încurajează piețele financiare care pun la dispoziția consumatorilor servicii financiare competitive și sigure. În acest scop, autoritatea este implicată activ în susținerea inovației tehnologice în domeniul financiar, cu scopul de a conduce la un mediu favorabil și o reglementare modernă, menținând în același timp stabilitatea piețelor și protejând drepturile consumatorilor. </w:t>
      </w:r>
    </w:p>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r>
    </w:p>
    <w:p>
      <w:pPr>
        <w:pStyle w:val="Normal"/>
        <w:spacing w:before="160" w:after="160"/>
        <w:jc w:val="both"/>
        <w:rPr>
          <w:rFonts w:cs="Calibri" w:cstheme="minorHAnsi"/>
          <w:lang w:val="ro-RO"/>
        </w:rPr>
      </w:pPr>
      <w:r>
        <w:rPr>
          <w:rFonts w:cs="Calibri" w:cstheme="minorHAnsi"/>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Obiective specifice privind susținerea inovației financiare</w:t>
      </w:r>
    </w:p>
    <w:p>
      <w:pPr>
        <w:pStyle w:val="Normal"/>
        <w:numPr>
          <w:ilvl w:val="0"/>
          <w:numId w:val="8"/>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VII.1: </w:t>
      </w:r>
      <w:r>
        <w:rPr>
          <w:rFonts w:cs="Calibri" w:cstheme="minorHAnsi"/>
          <w:lang w:val="ro-RO"/>
        </w:rPr>
        <w:t>Sprijinirea participanților pe piețe financiare nebancare</w:t>
      </w:r>
      <w:r>
        <w:rPr>
          <w:rFonts w:cs="Calibri" w:cstheme="minorHAnsi"/>
          <w:b/>
          <w:lang w:val="ro-RO"/>
        </w:rPr>
        <w:t xml:space="preserve"> </w:t>
      </w:r>
      <w:r>
        <w:rPr>
          <w:rFonts w:cs="Calibri" w:cstheme="minorHAnsi"/>
          <w:lang w:val="ro-RO"/>
        </w:rPr>
        <w:t xml:space="preserve">pentru aplicarea cadrului european în domeniul </w:t>
      </w:r>
      <w:r>
        <w:rPr>
          <w:rFonts w:cs="Calibri" w:cstheme="minorHAnsi"/>
          <w:i/>
          <w:lang w:val="ro-RO"/>
        </w:rPr>
        <w:t>Finanțelor Digitale.</w:t>
      </w:r>
    </w:p>
    <w:p>
      <w:pPr>
        <w:pStyle w:val="Normal"/>
        <w:numPr>
          <w:ilvl w:val="0"/>
          <w:numId w:val="8"/>
        </w:numPr>
        <w:spacing w:before="160" w:after="160"/>
        <w:ind w:left="360" w:hanging="360"/>
        <w:jc w:val="both"/>
        <w:rPr>
          <w:rFonts w:cs="Calibri" w:cstheme="minorHAnsi"/>
          <w:lang w:val="ro-RO"/>
        </w:rPr>
      </w:pPr>
      <w:r>
        <w:rPr>
          <w:rFonts w:cs="Calibri" w:cstheme="minorHAnsi"/>
          <w:b/>
          <w:color w:val="2F5496" w:themeColor="accent5" w:themeShade="bf"/>
          <w:lang w:val="ro-RO"/>
        </w:rPr>
        <w:t xml:space="preserve">Obiectiv specific VII.2: </w:t>
      </w:r>
      <w:r>
        <w:rPr>
          <w:rFonts w:cs="Calibri" w:cstheme="minorHAnsi"/>
          <w:lang w:val="ro-RO"/>
        </w:rPr>
        <w:t>Creșterea competitivității pieței de capital din România prin utilizarea noilor tehnologii DLT în rândul entităților care asigură infrastructura pieței prin dezvoltarea și implementarea unui proiect pilot pentru un sistem de tranzacționare și sistem de decontare bazat pe tehnologia registrelor distribuite (DLT), în conformitate cu cadrul european în domeniu în vigoare.</w:t>
      </w:r>
    </w:p>
    <w:p>
      <w:pPr>
        <w:pStyle w:val="Normal"/>
        <w:spacing w:before="160" w:after="160"/>
        <w:ind w:left="360" w:hanging="0"/>
        <w:jc w:val="both"/>
        <w:rPr>
          <w:rFonts w:cs="Calibri" w:cstheme="minorHAnsi"/>
          <w:lang w:val="ro-RO"/>
        </w:rPr>
      </w:pPr>
      <w:r>
        <w:rPr>
          <w:rFonts w:cs="Calibri" w:cstheme="minorHAnsi"/>
          <w:lang w:val="ro-RO"/>
        </w:rPr>
      </w:r>
    </w:p>
    <w:p>
      <w:pPr>
        <w:pStyle w:val="Heading3"/>
        <w:shd w:val="clear" w:color="auto" w:fill="DEEAF6"/>
        <w:spacing w:before="0" w:after="160"/>
        <w:jc w:val="both"/>
        <w:rPr>
          <w:rFonts w:eastAsia="Times New Roman"/>
          <w:lang w:val="ro-RO"/>
        </w:rPr>
      </w:pPr>
      <w:bookmarkStart w:id="1101" w:name="_Toc110536000"/>
      <w:r>
        <w:rPr>
          <w:rFonts w:eastAsia="Times New Roman" w:cs="Calibri" w:ascii="Calibri" w:hAnsi="Calibri"/>
          <w:b/>
          <w:bCs/>
          <w:lang w:val="ro-RO"/>
        </w:rPr>
        <w:t>Obiectiv general VIII: Susținerea dezvoltării pieței locale de capital privat (</w:t>
      </w:r>
      <w:r>
        <w:rPr>
          <w:rFonts w:eastAsia="Times New Roman" w:cs="Calibri" w:ascii="Calibri" w:hAnsi="Calibri"/>
          <w:b/>
          <w:bCs/>
          <w:i/>
          <w:iCs/>
          <w:lang w:val="ro-RO"/>
        </w:rPr>
        <w:t>private equity</w:t>
      </w:r>
      <w:r>
        <w:rPr>
          <w:rFonts w:eastAsia="Times New Roman" w:cs="Calibri" w:ascii="Calibri" w:hAnsi="Calibri"/>
          <w:b/>
          <w:bCs/>
          <w:lang w:val="ro-RO"/>
        </w:rPr>
        <w:t>) și de capital de risc (</w:t>
      </w:r>
      <w:r>
        <w:rPr>
          <w:rFonts w:eastAsia="Times New Roman" w:cs="Calibri" w:ascii="Calibri" w:hAnsi="Calibri"/>
          <w:b/>
          <w:bCs/>
          <w:i/>
          <w:iCs/>
          <w:lang w:val="ro-RO"/>
        </w:rPr>
        <w:t>venture capital</w:t>
      </w:r>
      <w:r>
        <w:rPr>
          <w:rFonts w:eastAsia="Times New Roman" w:cs="Calibri" w:ascii="Calibri" w:hAnsi="Calibri"/>
          <w:b/>
          <w:bCs/>
          <w:lang w:val="ro-RO"/>
        </w:rPr>
        <w:t>)</w:t>
      </w:r>
      <w:bookmarkEnd w:id="1101"/>
    </w:p>
    <w:p>
      <w:pPr>
        <w:pStyle w:val="Normal"/>
        <w:spacing w:before="160" w:after="160"/>
        <w:jc w:val="both"/>
        <w:rPr>
          <w:lang w:val="ro-RO"/>
        </w:rPr>
      </w:pPr>
      <w:r>
        <w:rPr>
          <w:lang w:val="ro-RO"/>
        </w:rPr>
      </w:r>
    </w:p>
    <w:p>
      <w:pPr>
        <w:pStyle w:val="Normal"/>
        <w:spacing w:before="160" w:after="160"/>
        <w:jc w:val="both"/>
        <w:rPr>
          <w:lang w:val="ro-RO"/>
        </w:rPr>
      </w:pPr>
      <w:r>
        <w:rPr>
          <w:lang w:val="ro-RO"/>
        </w:rPr>
        <w:t xml:space="preserve">FIA înființate care utilizează strategii investiționale de tip private equity (PE) sau venture capital (VC) reprezintă un segment nou în cadrul industriei fondurilor de investiții alternative din România, motiv pentru care autoritatea s-a implicat în mod activ începând cu anul 2021 pentru dezvoltarea acestui segment (esențiale pentru acoperirea necesarului de finanțare a IMM-urilor și care încă nu îndeplinesc cerințele de eligibilitate pentru listarea pe o piață reglementată sau pe un sistem multilateral de tranzacționare, precum AeRO). </w:t>
      </w:r>
    </w:p>
    <w:p>
      <w:pPr>
        <w:pStyle w:val="Normal"/>
        <w:spacing w:before="160" w:after="160"/>
        <w:jc w:val="both"/>
        <w:rPr>
          <w:lang w:val="ro-RO"/>
        </w:rPr>
      </w:pPr>
      <w:r>
        <w:rPr>
          <w:lang w:val="ro-RO"/>
        </w:rPr>
        <w:t>În prima etapă, a fost emis Regulamentul ASF nr. 11/2011 care a modificat Regulamentul ASF nr. 10/2015 privind administrarea fondurilor de investiţii alternative. Prin acest act normativ, s-a facilitat procesul de înregistrare a administratorilor de fonduri de investitii alternative (AFIA) care administrează FIA destinate investitorilor profesionali (intitulat „</w:t>
      </w:r>
      <w:r>
        <w:rPr>
          <w:bCs/>
          <w:i/>
          <w:iCs/>
          <w:lang w:val="ro-RO"/>
        </w:rPr>
        <w:t>AIFMD Light Regime</w:t>
      </w:r>
      <w:r>
        <w:rPr>
          <w:lang w:val="ro-RO"/>
        </w:rPr>
        <w:t>”). Pe cale de consecință, în perioada 2021-2022, au fost înregistrați 3 noi administratori conform acestui nou tip de licență, astfel că numărul de administratori stabiliți în România a crescut cu circa 15%.</w:t>
      </w:r>
    </w:p>
    <w:p>
      <w:pPr>
        <w:pStyle w:val="Normal"/>
        <w:spacing w:before="160" w:after="160"/>
        <w:jc w:val="both"/>
        <w:rPr>
          <w:strike/>
          <w:lang w:val="ro-RO"/>
        </w:rPr>
      </w:pPr>
      <w:r>
        <w:rPr>
          <w:lang w:val="ro-RO"/>
        </w:rPr>
        <w:t>În continuare, în etapa a doua, în anul 2022, autoritatea  analizează cadrul de reglementare în materie de FIA (fonduri de investiții alternative), în vederea facilitării creării unor vehicule investiționale dedicate nevoilor investitorilor profesionali și semi-profesionali. În acest sens, în colaborare cu un grup consultativ format din reprezentanți ai industriei locale de profil, autoritatea elaborează un proiect de act normativ dedicat reformei în domeniul FIA.</w:t>
      </w:r>
    </w:p>
    <w:p>
      <w:pPr>
        <w:pStyle w:val="Normal"/>
        <w:spacing w:before="160" w:after="160"/>
        <w:jc w:val="both"/>
        <w:rPr>
          <w:lang w:val="ro-RO"/>
        </w:rPr>
      </w:pPr>
      <w:r>
        <w:rPr>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Obiective specifice privind susținerea dezvoltării pieței locale de capital privat (PE) și de capital de risc (VC)</w:t>
      </w:r>
    </w:p>
    <w:p>
      <w:pPr>
        <w:pStyle w:val="Normal"/>
        <w:numPr>
          <w:ilvl w:val="0"/>
          <w:numId w:val="8"/>
        </w:numPr>
        <w:spacing w:before="160" w:after="160"/>
        <w:ind w:left="360" w:hanging="360"/>
        <w:jc w:val="both"/>
        <w:rPr>
          <w:rFonts w:cs="Calibri" w:cstheme="minorHAnsi"/>
          <w:b/>
          <w:b/>
          <w:color w:val="2F5496" w:themeColor="accent5" w:themeShade="bf"/>
          <w:lang w:val="ro-RO"/>
        </w:rPr>
      </w:pPr>
      <w:r>
        <w:rPr>
          <w:rFonts w:cs="Calibri" w:cstheme="minorHAnsi"/>
          <w:b/>
          <w:color w:val="2F5496" w:themeColor="accent5" w:themeShade="bf"/>
          <w:lang w:val="ro-RO"/>
        </w:rPr>
        <w:t xml:space="preserve">Obiectiv specific VIII.1: </w:t>
      </w:r>
      <w:r>
        <w:rPr>
          <w:rFonts w:cs="Calibri" w:cstheme="minorHAnsi"/>
          <w:color w:val="2F5496" w:themeColor="accent5" w:themeShade="bf"/>
          <w:lang w:val="ro-RO"/>
        </w:rPr>
        <w:t xml:space="preserve"> </w:t>
      </w:r>
      <w:r>
        <w:rPr>
          <w:rFonts w:cs="Calibri" w:cstheme="minorHAnsi"/>
          <w:lang w:val="ro-RO"/>
        </w:rPr>
        <w:t>Revizuirea legislației naționale (primare și secundare) pentru facilitarea înființării de FIA de tip înregistrat („AIF Light Regime”).</w:t>
      </w:r>
    </w:p>
    <w:p>
      <w:pPr>
        <w:pStyle w:val="Normal"/>
        <w:jc w:val="both"/>
        <w:rPr>
          <w:rFonts w:cs="Calibri" w:cstheme="minorHAnsi"/>
          <w:lang w:val="ro-RO"/>
        </w:rPr>
      </w:pPr>
      <w:r>
        <w:rPr>
          <w:rFonts w:cs="Calibri" w:cstheme="minorHAnsi"/>
          <w:lang w:val="ro-RO"/>
        </w:rPr>
      </w:r>
    </w:p>
    <w:p>
      <w:pPr>
        <w:pStyle w:val="Heading3"/>
        <w:shd w:val="clear" w:color="auto" w:fill="DEEAF6"/>
        <w:spacing w:before="0" w:after="160"/>
        <w:jc w:val="both"/>
        <w:rPr>
          <w:rFonts w:eastAsia="Times New Roman"/>
          <w:lang w:val="ro-RO"/>
        </w:rPr>
      </w:pPr>
      <w:bookmarkStart w:id="1102" w:name="_Toc110536001"/>
      <w:r>
        <w:rPr>
          <w:rFonts w:eastAsia="Times New Roman" w:cs="Calibri" w:ascii="Calibri" w:hAnsi="Calibri"/>
          <w:b/>
          <w:bCs/>
          <w:lang w:val="ro-RO"/>
        </w:rPr>
        <w:t>Obiectiv general IX: Stimularea investițiilor verzi</w:t>
      </w:r>
      <w:bookmarkEnd w:id="1102"/>
    </w:p>
    <w:p>
      <w:pPr>
        <w:pStyle w:val="Normal"/>
        <w:jc w:val="both"/>
        <w:rPr>
          <w:lang w:val="ro-RO"/>
        </w:rPr>
      </w:pPr>
      <w:r>
        <w:rPr>
          <w:lang w:val="ro-RO"/>
        </w:rPr>
        <w:t>Finanțarea sustenabilă (sau durabilă) reprezintă un element cheie în îndeplinirea obiectivelor politice ale Pactului Ecologic European (</w:t>
      </w:r>
      <w:r>
        <w:rPr>
          <w:i/>
          <w:lang w:val="ro-RO"/>
        </w:rPr>
        <w:t>European Green Deal</w:t>
      </w:r>
      <w:r>
        <w:rPr>
          <w:lang w:val="ro-RO"/>
        </w:rPr>
        <w:t xml:space="preserve">), lansat de Comisia Europeană în 2019, precum și a angajamentelor internaționale ale UE privind clima și durabilitatea, contribuind la canalizarea investițiilor private în tranziția către o economie neutră din punct de vedere climatic, rezistentă în fața schimbărilor climatice, eficientă din punct de vedere al resurselor și echitabilă. Totodată, în urma impactului pandemiei COVID19, fondurile europene alocate statelor membre prin Mecanismul European de Redresare și Reziliență sunt corelate cu obiective privind economii sustenabile și digitalizare.  </w:t>
      </w:r>
    </w:p>
    <w:p>
      <w:pPr>
        <w:pStyle w:val="Normal"/>
        <w:jc w:val="both"/>
        <w:rPr>
          <w:lang w:val="ro-RO"/>
        </w:rPr>
      </w:pPr>
      <w:r>
        <w:rPr>
          <w:lang w:val="ro-RO"/>
        </w:rPr>
        <w:t>În vederea implementării obiectivelor din Pactul Ecologic European, pe data de 29 iulie 2021 a intrat în vigoare la nivelul Uniunii Europene „Legea europeană a climei”, respectiv Regulamentul (UE) 2021/1119 de instituire a cadrului pentru realizarea neutralității climatice și de modificare a Regulamentelor (CE) nr. 401/2009 și (UE) 2018/1999. Prin această lege, se va garanta că toate politicile UE contribuie la acest obiectiv și că toate sectoarele economiei și societății se implică în acest demers.</w:t>
      </w:r>
    </w:p>
    <w:p>
      <w:pPr>
        <w:pStyle w:val="Normal"/>
        <w:jc w:val="both"/>
        <w:rPr>
          <w:lang w:val="ro-RO"/>
        </w:rPr>
      </w:pPr>
      <w:r>
        <w:rPr>
          <w:lang w:val="ro-RO"/>
        </w:rPr>
        <w:t xml:space="preserve">Finanțarea sustenabilă are ca scop îmbunătățirea sectorului financiar pentru a susține dezvoltarea durabilă în contextul luptei împotriva schimbărilor climatice. Aceasta implică luarea în considerare de către entitățile sectorului financiar a factorilor de mediu, sociali și de guvernanță (factori ESG – </w:t>
      </w:r>
      <w:r>
        <w:rPr>
          <w:i/>
          <w:lang w:val="ro-RO"/>
        </w:rPr>
        <w:t>Environmental, Social, Governance</w:t>
      </w:r>
      <w:r>
        <w:rPr>
          <w:lang w:val="ro-RO"/>
        </w:rPr>
        <w:t xml:space="preserve">), urmărindu-se astfel orientarea investițiilor pe termen mai lung în activități și proiecte economice durabile. </w:t>
      </w:r>
    </w:p>
    <w:p>
      <w:pPr>
        <w:pStyle w:val="Normal"/>
        <w:jc w:val="both"/>
        <w:rPr>
          <w:lang w:val="ro-RO"/>
        </w:rPr>
      </w:pPr>
      <w:r>
        <w:rPr>
          <w:lang w:val="ro-RO"/>
        </w:rPr>
        <w:t>Pe lângă mecanismele de finanțare pentru susținerea proiectelor durabile oferite prin intermediul piețelor bancare și piețelor de instrumente financiare, investitorii instituționali, precum fondurile de investiții, fondurile de pensii private și societățile de asigurări au un rol important în tranziția către o economie verde, prin plasarea disponibilităților financiare pe termen mediu și lung.</w:t>
      </w:r>
    </w:p>
    <w:p>
      <w:pPr>
        <w:pStyle w:val="Normal"/>
        <w:jc w:val="both"/>
        <w:rPr>
          <w:lang w:val="ro-RO"/>
        </w:rPr>
      </w:pPr>
      <w:r>
        <w:rPr>
          <w:lang w:val="ro-RO"/>
        </w:rPr>
      </w:r>
    </w:p>
    <w:p>
      <w:pPr>
        <w:pStyle w:val="Normal"/>
        <w:pBdr>
          <w:bottom w:val="single" w:sz="4" w:space="1" w:color="BDD6EE"/>
        </w:pBdr>
        <w:spacing w:before="160" w:after="160"/>
        <w:jc w:val="both"/>
        <w:rPr>
          <w:rFonts w:cs="Calibri" w:cstheme="minorHAnsi"/>
          <w:b/>
          <w:b/>
          <w:color w:val="1F3864" w:themeColor="accent5" w:themeShade="80"/>
          <w:lang w:val="ro-RO"/>
        </w:rPr>
      </w:pPr>
      <w:r>
        <w:rPr>
          <w:rFonts w:cs="Calibri" w:cstheme="minorHAnsi"/>
          <w:b/>
          <w:color w:val="1F3864" w:themeColor="accent5" w:themeShade="80"/>
          <w:lang w:val="ro-RO"/>
        </w:rPr>
        <w:t xml:space="preserve">Obiective specifice pentru stimularea investițiilor verzi </w:t>
      </w:r>
    </w:p>
    <w:p>
      <w:pPr>
        <w:pStyle w:val="ListParagraph"/>
        <w:numPr>
          <w:ilvl w:val="0"/>
          <w:numId w:val="8"/>
        </w:numPr>
        <w:spacing w:before="0" w:after="160"/>
        <w:ind w:left="360" w:hanging="360"/>
        <w:jc w:val="both"/>
        <w:rPr>
          <w:rFonts w:cs="Calibri" w:cstheme="minorHAnsi"/>
          <w:lang w:val="ro-RO"/>
        </w:rPr>
      </w:pPr>
      <w:r>
        <w:rPr>
          <w:rFonts w:cs="Calibri" w:cstheme="minorHAnsi"/>
          <w:b/>
          <w:color w:val="2F5496" w:themeColor="accent5" w:themeShade="bf"/>
          <w:lang w:val="ro-RO"/>
        </w:rPr>
        <w:t xml:space="preserve">Obiectiv specific IX.1: </w:t>
      </w:r>
      <w:r>
        <w:rPr>
          <w:rFonts w:eastAsia="SimSun" w:cs="Calibri"/>
          <w:lang w:val="fr-FR" w:eastAsia="ro-RO"/>
        </w:rPr>
        <w:t>Emiterea de obligațiuni guvernamentale/suverane verzi/sustenabile</w:t>
      </w:r>
      <w:r>
        <w:rPr>
          <w:rFonts w:cs="Calibri"/>
          <w:lang w:val="fr-FR"/>
        </w:rPr>
        <w:t xml:space="preserve"> </w:t>
      </w:r>
    </w:p>
    <w:p>
      <w:pPr>
        <w:pStyle w:val="Normal"/>
        <w:jc w:val="both"/>
        <w:rPr>
          <w:rFonts w:cs="Calibri" w:cstheme="minorHAnsi"/>
          <w:lang w:val="ro-RO"/>
        </w:rPr>
      </w:pPr>
      <w:r>
        <w:rPr>
          <w:rFonts w:cs="Calibri" w:cstheme="minorHAnsi"/>
          <w:lang w:val="ro-RO"/>
        </w:rPr>
        <w:t xml:space="preserve">Piața obligațiunilor verzi este foarte dinamică, al cărei volum a crescut exponențial in ultimii ani iar apetitul investitorilor pentru obligațiunile verzi recomandă aceste instrumente ca reper privind direcția de evoluție a instrumentelor de finanțare inovatoare și sustenabile, atât la nivel corporatist cât și suveran. Dinamica și perspectivele pieței obligațiunilor verzi sunt determinate de atractivitatea investițiilor ce vizează dezvoltarea durabilă (elemente de mediu, social și guvernare – ESG) care oferă posibilități largi de diversificare a portofoliilor de investiții într-un domeniu vast aflat în plină expansiune. </w:t>
      </w:r>
    </w:p>
    <w:p>
      <w:pPr>
        <w:pStyle w:val="Normal"/>
        <w:jc w:val="both"/>
        <w:rPr>
          <w:rFonts w:cs="Calibri" w:cstheme="minorHAnsi"/>
          <w:lang w:val="ro-RO"/>
        </w:rPr>
      </w:pPr>
      <w:r>
        <w:rPr>
          <w:rFonts w:cs="Calibri" w:cstheme="minorHAnsi"/>
          <w:lang w:val="ro-RO"/>
        </w:rPr>
        <w:t>Prin emisiunea de obligațiuni verzi, emitenții își asumă și demonstrează investitorilor și societății angajamentul pentru finanțarea sau dezvoltarea proiectelor sustenabile cu impact pozitiv asupra mediului. Pentru demararea cadrului de finanțare a proiectelor verzi la nivel guvernamental si dezvoltarea celui din sectorul privat, sunt necesare eforturi conjugate, ale tuturor factorilor implicați in acest proces pentru dezvoltarea pieței de capital care poate sa contribuie la finanțarea companiilor autohtone. În acest sens, Ministerul Finanțelor are ca obiectiv pentru perioada următoare crearea cadrului general aplicabil pentru emiterea de obligațiuni verzi la nivel suveran. Obligațiunile verzi sunt emise în baza unui Cadru care conține o descriere a strategiei de sustenabilitate a emitentului, a proiectelor eligibile pentru finanțare precum și a cadrului intern de guvernanță pentru gestionarea acestor proiecte.</w:t>
      </w:r>
    </w:p>
    <w:p>
      <w:pPr>
        <w:pStyle w:val="Normal"/>
        <w:jc w:val="both"/>
        <w:rPr>
          <w:rFonts w:cs="Calibri" w:cstheme="minorHAnsi"/>
          <w:lang w:val="ro-RO"/>
        </w:rPr>
      </w:pPr>
      <w:r>
        <w:rPr>
          <w:rFonts w:cs="Calibri" w:cstheme="minorHAnsi"/>
          <w:lang w:val="ro-RO"/>
        </w:rPr>
        <w:t>Ministerul Finanțelor, în calitate de administrator al datoriei publice, va coordona procesul de pregătire si lansare efectivă a obligațiunilor verzi (in linie cu principiile Taxonomiei UE și cu standardul privind obligațiunile verzi europene - EuGB) și de raportare periodică către mediul investițional a fondurilor alocate pentru cheltuielile eligibile, proces care se va desfășura pe termen mediu și care va contribui la realizarea obiectivelor strategice privind diversificarea instrumentelor de finanțare.</w:t>
      </w:r>
    </w:p>
    <w:p>
      <w:pPr>
        <w:pStyle w:val="ListParagraph"/>
        <w:numPr>
          <w:ilvl w:val="0"/>
          <w:numId w:val="8"/>
        </w:numPr>
        <w:spacing w:before="0" w:after="160"/>
        <w:ind w:left="360" w:hanging="360"/>
        <w:jc w:val="both"/>
        <w:rPr>
          <w:rFonts w:cs="Calibri" w:cstheme="minorHAnsi"/>
          <w:lang w:val="ro-RO"/>
        </w:rPr>
      </w:pPr>
      <w:r>
        <w:rPr>
          <w:rFonts w:cs="Calibri" w:cstheme="minorHAnsi"/>
          <w:b/>
          <w:color w:val="2F5496" w:themeColor="accent5" w:themeShade="bf"/>
          <w:lang w:val="ro-RO"/>
        </w:rPr>
        <w:t>Obiectiv specific IX.2:</w:t>
      </w:r>
      <w:r>
        <w:rPr>
          <w:rFonts w:cs="Calibri" w:cstheme="minorHAnsi"/>
          <w:color w:val="2F5496" w:themeColor="accent5" w:themeShade="bf"/>
          <w:lang w:val="ro-RO"/>
        </w:rPr>
        <w:t xml:space="preserve"> </w:t>
      </w:r>
      <w:r>
        <w:rPr>
          <w:rFonts w:cs="Calibri" w:cstheme="minorHAnsi"/>
          <w:lang w:val="ro-RO"/>
        </w:rPr>
        <w:t>Creșterea gradului de conștientizare în rândul potențialilor investitori cu privire la oportunitățile oferite de investițiile în produse care promovează caracteristici de mediu și/sau sociale sau care au ca obiectiv investițiile durabile.</w:t>
      </w:r>
    </w:p>
    <w:p>
      <w:pPr>
        <w:pStyle w:val="ListParagraph"/>
        <w:numPr>
          <w:ilvl w:val="0"/>
          <w:numId w:val="8"/>
        </w:numPr>
        <w:ind w:left="360" w:hanging="360"/>
        <w:jc w:val="both"/>
        <w:rPr>
          <w:rFonts w:cs="Calibri" w:cstheme="minorHAnsi"/>
          <w:lang w:val="ro-RO"/>
        </w:rPr>
      </w:pPr>
      <w:r>
        <w:rPr>
          <w:rFonts w:cs="Calibri" w:cstheme="minorHAnsi"/>
          <w:b/>
          <w:color w:val="2F5496" w:themeColor="accent5" w:themeShade="bf"/>
          <w:lang w:val="ro-RO"/>
        </w:rPr>
        <w:t xml:space="preserve">Obiectiv specific IX.3: </w:t>
      </w:r>
      <w:r>
        <w:rPr>
          <w:rFonts w:cs="Calibri" w:cstheme="minorHAnsi"/>
          <w:lang w:val="ro-RO"/>
        </w:rPr>
        <w:t>Creșterea gradului de conștientizare în rândul  emitenților privind alinierea la prevederile art. 8 din Regulamentul (UE) 2020/852 al Parlamentului European și al Consiliului din 18 iunie 2020 privind instituirea unui cadru care să faciliteze investițiile durabile și de modificare a Regulamentului (UE) 2019/2088 și creșterea calității raportărilor non-financiare.</w:t>
      </w:r>
    </w:p>
    <w:p>
      <w:pPr>
        <w:pStyle w:val="Normal"/>
        <w:rPr>
          <w:rFonts w:cs="Calibri" w:cstheme="minorHAnsi"/>
          <w:strike/>
          <w:lang w:val="ro-RO"/>
        </w:rPr>
      </w:pPr>
      <w:r>
        <w:rPr>
          <w:rFonts w:cs="Calibri" w:cstheme="minorHAnsi"/>
          <w:strike/>
          <w:lang w:val="ro-RO"/>
        </w:rPr>
      </w:r>
    </w:p>
    <w:p>
      <w:pPr>
        <w:pStyle w:val="Normal"/>
        <w:rPr>
          <w:rFonts w:cs="Calibri" w:cstheme="minorHAnsi"/>
          <w:strike/>
          <w:lang w:val="ro-RO"/>
        </w:rPr>
      </w:pPr>
      <w:r>
        <w:rPr>
          <w:rFonts w:cs="Calibri" w:cstheme="minorHAnsi"/>
          <w:strike/>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103" w:name="_Toc110536002"/>
      <w:r>
        <w:rPr>
          <w:rFonts w:cs="Calibri" w:ascii="Calibri" w:hAnsi="Calibri" w:asciiTheme="minorHAnsi" w:cstheme="minorHAnsi" w:hAnsiTheme="minorHAnsi"/>
          <w:b/>
          <w:sz w:val="28"/>
          <w:lang w:val="ro-RO"/>
        </w:rPr>
        <w:t>Programe – direcțiile de acțiune care vor sprijini atingerea obiectivelor și implementarea strategiei</w:t>
      </w:r>
      <w:bookmarkEnd w:id="1103"/>
      <w:r>
        <w:rPr>
          <w:rFonts w:cs="Calibri" w:ascii="Calibri" w:hAnsi="Calibri" w:asciiTheme="minorHAnsi" w:cstheme="minorHAnsi" w:hAnsiTheme="minorHAnsi"/>
          <w:b/>
          <w:sz w:val="28"/>
          <w:lang w:val="ro-RO"/>
        </w:rPr>
        <w:t xml:space="preserve"> </w:t>
      </w:r>
    </w:p>
    <w:p>
      <w:pPr>
        <w:pStyle w:val="Normal"/>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pStyle w:val="Normal"/>
        <w:jc w:val="both"/>
        <w:rPr>
          <w:rFonts w:cs="Calibri" w:cstheme="minorHAnsi"/>
          <w:lang w:val="ro-RO"/>
        </w:rPr>
      </w:pPr>
      <w:r>
        <w:rPr>
          <w:rFonts w:cs="Calibri" w:cstheme="minorHAnsi"/>
          <w:lang w:val="ro-RO"/>
        </w:rPr>
        <w:t>Pentru îndeplinirea celor nouă obiective generale și a obiectivelor specifice aferente fiecăruia dintre acestea, vor fi aplicate urmtătoarele direcții mari de acțiune:</w:t>
      </w:r>
    </w:p>
    <w:p>
      <w:pPr>
        <w:pStyle w:val="ListParagraph"/>
        <w:numPr>
          <w:ilvl w:val="0"/>
          <w:numId w:val="25"/>
        </w:numPr>
        <w:rPr>
          <w:rFonts w:cs="Calibri" w:cstheme="minorHAnsi"/>
          <w:lang w:val="ro-RO"/>
        </w:rPr>
      </w:pPr>
      <w:r>
        <w:rPr>
          <w:rFonts w:cs="Calibri" w:cstheme="minorHAnsi"/>
          <w:lang w:val="ro-RO"/>
        </w:rPr>
        <w:t>Revizuirea / completarea / modificarea cadrului de reglementare</w:t>
      </w:r>
    </w:p>
    <w:p>
      <w:pPr>
        <w:pStyle w:val="ListParagraph"/>
        <w:numPr>
          <w:ilvl w:val="0"/>
          <w:numId w:val="25"/>
        </w:numPr>
        <w:rPr>
          <w:rFonts w:cs="Calibri" w:cstheme="minorHAnsi"/>
          <w:lang w:val="ro-RO"/>
        </w:rPr>
      </w:pPr>
      <w:r>
        <w:rPr>
          <w:rFonts w:cs="Calibri" w:cstheme="minorHAnsi"/>
          <w:lang w:val="ro-RO"/>
        </w:rPr>
        <w:t>Organizarea de campanii de promvare / informare / conștientizare</w:t>
      </w:r>
    </w:p>
    <w:p>
      <w:pPr>
        <w:pStyle w:val="ListParagraph"/>
        <w:numPr>
          <w:ilvl w:val="0"/>
          <w:numId w:val="25"/>
        </w:numPr>
        <w:rPr>
          <w:rFonts w:cs="Calibri" w:cstheme="minorHAnsi"/>
          <w:lang w:val="ro-RO"/>
        </w:rPr>
      </w:pPr>
      <w:r>
        <w:rPr>
          <w:rFonts w:cs="Calibri" w:cstheme="minorHAnsi"/>
          <w:lang w:val="ro-RO"/>
        </w:rPr>
        <w:t>Acordarea de consultanță / consiliere</w:t>
      </w:r>
    </w:p>
    <w:p>
      <w:pPr>
        <w:pStyle w:val="ListParagraph"/>
        <w:numPr>
          <w:ilvl w:val="0"/>
          <w:numId w:val="25"/>
        </w:numPr>
        <w:rPr>
          <w:rFonts w:cs="Calibri" w:cstheme="minorHAnsi"/>
          <w:lang w:val="ro-RO"/>
        </w:rPr>
      </w:pPr>
      <w:r>
        <w:rPr>
          <w:rFonts w:cs="Calibri" w:cstheme="minorHAnsi"/>
          <w:lang w:val="ro-RO"/>
        </w:rPr>
        <w:t>Dezvoltarea de platforme electronice</w:t>
      </w:r>
    </w:p>
    <w:p>
      <w:pPr>
        <w:pStyle w:val="ListParagraph"/>
        <w:numPr>
          <w:ilvl w:val="0"/>
          <w:numId w:val="25"/>
        </w:numPr>
        <w:rPr>
          <w:rFonts w:cs="Calibri" w:cstheme="minorHAnsi"/>
          <w:lang w:val="ro-RO"/>
        </w:rPr>
      </w:pPr>
      <w:r>
        <w:rPr>
          <w:rFonts w:cs="Calibri" w:cstheme="minorHAnsi"/>
          <w:lang w:val="ro-RO"/>
        </w:rPr>
        <w:t>Organizarea de întâlniri de dezbateri pentru identificarea anumitor probleme precum și a soluțiilor optime</w:t>
      </w:r>
    </w:p>
    <w:p>
      <w:pPr>
        <w:pStyle w:val="Normal"/>
        <w:jc w:val="both"/>
        <w:rPr>
          <w:rFonts w:cs="Calibri" w:cstheme="minorHAnsi"/>
          <w:lang w:val="ro-RO"/>
        </w:rPr>
      </w:pPr>
      <w:r>
        <w:rPr>
          <w:rFonts w:cs="Calibri" w:cstheme="minorHAnsi"/>
          <w:lang w:val="ro-RO"/>
        </w:rPr>
        <w:t xml:space="preserve">Prezentarea detaliată a planurilor de acțiune pentru fiecare obiectiv specific în parte se găsește în Anexă. </w:t>
      </w:r>
    </w:p>
    <w:p>
      <w:pPr>
        <w:pStyle w:val="Normal"/>
        <w:rPr>
          <w:rFonts w:cs="Calibri" w:cstheme="minorHAnsi"/>
          <w:i/>
          <w:i/>
          <w:color w:val="2E74B5" w:themeColor="accent1" w:themeShade="bf"/>
          <w:lang w:val="ro-RO"/>
        </w:rPr>
      </w:pPr>
      <w:r>
        <w:rPr>
          <w:rFonts w:cs="Calibri" w:cstheme="minorHAnsi"/>
          <w:i/>
          <w:color w:val="2E74B5" w:themeColor="accent1" w:themeShade="bf"/>
          <w:lang w:val="ro-RO"/>
        </w:rPr>
      </w:r>
    </w:p>
    <w:p>
      <w:pPr>
        <w:pStyle w:val="Normal"/>
        <w:rPr>
          <w:rFonts w:cs="Calibri" w:cstheme="minorHAnsi"/>
          <w:i/>
          <w:i/>
          <w:color w:val="2E74B5" w:themeColor="accent1" w:themeShade="bf"/>
          <w:lang w:val="ro-RO"/>
        </w:rPr>
      </w:pPr>
      <w:r>
        <w:rPr>
          <w:rFonts w:cs="Calibri" w:cstheme="minorHAnsi"/>
          <w:i/>
          <w:color w:val="2E74B5" w:themeColor="accent1" w:themeShade="bf"/>
          <w:lang w:val="ro-RO"/>
        </w:rPr>
      </w:r>
    </w:p>
    <w:p>
      <w:pPr>
        <w:pStyle w:val="Normal"/>
        <w:rPr>
          <w:rFonts w:cs="Calibri" w:cstheme="minorHAnsi"/>
          <w:i/>
          <w:i/>
          <w:color w:val="2E74B5" w:themeColor="accent1" w:themeShade="bf"/>
          <w:lang w:val="ro-RO"/>
        </w:rPr>
      </w:pPr>
      <w:r>
        <w:rPr>
          <w:rFonts w:cs="Calibri" w:cstheme="minorHAnsi"/>
          <w:i/>
          <w:color w:val="2E74B5" w:themeColor="accent1" w:themeShade="bf"/>
          <w:lang w:val="ro-RO"/>
        </w:rPr>
      </w:r>
    </w:p>
    <w:p>
      <w:pPr>
        <w:pStyle w:val="Normal"/>
        <w:rPr>
          <w:rFonts w:cs="Calibri" w:cstheme="minorHAnsi"/>
          <w:i/>
          <w:i/>
          <w:color w:val="2E74B5" w:themeColor="accent1" w:themeShade="bf"/>
          <w:lang w:val="ro-RO"/>
        </w:rPr>
      </w:pPr>
      <w:r>
        <w:rPr>
          <w:rFonts w:cs="Calibri" w:cstheme="minorHAnsi"/>
          <w:i/>
          <w:color w:val="2E74B5" w:themeColor="accent1" w:themeShade="bf"/>
          <w:lang w:val="ro-RO"/>
        </w:rPr>
      </w:r>
    </w:p>
    <w:p>
      <w:pPr>
        <w:pStyle w:val="Normal"/>
        <w:rPr>
          <w:rFonts w:cs="Calibri" w:cstheme="minorHAnsi"/>
          <w:i/>
          <w:i/>
          <w:color w:val="2E74B5" w:themeColor="accent1" w:themeShade="bf"/>
          <w:lang w:val="ro-RO"/>
        </w:rPr>
      </w:pPr>
      <w:r>
        <w:rPr>
          <w:rFonts w:cs="Calibri" w:cstheme="minorHAnsi"/>
          <w:i/>
          <w:color w:val="2E74B5" w:themeColor="accent1" w:themeShade="bf"/>
          <w:lang w:val="ro-RO"/>
        </w:rPr>
      </w:r>
    </w:p>
    <w:p>
      <w:pPr>
        <w:pStyle w:val="Normal"/>
        <w:rPr>
          <w:rFonts w:cs="Calibri" w:cstheme="minorHAnsi"/>
          <w:i/>
          <w:i/>
          <w:color w:val="2E74B5" w:themeColor="accent1" w:themeShade="bf"/>
          <w:lang w:val="ro-RO"/>
        </w:rPr>
      </w:pPr>
      <w:r>
        <w:rPr>
          <w:rFonts w:cs="Calibri" w:cstheme="minorHAnsi"/>
          <w:i/>
          <w:color w:val="2E74B5" w:themeColor="accent1" w:themeShade="bf"/>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104" w:name="_Toc110536003"/>
      <w:r>
        <w:rPr>
          <w:rFonts w:cs="Calibri" w:ascii="Calibri" w:hAnsi="Calibri" w:asciiTheme="minorHAnsi" w:cstheme="minorHAnsi" w:hAnsiTheme="minorHAnsi"/>
          <w:b/>
          <w:sz w:val="28"/>
          <w:lang w:val="ro-RO"/>
        </w:rPr>
        <w:t>Rezultate așteptate</w:t>
      </w:r>
      <w:bookmarkEnd w:id="1104"/>
    </w:p>
    <w:p>
      <w:pPr>
        <w:pStyle w:val="Normal"/>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pStyle w:val="Normal"/>
        <w:rPr>
          <w:rFonts w:cs="Calibri" w:cstheme="minorHAnsi"/>
          <w:lang w:val="ro-RO"/>
        </w:rPr>
      </w:pPr>
      <w:r>
        <w:rPr>
          <w:rFonts w:cs="Calibri" w:cstheme="minorHAnsi"/>
          <w:lang w:val="ro-RO"/>
        </w:rPr>
        <w:t>Implementarea Strategiei naționale de dezvoltare a pieței de capital 2022 – 2026 urmărește obținerea mai multor rezultate așteptate:</w:t>
      </w:r>
    </w:p>
    <w:p>
      <w:pPr>
        <w:pStyle w:val="Caption1"/>
        <w:keepNext w:val="true"/>
        <w:spacing w:lineRule="auto" w:line="259" w:before="200" w:after="160"/>
        <w:rPr>
          <w:color w:val="000000" w:themeColor="text1"/>
          <w:sz w:val="20"/>
        </w:rPr>
      </w:pPr>
      <w:bookmarkStart w:id="1105" w:name="_Toc110530375"/>
      <w:r>
        <w:rPr>
          <w:rFonts w:cs="Calibri" w:cstheme="minorHAnsi"/>
          <w:szCs w:val="20"/>
        </w:rPr>
        <w:t xml:space="preserve">Tabelul </w:t>
      </w:r>
      <w:r>
        <w:rPr>
          <w:rFonts w:cs="Calibri" w:cstheme="minorHAnsi"/>
          <w:szCs w:val="20"/>
        </w:rPr>
        <w:fldChar w:fldCharType="begin"/>
      </w:r>
      <w:r>
        <w:rPr>
          <w:szCs w:val="20"/>
          <w:rFonts w:cs="Calibri"/>
        </w:rPr>
        <w:instrText> SEQ Tabelul \* ARABIC </w:instrText>
      </w:r>
      <w:r>
        <w:rPr>
          <w:szCs w:val="20"/>
          <w:rFonts w:cs="Calibri"/>
        </w:rPr>
        <w:fldChar w:fldCharType="separate"/>
      </w:r>
      <w:r>
        <w:rPr>
          <w:szCs w:val="20"/>
          <w:rFonts w:cs="Calibri"/>
        </w:rPr>
        <w:t>10</w:t>
      </w:r>
      <w:r>
        <w:rPr>
          <w:szCs w:val="20"/>
          <w:rFonts w:cs="Calibri"/>
        </w:rPr>
        <w:fldChar w:fldCharType="end"/>
      </w:r>
      <w:r>
        <w:rPr>
          <w:color w:val="000000" w:themeColor="text1"/>
          <w:sz w:val="20"/>
        </w:rPr>
        <w:t xml:space="preserve"> </w:t>
      </w:r>
      <w:r>
        <w:rPr>
          <w:rFonts w:cs="Calibri" w:cstheme="minorHAnsi"/>
          <w:szCs w:val="20"/>
        </w:rPr>
        <w:t>Sinteza principalelor rezultate așteptate, ca urmare a implementării Strategiei naționale de dezvoltare a pieței de capital 2022 - 2026</w:t>
      </w:r>
      <w:bookmarkEnd w:id="1105"/>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4315"/>
        <w:gridCol w:w="5034"/>
      </w:tblGrid>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color="auto" w:fill="DEEAF6" w:themeFill="accent1" w:themeFillTint="33" w:val="clear"/>
          </w:tcPr>
          <w:p>
            <w:pPr>
              <w:pStyle w:val="Normal"/>
              <w:spacing w:lineRule="auto" w:line="240" w:before="60" w:after="0"/>
              <w:rPr>
                <w:rFonts w:cs="Calibri" w:cstheme="minorHAnsi"/>
                <w:color w:val="2E74B5" w:themeColor="accent1" w:themeShade="bf"/>
                <w:lang w:val="ro-RO"/>
              </w:rPr>
            </w:pPr>
            <w:r>
              <w:rPr>
                <w:rFonts w:cs="Calibri" w:cstheme="minorHAnsi"/>
                <w:color w:val="2E74B5" w:themeColor="accent1" w:themeShade="bf"/>
                <w:lang w:val="ro-RO"/>
              </w:rPr>
              <w:t>Obiective generale</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color="auto" w:fill="DEEAF6" w:themeFill="accent1" w:themeFillTint="33" w:val="clear"/>
          </w:tcPr>
          <w:p>
            <w:pPr>
              <w:pStyle w:val="Normal"/>
              <w:spacing w:lineRule="auto" w:line="240" w:before="60" w:after="0"/>
              <w:rPr>
                <w:rFonts w:cs="Calibri" w:cstheme="minorHAnsi"/>
                <w:color w:val="2E74B5" w:themeColor="accent1" w:themeShade="bf"/>
                <w:lang w:val="ro-RO"/>
              </w:rPr>
            </w:pPr>
            <w:r>
              <w:rPr>
                <w:rFonts w:cs="Calibri" w:cstheme="minorHAnsi"/>
                <w:color w:val="2E74B5" w:themeColor="accent1" w:themeShade="bf"/>
                <w:lang w:val="ro-RO"/>
              </w:rPr>
              <w:t>Rezultate așteptate</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Îmbunătățirea condițiilor pentru listarea pe piața de capital</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numărului de emitenți listați pe toate categoriile Bursei de Valori București</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capitalizării bursiere</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lichidității</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Dezvoltarea pieței obligațiunilor</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Dezvoltarea pieței de împrumuturi de valori mobiliare</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Dezvoltarea pieței instrumentelor derivate</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Creșterea lichidității pe piața secundară</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numărului de investitori instituționali și a atractivității pieței locale de capital pe plan extern</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Promovarea, dezvoltarea și creșterea unei piețe active a IMM-urilor</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numărului de IMM-uri care se finanțează prin piața de capital</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și diversificarea investitorilor care oferă finanțare IMM-urilor</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Promovarea economiilor în rândul investitorilor persoane fizice</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numărului de investitori retail activi pe piața de capital</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economisirii pe termen lung</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atractivității plasamentelor în fonduri de investiții</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utilizării serviciilor financiare digitale</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incluziunii financiare</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Creșterea rolului investitorilor instituționali</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 xml:space="preserve">Promovarea oportunităților oferite de fondurile de pensii ocupaționale în rândul angajatorilor </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Dezvoltarea pieței fondurilor de pensii ocupaționale</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atractivității fondurilor de pensii facultative</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Facilitarea finanțării pe termen lung prin mecanisme de piață</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numărului de obligațiuni listate și diversificarea domeniilor de activitate ale emitenților acestora</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Susținerea digitalizării și a inovației financiare</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Îmbunătățirea înțelegerii și a implementării cadrului legislativ European în domeniul finanțelor digitale</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Utilizarea tehnologiilor DLT în rândul entităților care asigură infrastructura pieței locale de capital</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Diminuarea riscurilor</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Susținerea dezvoltării pieței locale de capital privat (</w:t>
            </w:r>
            <w:r>
              <w:rPr>
                <w:rFonts w:cs="Calibri" w:cstheme="minorHAnsi"/>
                <w:i/>
                <w:lang w:val="ro-RO"/>
              </w:rPr>
              <w:t>private equity</w:t>
            </w:r>
            <w:r>
              <w:rPr>
                <w:rFonts w:cs="Calibri" w:cstheme="minorHAnsi"/>
                <w:lang w:val="ro-RO"/>
              </w:rPr>
              <w:t>) și de capital de risc (</w:t>
            </w:r>
            <w:r>
              <w:rPr>
                <w:rFonts w:cs="Calibri" w:cstheme="minorHAnsi"/>
                <w:i/>
                <w:lang w:val="ro-RO"/>
              </w:rPr>
              <w:t>venture capital</w:t>
            </w:r>
            <w:r>
              <w:rPr>
                <w:rFonts w:cs="Calibri" w:cstheme="minorHAnsi"/>
                <w:lang w:val="ro-RO"/>
              </w:rPr>
              <w:t>)</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Dezvoltarea pieței de FIA de tip înregistrat</w:t>
            </w:r>
          </w:p>
        </w:tc>
      </w:tr>
      <w:tr>
        <w:trPr/>
        <w:tc>
          <w:tcPr>
            <w:tcW w:w="4315"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4"/>
              </w:numPr>
              <w:spacing w:lineRule="auto" w:line="240" w:before="60" w:after="0"/>
              <w:contextualSpacing/>
              <w:rPr>
                <w:rFonts w:cs="Calibri" w:cstheme="minorHAnsi"/>
                <w:lang w:val="ro-RO"/>
              </w:rPr>
            </w:pPr>
            <w:r>
              <w:rPr>
                <w:rFonts w:cs="Calibri" w:cstheme="minorHAnsi"/>
                <w:lang w:val="ro-RO"/>
              </w:rPr>
              <w:t>Stimularea investițiilor verzi</w:t>
            </w:r>
          </w:p>
        </w:tc>
        <w:tc>
          <w:tcPr>
            <w:tcW w:w="5034" w:type="dxa"/>
            <w:tcBorders>
              <w:top w:val="single" w:sz="4" w:space="0" w:color="9CC2E5"/>
              <w:left w:val="single" w:sz="4" w:space="0" w:color="9CC2E5"/>
              <w:bottom w:val="single" w:sz="4" w:space="0" w:color="9CC2E5"/>
              <w:right w:val="single" w:sz="4" w:space="0" w:color="9CC2E5"/>
              <w:insideH w:val="single" w:sz="4" w:space="0" w:color="9CC2E5"/>
              <w:insideV w:val="single" w:sz="4" w:space="0" w:color="9CC2E5"/>
            </w:tcBorders>
            <w:shd w:fill="auto" w:val="clear"/>
          </w:tcPr>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interesului investitorilor pentru instrumente financiare verzi</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Creșterea numărului de obligațiuni verzi listate</w:t>
            </w:r>
          </w:p>
          <w:p>
            <w:pPr>
              <w:pStyle w:val="ListParagraph"/>
              <w:numPr>
                <w:ilvl w:val="0"/>
                <w:numId w:val="25"/>
              </w:numPr>
              <w:spacing w:lineRule="auto" w:line="240" w:before="60" w:after="0"/>
              <w:contextualSpacing/>
              <w:rPr>
                <w:rFonts w:cs="Calibri" w:cstheme="minorHAnsi"/>
                <w:lang w:val="ro-RO"/>
              </w:rPr>
            </w:pPr>
            <w:r>
              <w:rPr>
                <w:rFonts w:cs="Calibri" w:cstheme="minorHAnsi"/>
                <w:lang w:val="ro-RO"/>
              </w:rPr>
              <w:t>Îmbunătățirea transparenței privind sustenabilitatea</w:t>
            </w:r>
          </w:p>
        </w:tc>
      </w:tr>
    </w:tbl>
    <w:p>
      <w:pPr>
        <w:pStyle w:val="Normal"/>
        <w:rPr>
          <w:rFonts w:cs="Calibri" w:cstheme="minorHAnsi"/>
          <w:lang w:val="ro-RO"/>
        </w:rPr>
      </w:pPr>
      <w:r>
        <w:rPr>
          <w:rFonts w:cs="Calibri" w:cstheme="minorHAnsi"/>
          <w:lang w:val="ro-RO"/>
        </w:rPr>
      </w:r>
    </w:p>
    <w:p>
      <w:pPr>
        <w:pStyle w:val="Normal"/>
        <w:rPr>
          <w:rFonts w:cs="Calibri" w:cstheme="minorHAnsi"/>
          <w:lang w:val="ro-RO"/>
        </w:rPr>
      </w:pPr>
      <w:r>
        <w:rPr>
          <w:rFonts w:cs="Calibri" w:cstheme="minorHAnsi"/>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106" w:name="_Toc110536004"/>
      <w:r>
        <w:rPr>
          <w:rFonts w:cs="Calibri" w:ascii="Calibri" w:hAnsi="Calibri" w:asciiTheme="minorHAnsi" w:cstheme="minorHAnsi" w:hAnsiTheme="minorHAnsi"/>
          <w:b/>
          <w:sz w:val="28"/>
          <w:lang w:val="ro-RO"/>
        </w:rPr>
        <w:t>Indicatori de măsurare a evoluției implementării strategiei</w:t>
      </w:r>
      <w:bookmarkEnd w:id="1106"/>
    </w:p>
    <w:p>
      <w:pPr>
        <w:pStyle w:val="Normal"/>
        <w:jc w:val="both"/>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pStyle w:val="Normal"/>
        <w:jc w:val="both"/>
        <w:rPr>
          <w:rFonts w:cs="Calibri" w:cstheme="minorHAnsi"/>
          <w:lang w:val="ro-RO"/>
        </w:rPr>
      </w:pPr>
      <w:r>
        <w:rPr>
          <w:rFonts w:cs="Calibri" w:cstheme="minorHAnsi"/>
          <w:lang w:val="ro-RO"/>
        </w:rPr>
        <w:t xml:space="preserve">Planul de acțiuni anexă la prezenta Strategie cuprinde o serie de indicatori utilizați pentru monitorizarea evoluției, respectiv pentru evaluarea stadiului de implementare a Strategiei, care sunt aferenți obiectivelor/acțiunilor cuantificabile. Pentru toate activitățile desfășurate, instituțiile implicate vor prezenta în mod detaliat stadiile de evoluție în rapoartele anuale pe care le vor realiza, conform punctului X din Strategie. </w:t>
      </w:r>
    </w:p>
    <w:p>
      <w:pPr>
        <w:pStyle w:val="Normal"/>
        <w:rPr>
          <w:rFonts w:cs="Calibri" w:cstheme="minorHAnsi"/>
          <w:color w:val="2E74B5" w:themeColor="accent1" w:themeShade="bf"/>
          <w:lang w:val="ro-RO"/>
        </w:rPr>
      </w:pPr>
      <w:r>
        <w:rPr>
          <w:rFonts w:cs="Calibri" w:cstheme="minorHAnsi"/>
          <w:color w:val="2E74B5" w:themeColor="accent1" w:themeShade="bf"/>
          <w:lang w:val="ro-RO"/>
        </w:rPr>
      </w:r>
    </w:p>
    <w:p>
      <w:pPr>
        <w:pStyle w:val="Normal"/>
        <w:rPr>
          <w:rFonts w:cs="Calibri" w:cstheme="minorHAnsi"/>
          <w:color w:val="2E74B5" w:themeColor="accent1" w:themeShade="bf"/>
          <w:lang w:val="ro-RO"/>
        </w:rPr>
      </w:pPr>
      <w:r>
        <w:rPr>
          <w:rFonts w:cs="Calibri" w:cstheme="minorHAnsi"/>
          <w:color w:val="2E74B5" w:themeColor="accent1" w:themeShade="bf"/>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107" w:name="_Toc110536005"/>
      <w:r>
        <w:rPr>
          <w:rFonts w:cs="Calibri" w:ascii="Calibri" w:hAnsi="Calibri" w:asciiTheme="minorHAnsi" w:cstheme="minorHAnsi" w:hAnsiTheme="minorHAnsi"/>
          <w:b/>
          <w:sz w:val="28"/>
          <w:lang w:val="ro-RO"/>
        </w:rPr>
        <w:t>Proceduri de monitorizare și evaluare a implementării și impactului strategiei</w:t>
      </w:r>
      <w:bookmarkEnd w:id="1107"/>
    </w:p>
    <w:p>
      <w:pPr>
        <w:pStyle w:val="Normal"/>
        <w:jc w:val="both"/>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pStyle w:val="Normal"/>
        <w:jc w:val="both"/>
        <w:rPr>
          <w:rFonts w:cs="Calibri" w:cstheme="minorHAnsi"/>
          <w:lang w:val="ro-RO"/>
        </w:rPr>
      </w:pPr>
      <w:r>
        <w:rPr>
          <w:rFonts w:cs="Calibri" w:cstheme="minorHAnsi"/>
          <w:lang w:val="ro-RO"/>
        </w:rPr>
        <w:t>Ministerul Finanțelor și Autoritatea de Supraveghere Financiară își asumă îndeplinirea obiectivelor și acțiunilor incluse în cadrul strategiei, în conformitate cu competențele și atribuțiile ce le revin potrivit legii. Monitorizarea Strategiei şi a implementării măsurilor prevăzute în Planul de acțiune anexat Strategiei se realizează la nivelul fiecărei autorități sau instituție publică responsabilă, potrivit competențelor legale.</w:t>
      </w:r>
    </w:p>
    <w:p>
      <w:pPr>
        <w:pStyle w:val="Normal"/>
        <w:jc w:val="both"/>
        <w:rPr>
          <w:rFonts w:cs="Calibri" w:cstheme="minorHAnsi"/>
          <w:lang w:val="ro-RO"/>
        </w:rPr>
      </w:pPr>
      <w:r>
        <w:rPr>
          <w:rFonts w:cs="Calibri" w:cstheme="minorHAnsi"/>
          <w:lang w:val="ro-RO"/>
        </w:rPr>
        <w:t xml:space="preserve">Instituţiile responsabile de implementarea obiectivelor generale și specifice raportează anual Autorității de Supraveghere Financiară și Ministerului Finanțelor  stadiul implementării acestora, utilizând, acolo unde este posibil, indicatorii prevăzuți în planul de acțiuni. Termenul de raportare este 15 februarie pentru anul anterior. </w:t>
      </w:r>
    </w:p>
    <w:p>
      <w:pPr>
        <w:pStyle w:val="Normal"/>
        <w:rPr>
          <w:rFonts w:cs="Calibri" w:cstheme="minorHAnsi"/>
          <w:color w:val="2E74B5" w:themeColor="accent1" w:themeShade="bf"/>
          <w:lang w:val="ro-RO"/>
        </w:rPr>
      </w:pPr>
      <w:r>
        <w:rPr>
          <w:rFonts w:cs="Calibri" w:cstheme="minorHAnsi"/>
          <w:color w:val="2E74B5" w:themeColor="accent1" w:themeShade="bf"/>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108" w:name="_Toc110536006"/>
      <w:r>
        <w:rPr>
          <w:rFonts w:cs="Calibri" w:ascii="Calibri" w:hAnsi="Calibri" w:asciiTheme="minorHAnsi" w:cstheme="minorHAnsi" w:hAnsiTheme="minorHAnsi"/>
          <w:b/>
          <w:sz w:val="28"/>
          <w:lang w:val="ro-RO"/>
        </w:rPr>
        <w:t>Instituțiile responsabile</w:t>
      </w:r>
      <w:bookmarkEnd w:id="1108"/>
    </w:p>
    <w:p>
      <w:pPr>
        <w:pStyle w:val="Normal"/>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pStyle w:val="Normal"/>
        <w:rPr>
          <w:rFonts w:cs="Calibri" w:cstheme="minorHAnsi"/>
          <w:lang w:val="ro-RO"/>
        </w:rPr>
      </w:pPr>
      <w:r>
        <w:rPr>
          <w:rFonts w:cs="Calibri" w:cstheme="minorHAnsi"/>
          <w:lang w:val="ro-RO"/>
        </w:rPr>
        <w:t>Instituțiile implicate în implementarea Strategiei naționale pentru dezvoltarea pieței de capital și în realizarea obiectivelor, conform planului de acțiuni anexat prezentei strategii sunt:</w:t>
      </w:r>
    </w:p>
    <w:p>
      <w:pPr>
        <w:pStyle w:val="ListParagraph"/>
        <w:numPr>
          <w:ilvl w:val="0"/>
          <w:numId w:val="22"/>
        </w:numPr>
        <w:rPr>
          <w:rFonts w:cs="Calibri" w:cstheme="minorHAnsi"/>
          <w:lang w:val="ro-RO"/>
        </w:rPr>
      </w:pPr>
      <w:r>
        <w:rPr>
          <w:rFonts w:cs="Calibri" w:cstheme="minorHAnsi"/>
          <w:lang w:val="ro-RO"/>
        </w:rPr>
        <w:t>Autoritatea de Supraveghere Financiară</w:t>
      </w:r>
    </w:p>
    <w:p>
      <w:pPr>
        <w:pStyle w:val="ListParagraph"/>
        <w:numPr>
          <w:ilvl w:val="0"/>
          <w:numId w:val="22"/>
        </w:numPr>
        <w:rPr>
          <w:rFonts w:cs="Calibri" w:cstheme="minorHAnsi"/>
          <w:lang w:val="ro-RO"/>
        </w:rPr>
      </w:pPr>
      <w:r>
        <w:rPr>
          <w:rFonts w:cs="Calibri" w:cstheme="minorHAnsi"/>
          <w:lang w:val="ro-RO"/>
        </w:rPr>
        <w:t>Ministerul Finanțelor</w:t>
      </w:r>
    </w:p>
    <w:p>
      <w:pPr>
        <w:pStyle w:val="ListParagraph"/>
        <w:numPr>
          <w:ilvl w:val="0"/>
          <w:numId w:val="22"/>
        </w:numPr>
        <w:rPr>
          <w:rFonts w:cs="Calibri" w:cstheme="minorHAnsi"/>
          <w:lang w:val="ro-RO"/>
        </w:rPr>
      </w:pPr>
      <w:r>
        <w:rPr>
          <w:rFonts w:cs="Calibri" w:cstheme="minorHAnsi"/>
          <w:lang w:val="ro-RO"/>
        </w:rPr>
        <w:t xml:space="preserve">Companii de stat relevante </w:t>
      </w:r>
    </w:p>
    <w:p>
      <w:pPr>
        <w:pStyle w:val="ListParagraph"/>
        <w:numPr>
          <w:ilvl w:val="0"/>
          <w:numId w:val="22"/>
        </w:numPr>
        <w:rPr>
          <w:rFonts w:cs="Calibri" w:cstheme="minorHAnsi"/>
          <w:lang w:val="ro-RO"/>
        </w:rPr>
      </w:pPr>
      <w:r>
        <w:rPr>
          <w:rFonts w:cs="Calibri" w:cstheme="minorHAnsi"/>
          <w:lang w:val="ro-RO"/>
        </w:rPr>
        <w:t>Bursa de Valori București</w:t>
      </w:r>
    </w:p>
    <w:p>
      <w:pPr>
        <w:pStyle w:val="ListParagraph"/>
        <w:numPr>
          <w:ilvl w:val="0"/>
          <w:numId w:val="22"/>
        </w:numPr>
        <w:rPr>
          <w:rFonts w:cs="Calibri" w:cstheme="minorHAnsi"/>
          <w:lang w:val="ro-RO"/>
        </w:rPr>
      </w:pPr>
      <w:r>
        <w:rPr>
          <w:rFonts w:cs="Calibri" w:cstheme="minorHAnsi"/>
          <w:lang w:val="ro-RO"/>
        </w:rPr>
        <w:t>Acționarii Contrapărții Centrale</w:t>
      </w:r>
    </w:p>
    <w:p>
      <w:pPr>
        <w:pStyle w:val="ListParagraph"/>
        <w:numPr>
          <w:ilvl w:val="0"/>
          <w:numId w:val="22"/>
        </w:numPr>
        <w:rPr>
          <w:rFonts w:cs="Calibri" w:cstheme="minorHAnsi"/>
          <w:lang w:val="ro-RO"/>
        </w:rPr>
      </w:pPr>
      <w:r>
        <w:rPr>
          <w:rFonts w:cs="Calibri" w:cstheme="minorHAnsi"/>
          <w:lang w:val="ro-RO"/>
        </w:rPr>
        <w:t>Contrapartea Centrală</w:t>
      </w:r>
    </w:p>
    <w:p>
      <w:pPr>
        <w:pStyle w:val="ListParagraph"/>
        <w:numPr>
          <w:ilvl w:val="0"/>
          <w:numId w:val="22"/>
        </w:numPr>
        <w:rPr>
          <w:rFonts w:cs="Calibri" w:cstheme="minorHAnsi"/>
          <w:lang w:val="ro-RO"/>
        </w:rPr>
      </w:pPr>
      <w:r>
        <w:rPr>
          <w:rFonts w:cs="Calibri" w:cstheme="minorHAnsi"/>
          <w:lang w:val="ro-RO"/>
        </w:rPr>
        <w:t>Depozitarul Central</w:t>
      </w:r>
    </w:p>
    <w:p>
      <w:pPr>
        <w:pStyle w:val="ListParagraph"/>
        <w:numPr>
          <w:ilvl w:val="0"/>
          <w:numId w:val="22"/>
        </w:numPr>
        <w:rPr>
          <w:rFonts w:cs="Calibri" w:cstheme="minorHAnsi"/>
          <w:lang w:val="ro-RO"/>
        </w:rPr>
      </w:pPr>
      <w:r>
        <w:rPr>
          <w:rFonts w:cs="Calibri" w:cstheme="minorHAnsi"/>
          <w:lang w:val="ro-RO"/>
        </w:rPr>
        <w:t>Asociația Administratorilor de Fonduri</w:t>
      </w:r>
    </w:p>
    <w:p>
      <w:pPr>
        <w:pStyle w:val="ListParagraph"/>
        <w:numPr>
          <w:ilvl w:val="0"/>
          <w:numId w:val="22"/>
        </w:numPr>
        <w:rPr>
          <w:rFonts w:cs="Calibri" w:cstheme="minorHAnsi"/>
          <w:lang w:val="ro-RO"/>
        </w:rPr>
      </w:pPr>
      <w:r>
        <w:rPr>
          <w:rFonts w:cs="Calibri" w:cstheme="minorHAnsi"/>
          <w:lang w:val="ro-RO"/>
        </w:rPr>
        <w:t>Camera de Comerț și Industrie a României</w:t>
      </w:r>
    </w:p>
    <w:p>
      <w:pPr>
        <w:pStyle w:val="ListParagraph"/>
        <w:numPr>
          <w:ilvl w:val="0"/>
          <w:numId w:val="22"/>
        </w:numPr>
        <w:rPr>
          <w:rFonts w:cs="Calibri" w:cstheme="minorHAnsi"/>
          <w:lang w:val="ro-RO"/>
        </w:rPr>
      </w:pPr>
      <w:r>
        <w:rPr>
          <w:rFonts w:cs="Calibri" w:cstheme="minorHAnsi"/>
          <w:lang w:val="ro-RO"/>
        </w:rPr>
        <w:t>Ministerul Educației</w:t>
      </w:r>
    </w:p>
    <w:p>
      <w:pPr>
        <w:pStyle w:val="ListParagraph"/>
        <w:numPr>
          <w:ilvl w:val="0"/>
          <w:numId w:val="22"/>
        </w:numPr>
        <w:rPr>
          <w:rFonts w:cs="Calibri" w:cstheme="minorHAnsi"/>
          <w:lang w:val="ro-RO"/>
        </w:rPr>
      </w:pPr>
      <w:r>
        <w:rPr>
          <w:rFonts w:cs="Calibri" w:cstheme="minorHAnsi"/>
          <w:lang w:val="ro-RO"/>
        </w:rPr>
        <w:t>Institutul de Studii Financiare</w:t>
      </w:r>
    </w:p>
    <w:p>
      <w:pPr>
        <w:pStyle w:val="ListParagraph"/>
        <w:numPr>
          <w:ilvl w:val="0"/>
          <w:numId w:val="22"/>
        </w:numPr>
        <w:rPr>
          <w:rFonts w:cs="Calibri" w:cstheme="minorHAnsi"/>
          <w:lang w:val="ro-RO"/>
        </w:rPr>
      </w:pPr>
      <w:r>
        <w:rPr>
          <w:rFonts w:cs="Calibri" w:cstheme="minorHAnsi"/>
          <w:lang w:val="ro-RO"/>
        </w:rPr>
        <w:t>Asociația Română a Băncilor</w:t>
      </w:r>
    </w:p>
    <w:p>
      <w:pPr>
        <w:pStyle w:val="ListParagraph"/>
        <w:numPr>
          <w:ilvl w:val="0"/>
          <w:numId w:val="22"/>
        </w:numPr>
        <w:rPr>
          <w:rFonts w:cs="Calibri" w:cstheme="minorHAnsi"/>
          <w:lang w:val="ro-RO"/>
        </w:rPr>
      </w:pPr>
      <w:r>
        <w:rPr>
          <w:rFonts w:cs="Calibri" w:cstheme="minorHAnsi"/>
          <w:lang w:val="ro-RO"/>
        </w:rPr>
        <w:t>Asociatia pentru Pensiile Administrate Privat din România</w:t>
      </w:r>
    </w:p>
    <w:p>
      <w:pPr>
        <w:pStyle w:val="ListParagraph"/>
        <w:numPr>
          <w:ilvl w:val="0"/>
          <w:numId w:val="22"/>
        </w:numPr>
        <w:rPr>
          <w:rFonts w:cs="Calibri" w:cstheme="minorHAnsi"/>
          <w:lang w:val="ro-RO"/>
        </w:rPr>
      </w:pPr>
      <w:r>
        <w:rPr>
          <w:rFonts w:cs="Calibri" w:cstheme="minorHAnsi"/>
          <w:lang w:val="ro-RO"/>
        </w:rPr>
        <w:t>Societăți de Administrare a Investițiilor</w:t>
      </w:r>
    </w:p>
    <w:p>
      <w:pPr>
        <w:pStyle w:val="ListParagraph"/>
        <w:numPr>
          <w:ilvl w:val="0"/>
          <w:numId w:val="22"/>
        </w:numPr>
        <w:rPr>
          <w:rFonts w:cs="Calibri" w:cstheme="minorHAnsi"/>
          <w:lang w:val="ro-RO"/>
        </w:rPr>
      </w:pPr>
      <w:r>
        <w:rPr>
          <w:rFonts w:cs="Calibri" w:cstheme="minorHAnsi"/>
          <w:lang w:val="ro-RO"/>
        </w:rPr>
        <w:t>Administratori de Fonduri de Investiții Alternative</w:t>
      </w:r>
    </w:p>
    <w:p>
      <w:pPr>
        <w:pStyle w:val="ListParagraph"/>
        <w:numPr>
          <w:ilvl w:val="0"/>
          <w:numId w:val="22"/>
        </w:numPr>
        <w:rPr>
          <w:rFonts w:cs="Calibri" w:cstheme="minorHAnsi"/>
          <w:lang w:val="ro-RO"/>
        </w:rPr>
      </w:pPr>
      <w:r>
        <w:rPr>
          <w:rFonts w:cs="Calibri" w:cstheme="minorHAnsi"/>
          <w:lang w:val="ro-RO"/>
        </w:rPr>
        <w:t>Alți stakeholderi relevanți din domeniul privat și public</w:t>
      </w:r>
    </w:p>
    <w:p>
      <w:pPr>
        <w:pStyle w:val="Normal"/>
        <w:rPr>
          <w:rFonts w:cs="Calibri" w:cstheme="minorHAnsi"/>
          <w:strike/>
          <w:color w:val="2E74B5" w:themeColor="accent1" w:themeShade="bf"/>
          <w:lang w:val="ro-RO"/>
        </w:rPr>
      </w:pPr>
      <w:r>
        <w:rPr>
          <w:rFonts w:cs="Calibri" w:cstheme="minorHAnsi"/>
          <w:strike/>
          <w:color w:val="2E74B5" w:themeColor="accent1" w:themeShade="bf"/>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109" w:name="_Toc110536007"/>
      <w:r>
        <w:rPr>
          <w:rFonts w:cs="Calibri" w:ascii="Calibri" w:hAnsi="Calibri" w:asciiTheme="minorHAnsi" w:cstheme="minorHAnsi" w:hAnsiTheme="minorHAnsi"/>
          <w:b/>
          <w:sz w:val="28"/>
          <w:lang w:val="ro-RO"/>
        </w:rPr>
        <w:t>Implicațiile bugetare și sursele de finanțare</w:t>
      </w:r>
      <w:bookmarkEnd w:id="1109"/>
    </w:p>
    <w:p>
      <w:pPr>
        <w:pStyle w:val="Normal"/>
        <w:rPr>
          <w:rFonts w:cs="Calibri" w:cstheme="minorHAnsi"/>
          <w:i/>
          <w:i/>
          <w:color w:val="2E74B5" w:themeColor="accent1" w:themeShade="bf"/>
          <w:lang w:val="ro-RO"/>
        </w:rPr>
      </w:pPr>
      <w:r>
        <w:rPr>
          <w:rFonts w:cs="Calibri" w:cstheme="minorHAnsi"/>
          <w:i/>
          <w:color w:val="2E74B5" w:themeColor="accent1" w:themeShade="bf"/>
          <w:lang w:val="ro-RO"/>
        </w:rPr>
        <w:t xml:space="preserve">  </w:t>
      </w:r>
    </w:p>
    <w:p>
      <w:pPr>
        <w:pStyle w:val="Normal"/>
        <w:jc w:val="both"/>
        <w:rPr>
          <w:rFonts w:eastAsia="Times New Roman" w:cs="Calibri" w:cstheme="minorHAnsi"/>
          <w:color w:val="000000"/>
          <w:lang w:val="ro-RO" w:eastAsia="ro-RO"/>
        </w:rPr>
      </w:pPr>
      <w:r>
        <w:rPr>
          <w:rFonts w:eastAsia="Times New Roman" w:cs="Calibri" w:cstheme="minorHAnsi"/>
          <w:color w:val="000000"/>
          <w:lang w:val="ro-RO" w:eastAsia="ro-RO"/>
        </w:rPr>
        <w:t>Finanţarea obiectivelor generale și specifice, realizate prin Planul de acțiuni prevăzut în anexa prezentei Strategii naționale pentru dezvoltarea pieței de capital pentru perioda 2022-2026, care intră în responsabilitatea instituţiilor sau autorităţilor publice, se asigură din bugetul aprobat al fiecărei instituţii sau autorităţi publice responsabile sau implicate. </w:t>
      </w:r>
    </w:p>
    <w:p>
      <w:pPr>
        <w:pStyle w:val="Normal"/>
        <w:jc w:val="both"/>
        <w:rPr>
          <w:rFonts w:cs="Calibri" w:cstheme="minorHAnsi"/>
          <w:color w:val="2E74B5" w:themeColor="accent1" w:themeShade="bf"/>
          <w:lang w:val="ro-RO"/>
        </w:rPr>
      </w:pPr>
      <w:r>
        <w:rPr>
          <w:rFonts w:cs="Calibri" w:cstheme="minorHAnsi"/>
          <w:color w:val="2E74B5" w:themeColor="accent1" w:themeShade="bf"/>
          <w:lang w:val="ro-RO"/>
        </w:rPr>
      </w:r>
    </w:p>
    <w:p>
      <w:pPr>
        <w:pStyle w:val="Heading2"/>
        <w:numPr>
          <w:ilvl w:val="0"/>
          <w:numId w:val="21"/>
        </w:numPr>
        <w:pBdr>
          <w:bottom w:val="single" w:sz="4" w:space="1" w:color="BDD6EE"/>
        </w:pBdr>
        <w:shd w:val="clear" w:color="auto" w:fill="E2EFD9" w:themeFill="accent6" w:themeFillTint="33"/>
        <w:spacing w:before="160" w:after="160"/>
        <w:ind w:left="720" w:hanging="720"/>
        <w:jc w:val="both"/>
        <w:rPr>
          <w:rFonts w:ascii="Calibri" w:hAnsi="Calibri" w:cs="Calibri" w:asciiTheme="minorHAnsi" w:cstheme="minorHAnsi" w:hAnsiTheme="minorHAnsi"/>
          <w:b/>
          <w:b/>
          <w:sz w:val="28"/>
          <w:lang w:val="ro-RO"/>
        </w:rPr>
      </w:pPr>
      <w:bookmarkStart w:id="1110" w:name="_Toc110536008"/>
      <w:r>
        <w:rPr>
          <w:rFonts w:cs="Calibri" w:ascii="Calibri" w:hAnsi="Calibri" w:asciiTheme="minorHAnsi" w:cstheme="minorHAnsi" w:hAnsiTheme="minorHAnsi"/>
          <w:b/>
          <w:sz w:val="28"/>
          <w:lang w:val="ro-RO"/>
        </w:rPr>
        <w:t>Implicațiile asupra cadrului juridic</w:t>
      </w:r>
      <w:bookmarkEnd w:id="1110"/>
    </w:p>
    <w:p>
      <w:pPr>
        <w:pStyle w:val="Normal"/>
        <w:jc w:val="both"/>
        <w:rPr>
          <w:rStyle w:val="L5def1"/>
          <w:rFonts w:ascii="Calibri" w:hAnsi="Calibri" w:cs="Calibri" w:asciiTheme="minorHAnsi" w:cstheme="minorHAnsi" w:hAnsiTheme="minorHAnsi"/>
          <w:i/>
          <w:i/>
          <w:color w:val="2E74B5" w:themeColor="accent1" w:themeShade="bf"/>
          <w:sz w:val="22"/>
          <w:szCs w:val="22"/>
          <w:lang w:val="ro-RO"/>
        </w:rPr>
      </w:pPr>
      <w:r>
        <w:rPr>
          <w:rFonts w:cs="Calibri" w:cstheme="minorHAnsi"/>
          <w:i/>
          <w:color w:val="2E74B5" w:themeColor="accent1" w:themeShade="bf"/>
          <w:sz w:val="22"/>
          <w:szCs w:val="22"/>
          <w:lang w:val="ro-RO"/>
        </w:rPr>
      </w:r>
    </w:p>
    <w:p>
      <w:pPr>
        <w:sectPr>
          <w:footerReference w:type="default" r:id="rId42"/>
          <w:footnotePr>
            <w:numFmt w:val="decimal"/>
          </w:footnotePr>
          <w:type w:val="nextPage"/>
          <w:pgSz w:w="12240" w:h="15840"/>
          <w:pgMar w:left="1440" w:right="1440" w:header="0" w:top="1440" w:footer="720" w:bottom="1440" w:gutter="0"/>
          <w:pgNumType w:fmt="decimal"/>
          <w:formProt w:val="false"/>
          <w:textDirection w:val="lrTb"/>
          <w:docGrid w:type="default" w:linePitch="360" w:charSpace="4096"/>
        </w:sectPr>
        <w:pStyle w:val="Normal"/>
        <w:jc w:val="both"/>
        <w:rPr>
          <w:rFonts w:cs="Calibri" w:cstheme="minorHAnsi"/>
          <w:color w:val="000000" w:themeColor="text1"/>
          <w:lang w:val="ro-RO"/>
        </w:rPr>
      </w:pPr>
      <w:r>
        <w:rPr>
          <w:rFonts w:cs="Calibri" w:cstheme="minorHAnsi"/>
          <w:color w:val="000000" w:themeColor="text1"/>
          <w:lang w:val="ro-RO"/>
        </w:rPr>
        <w:t xml:space="preserve">Pentru realizarea obiectivelor generale și specifice ale Strategiei pentru dezvoltarea pieței de capital vor fi reviziuite / completate / modificate de către Autoritățile și instituțiile competente reglementări secundare precum și coduri aferente operatorului de piață Bursa de Valori București. În situația în care, în urma implementării acțiunilor și etapelor prevăzute în Planul de acțiuni anexat va apărea necesitatea revizuirii unor acte legislative primare, se vor demara inițiativele necesare în acest sens. </w:t>
      </w:r>
    </w:p>
    <w:p>
      <w:pPr>
        <w:pStyle w:val="Heading2"/>
        <w:pBdr>
          <w:bottom w:val="single" w:sz="4" w:space="1" w:color="BDD6EE"/>
        </w:pBdr>
        <w:shd w:val="clear" w:color="auto" w:fill="E2EFD9" w:themeFill="accent6" w:themeFillTint="33"/>
        <w:spacing w:before="160" w:after="160"/>
        <w:jc w:val="both"/>
        <w:rPr>
          <w:rFonts w:ascii="Calibri" w:hAnsi="Calibri" w:cs="Calibri" w:asciiTheme="minorHAnsi" w:cstheme="minorHAnsi" w:hAnsiTheme="minorHAnsi"/>
          <w:b/>
          <w:b/>
          <w:sz w:val="28"/>
          <w:lang w:val="ro-RO"/>
        </w:rPr>
      </w:pPr>
      <w:bookmarkStart w:id="1111" w:name="_Toc110536009"/>
      <w:r>
        <w:rPr>
          <w:rFonts w:cs="Calibri" w:ascii="Calibri" w:hAnsi="Calibri" w:asciiTheme="minorHAnsi" w:cstheme="minorHAnsi" w:hAnsiTheme="minorHAnsi"/>
          <w:b/>
          <w:sz w:val="28"/>
          <w:lang w:val="ro-RO"/>
        </w:rPr>
        <w:t>Anexă: Planul de Acţiune pentru implementarea Strategiei Naționale pentru Dezvoltarea Pieței de Capital pentru perioada 2022-2026</w:t>
      </w:r>
      <w:bookmarkEnd w:id="1111"/>
    </w:p>
    <w:p>
      <w:pPr>
        <w:pStyle w:val="Normal"/>
        <w:jc w:val="both"/>
        <w:rPr>
          <w:rFonts w:cs="Calibri" w:cstheme="minorHAnsi"/>
          <w:i/>
          <w:i/>
          <w:lang w:val="ro-RO"/>
        </w:rPr>
      </w:pPr>
      <w:r>
        <w:rPr>
          <w:rFonts w:cs="Calibri" w:cstheme="minorHAnsi"/>
          <w:i/>
          <w:lang w:val="ro-RO"/>
        </w:rPr>
      </w:r>
    </w:p>
    <w:tbl>
      <w:tblPr>
        <w:tblStyle w:val="TableGrid1"/>
        <w:tblW w:w="5000" w:type="pct"/>
        <w:jc w:val="left"/>
        <w:tblInd w:w="0" w:type="dxa"/>
        <w:tblCellMar>
          <w:top w:w="0" w:type="dxa"/>
          <w:left w:w="108" w:type="dxa"/>
          <w:bottom w:w="0" w:type="dxa"/>
          <w:right w:w="108" w:type="dxa"/>
        </w:tblCellMar>
        <w:tblLook w:firstRow="1" w:noVBand="1" w:lastRow="0" w:firstColumn="1" w:lastColumn="0" w:noHBand="0" w:val="04a0"/>
      </w:tblPr>
      <w:tblGrid>
        <w:gridCol w:w="3071"/>
        <w:gridCol w:w="3175"/>
        <w:gridCol w:w="1667"/>
        <w:gridCol w:w="1630"/>
        <w:gridCol w:w="1379"/>
        <w:gridCol w:w="2037"/>
      </w:tblGrid>
      <w:tr>
        <w:trPr>
          <w:trHeight w:val="1079"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E7E6E6" w:themeFill="background2" w:val="clear"/>
            <w:vAlign w:val="center"/>
          </w:tcPr>
          <w:p>
            <w:pPr>
              <w:pStyle w:val="Normal"/>
              <w:spacing w:lineRule="auto" w:line="240" w:before="0" w:after="0"/>
              <w:rPr>
                <w:rFonts w:ascii="Calibri" w:hAnsi="Calibri" w:eastAsia="SimSun" w:cs="Times New Roman"/>
                <w:sz w:val="20"/>
                <w:szCs w:val="20"/>
                <w:lang w:val="ro-RO" w:eastAsia="ro-RO"/>
              </w:rPr>
            </w:pPr>
            <w:r>
              <w:rPr>
                <w:rFonts w:eastAsia="SimSun" w:cs="Times New Roman"/>
                <w:sz w:val="20"/>
                <w:szCs w:val="20"/>
                <w:lang w:val="ro-RO" w:eastAsia="ro-RO"/>
              </w:rPr>
            </w:r>
          </w:p>
          <w:p>
            <w:pPr>
              <w:pStyle w:val="Normal"/>
              <w:spacing w:lineRule="auto" w:line="240" w:before="0" w:after="0"/>
              <w:rPr>
                <w:lang w:val="ro-RO"/>
              </w:rPr>
            </w:pPr>
            <w:r>
              <w:rPr>
                <w:rFonts w:eastAsia="SimSun" w:cs="Times New Roman"/>
                <w:sz w:val="20"/>
                <w:szCs w:val="20"/>
                <w:lang w:val="ro-RO" w:eastAsia="ro-RO"/>
              </w:rPr>
              <w:t>Obiective specifice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E7E6E6" w:themeFill="background2" w:val="clear"/>
            <w:vAlign w:val="center"/>
          </w:tcPr>
          <w:p>
            <w:pPr>
              <w:pStyle w:val="Normal"/>
              <w:spacing w:lineRule="auto" w:line="240" w:before="0" w:after="0"/>
              <w:rPr>
                <w:rFonts w:ascii="Calibri" w:hAnsi="Calibri" w:eastAsia="SimSun" w:cs="Times New Roman"/>
                <w:sz w:val="20"/>
                <w:szCs w:val="20"/>
                <w:lang w:val="ro-RO" w:eastAsia="ro-RO"/>
              </w:rPr>
            </w:pPr>
            <w:r>
              <w:rPr>
                <w:rFonts w:eastAsia="SimSun" w:cs="Times New Roman"/>
                <w:sz w:val="20"/>
                <w:szCs w:val="20"/>
                <w:lang w:val="ro-RO" w:eastAsia="ro-RO"/>
              </w:rPr>
            </w:r>
          </w:p>
          <w:p>
            <w:pPr>
              <w:pStyle w:val="Normal"/>
              <w:spacing w:lineRule="auto" w:line="240" w:before="0" w:after="0"/>
              <w:rPr>
                <w:lang w:val="ro-RO"/>
              </w:rPr>
            </w:pPr>
            <w:r>
              <w:rPr>
                <w:rFonts w:eastAsia="SimSun" w:cs="Times New Roman"/>
                <w:sz w:val="20"/>
                <w:szCs w:val="20"/>
                <w:lang w:val="ro-RO" w:eastAsia="ro-RO"/>
              </w:rPr>
              <w:t>Principalele acţiuni</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E7E6E6" w:themeFill="background2" w:val="clear"/>
            <w:vAlign w:val="center"/>
          </w:tcPr>
          <w:p>
            <w:pPr>
              <w:pStyle w:val="Normal"/>
              <w:spacing w:lineRule="auto" w:line="240" w:before="0" w:after="0"/>
              <w:rPr>
                <w:rFonts w:ascii="Calibri" w:hAnsi="Calibri" w:eastAsia="SimSun" w:cs="Times New Roman"/>
                <w:sz w:val="20"/>
                <w:szCs w:val="20"/>
                <w:lang w:val="ro-RO" w:eastAsia="ro-RO"/>
              </w:rPr>
            </w:pPr>
            <w:r>
              <w:rPr>
                <w:rFonts w:eastAsia="SimSun" w:cs="Times New Roman"/>
                <w:sz w:val="20"/>
                <w:szCs w:val="20"/>
                <w:lang w:val="ro-RO" w:eastAsia="ro-RO"/>
              </w:rPr>
            </w:r>
          </w:p>
          <w:p>
            <w:pPr>
              <w:pStyle w:val="Normal"/>
              <w:spacing w:lineRule="auto" w:line="240" w:before="0" w:after="0"/>
              <w:rPr>
                <w:rFonts w:ascii="Calibri" w:hAnsi="Calibri" w:eastAsia="SimSun" w:cs="Times New Roman"/>
                <w:sz w:val="20"/>
                <w:szCs w:val="20"/>
                <w:lang w:val="ro-RO" w:eastAsia="ro-RO"/>
              </w:rPr>
            </w:pPr>
            <w:r>
              <w:rPr>
                <w:rFonts w:eastAsia="SimSun" w:cs="Times New Roman"/>
                <w:sz w:val="20"/>
                <w:szCs w:val="20"/>
                <w:lang w:val="ro-RO" w:eastAsia="ro-RO"/>
              </w:rPr>
            </w:r>
          </w:p>
          <w:p>
            <w:pPr>
              <w:pStyle w:val="Normal"/>
              <w:spacing w:lineRule="auto" w:line="240" w:before="0" w:after="0"/>
              <w:rPr>
                <w:lang w:val="ro-RO"/>
              </w:rPr>
            </w:pPr>
            <w:r>
              <w:rPr>
                <w:rFonts w:eastAsia="SimSun" w:cs="Times New Roman"/>
                <w:sz w:val="20"/>
                <w:szCs w:val="20"/>
                <w:lang w:val="ro-RO" w:eastAsia="ro-RO"/>
              </w:rPr>
              <w:t>Autoritate/ instituție participantă</w:t>
            </w:r>
          </w:p>
          <w:p>
            <w:pPr>
              <w:pStyle w:val="Normal"/>
              <w:spacing w:lineRule="auto" w:line="240" w:before="0" w:after="0"/>
              <w:rPr>
                <w:rFonts w:ascii="Calibri" w:hAnsi="Calibri" w:eastAsia="SimSun" w:cs="Times New Roman"/>
                <w:sz w:val="20"/>
                <w:szCs w:val="20"/>
                <w:lang w:val="ro-RO" w:eastAsia="ro-RO"/>
              </w:rPr>
            </w:pPr>
            <w:r>
              <w:rPr>
                <w:rFonts w:eastAsia="SimSun" w:cs="Times New Roman"/>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E7E6E6" w:themeFill="background2" w:val="clear"/>
            <w:vAlign w:val="center"/>
          </w:tcPr>
          <w:p>
            <w:pPr>
              <w:pStyle w:val="Normal"/>
              <w:spacing w:lineRule="auto" w:line="240" w:before="0" w:after="0"/>
              <w:rPr>
                <w:rFonts w:ascii="Calibri" w:hAnsi="Calibri" w:eastAsia="SimSun" w:cs="Times New Roman"/>
                <w:sz w:val="20"/>
                <w:szCs w:val="20"/>
                <w:lang w:val="ro-RO" w:eastAsia="ro-RO"/>
              </w:rPr>
            </w:pPr>
            <w:r>
              <w:rPr>
                <w:rFonts w:eastAsia="SimSun" w:cs="Times New Roman"/>
                <w:sz w:val="20"/>
                <w:szCs w:val="20"/>
                <w:lang w:val="ro-RO" w:eastAsia="ro-RO"/>
              </w:rPr>
            </w:r>
          </w:p>
          <w:p>
            <w:pPr>
              <w:pStyle w:val="Normal"/>
              <w:spacing w:lineRule="auto" w:line="240" w:before="0" w:after="0"/>
              <w:rPr>
                <w:lang w:val="ro-RO"/>
              </w:rPr>
            </w:pPr>
            <w:r>
              <w:rPr>
                <w:rFonts w:eastAsia="SimSun" w:cs="Times New Roman"/>
                <w:sz w:val="20"/>
                <w:szCs w:val="20"/>
                <w:lang w:val="ro-RO" w:eastAsia="ro-RO"/>
              </w:rPr>
              <w:t>Autoritate/ instituție responsabilă</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E7E6E6" w:themeFill="background2" w:val="clear"/>
            <w:vAlign w:val="center"/>
          </w:tcPr>
          <w:p>
            <w:pPr>
              <w:pStyle w:val="Normal"/>
              <w:spacing w:lineRule="auto" w:line="240" w:before="0" w:after="0"/>
              <w:rPr>
                <w:rFonts w:ascii="Calibri" w:hAnsi="Calibri" w:eastAsia="SimSun" w:cs="Times New Roman"/>
                <w:sz w:val="20"/>
                <w:szCs w:val="20"/>
                <w:lang w:val="ro-RO" w:eastAsia="ro-RO"/>
              </w:rPr>
            </w:pPr>
            <w:r>
              <w:rPr>
                <w:rFonts w:eastAsia="SimSun" w:cs="Times New Roman"/>
                <w:sz w:val="20"/>
                <w:szCs w:val="20"/>
                <w:lang w:val="ro-RO" w:eastAsia="ro-RO"/>
              </w:rPr>
            </w:r>
          </w:p>
          <w:p>
            <w:pPr>
              <w:pStyle w:val="Normal"/>
              <w:spacing w:lineRule="auto" w:line="240" w:before="0" w:after="0"/>
              <w:rPr>
                <w:lang w:val="ro-RO"/>
              </w:rPr>
            </w:pPr>
            <w:r>
              <w:rPr>
                <w:rFonts w:eastAsia="SimSun" w:cs="Times New Roman"/>
                <w:sz w:val="20"/>
                <w:szCs w:val="20"/>
                <w:lang w:val="ro-RO" w:eastAsia="ro-RO"/>
              </w:rPr>
              <w:t>Termen de implementare</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E7E6E6" w:themeFill="background2" w:val="clear"/>
            <w:vAlign w:val="center"/>
          </w:tcPr>
          <w:p>
            <w:pPr>
              <w:pStyle w:val="Normal"/>
              <w:spacing w:lineRule="auto" w:line="240" w:before="0" w:after="0"/>
              <w:rPr>
                <w:rFonts w:ascii="Calibri" w:hAnsi="Calibri" w:eastAsia="SimSun" w:cs="Times New Roman"/>
                <w:sz w:val="20"/>
                <w:szCs w:val="20"/>
                <w:lang w:val="ro-RO" w:eastAsia="ro-RO"/>
              </w:rPr>
            </w:pPr>
            <w:r>
              <w:rPr>
                <w:rFonts w:eastAsia="SimSun" w:cs="Times New Roman"/>
                <w:sz w:val="20"/>
                <w:szCs w:val="20"/>
                <w:lang w:val="ro-RO" w:eastAsia="ro-RO"/>
              </w:rPr>
            </w:r>
          </w:p>
          <w:p>
            <w:pPr>
              <w:pStyle w:val="Normal"/>
              <w:spacing w:lineRule="auto" w:line="240" w:before="0" w:after="0"/>
              <w:rPr>
                <w:lang w:val="ro-RO"/>
              </w:rPr>
            </w:pPr>
            <w:r>
              <w:rPr>
                <w:rFonts w:eastAsia="SimSun" w:cs="Times New Roman"/>
                <w:sz w:val="20"/>
                <w:szCs w:val="20"/>
                <w:lang w:val="ro-RO" w:eastAsia="ro-RO"/>
              </w:rPr>
              <w:t>Indicatori de monitorizare/Rezultat așteptat</w:t>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jc w:val="center"/>
              <w:rPr>
                <w:rFonts w:cs="Calibri" w:cstheme="minorHAnsi"/>
                <w:b/>
                <w:b/>
                <w:lang w:val="ro-RO"/>
              </w:rPr>
            </w:pPr>
            <w:r>
              <w:rPr>
                <w:rFonts w:eastAsia="SimSun" w:cs="Calibri" w:cstheme="minorHAnsi"/>
                <w:b/>
                <w:sz w:val="20"/>
                <w:szCs w:val="20"/>
                <w:lang w:val="ro-RO" w:eastAsia="ro-RO"/>
              </w:rPr>
              <w:t>Obiectiv general I: Îmbunătățirea condițiilor pentru listarea pe piața de capital</w:t>
            </w:r>
          </w:p>
        </w:tc>
      </w:tr>
      <w:tr>
        <w:trPr>
          <w:trHeight w:val="192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 xml:space="preserve">Obiectiv specific I.1: </w:t>
            </w:r>
            <w:r>
              <w:rPr>
                <w:rFonts w:eastAsia="SimSun" w:cs="Calibri"/>
                <w:sz w:val="20"/>
                <w:szCs w:val="20"/>
                <w:lang w:val="ro-RO" w:eastAsia="ro-RO"/>
              </w:rPr>
              <w:t>Revizuirea cadrului de reglementare aplicabil procedurii de atragere de capital, atât pentru ofertele publice inițiale, cât și pentru cele derulate ulterior admiterii la tranzacționare a valorilor mobiliare,  în vederea simplificării procedurilor și a  reducerii perioadei de timp necesar pentru atragerea de capital.</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1"/>
              </w:numPr>
              <w:spacing w:lineRule="auto" w:line="240" w:before="160" w:after="0"/>
              <w:rPr>
                <w:rFonts w:cs="Calibri" w:cstheme="minorHAnsi"/>
                <w:lang w:val="ro-RO"/>
              </w:rPr>
            </w:pPr>
            <w:r>
              <w:rPr>
                <w:rFonts w:eastAsia="SimSun" w:cs="Calibri" w:cstheme="minorHAnsi"/>
                <w:sz w:val="20"/>
                <w:szCs w:val="20"/>
                <w:lang w:val="ro-RO" w:eastAsia="ro-RO"/>
              </w:rPr>
              <w:t xml:space="preserve">Realizarea unei analize cu privire la  cadrul de reglementare aplicabil </w:t>
            </w:r>
            <w:r>
              <w:rPr>
                <w:rFonts w:eastAsia="SimSun" w:cs="Calibri"/>
                <w:sz w:val="20"/>
                <w:szCs w:val="20"/>
                <w:lang w:val="ro-RO" w:eastAsia="ro-RO"/>
              </w:rPr>
              <w:t xml:space="preserve">procedurii de atragere de capital, atât pentru ofertele publice inițiale, cât și pentru cele derulate ulterior admiterii la tranzacționare a valorilor mobiliare, în vederea identificării  potențialelor modificări și completări ale dispozițiilor legale menite să  conducă la </w:t>
            </w:r>
            <w:r>
              <w:rPr>
                <w:rFonts w:eastAsia="SimSun" w:cs="Calibri" w:cstheme="minorHAnsi"/>
                <w:sz w:val="20"/>
                <w:szCs w:val="20"/>
                <w:lang w:val="ro-RO" w:eastAsia="ro-RO"/>
              </w:rPr>
              <w:t>simplificarea procedurilor și a reducerii perioadei de timp necesar pentru atragerea de capital</w:t>
            </w:r>
          </w:p>
          <w:p>
            <w:pPr>
              <w:pStyle w:val="ListParagraph"/>
              <w:numPr>
                <w:ilvl w:val="0"/>
                <w:numId w:val="31"/>
              </w:numPr>
              <w:spacing w:lineRule="auto" w:line="240" w:before="160" w:after="0"/>
              <w:rPr>
                <w:rFonts w:cs="Calibri" w:cstheme="minorHAnsi"/>
                <w:lang w:val="ro-RO"/>
              </w:rPr>
            </w:pPr>
            <w:r>
              <w:rPr>
                <w:rFonts w:eastAsia="SimSun" w:cs="Calibri" w:cstheme="minorHAnsi"/>
                <w:sz w:val="20"/>
                <w:szCs w:val="20"/>
                <w:lang w:val="ro-RO" w:eastAsia="ro-RO"/>
              </w:rPr>
              <w:t>Initierea procesului de elaborare a unui act normativ (de legislație primară și/sau reglementări secundare ale A.S.F.) care să includă modificările și completările identificate la pct. 1</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p>
            <w:pPr>
              <w:pStyle w:val="Normal"/>
              <w:spacing w:lineRule="auto" w:line="240" w:before="160" w:after="0"/>
              <w:jc w:val="both"/>
              <w:rPr>
                <w:rFonts w:cs="Calibri" w:cstheme="minorHAnsi"/>
              </w:rPr>
            </w:pPr>
            <w:r>
              <w:rPr>
                <w:rFonts w:eastAsia="SimSun" w:cs="Calibri" w:cstheme="minorHAnsi"/>
                <w:sz w:val="20"/>
                <w:szCs w:val="20"/>
                <w:lang w:eastAsia="ro-RO"/>
              </w:rPr>
              <w:t>-realizarea analizei de la pct. 1 din Coloana Principale acțiuni</w:t>
            </w:r>
          </w:p>
          <w:p>
            <w:pPr>
              <w:pStyle w:val="Normal"/>
              <w:spacing w:lineRule="auto" w:line="240" w:before="160" w:after="0"/>
              <w:jc w:val="both"/>
              <w:rPr>
                <w:rFonts w:cs="Calibri" w:cstheme="minorHAnsi"/>
              </w:rPr>
            </w:pPr>
            <w:r>
              <w:rPr>
                <w:rFonts w:eastAsia="SimSun" w:cs="Calibri" w:cstheme="minorHAnsi"/>
                <w:sz w:val="20"/>
                <w:szCs w:val="20"/>
                <w:lang w:eastAsia="ro-RO"/>
              </w:rPr>
              <w:t>-elaborarea proiectelor de acte normative</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1. În cazul reglementărilor secundare ale ASF (care nu necesită modificarea legislației primare)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Adoptarea de către ASF a reglementărilor secundare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2,. În cazul legislației primare  </w:t>
            </w:r>
          </w:p>
          <w:p>
            <w:pPr>
              <w:pStyle w:val="Normal"/>
              <w:spacing w:lineRule="auto" w:line="240" w:before="160" w:after="0"/>
              <w:rPr>
                <w:rFonts w:cs="Calibri" w:cstheme="minorHAnsi"/>
                <w:lang w:val="ro-RO"/>
              </w:rPr>
            </w:pPr>
            <w:r>
              <w:rPr>
                <w:rFonts w:eastAsia="SimSun" w:cs="Calibri" w:cstheme="minorHAnsi"/>
                <w:sz w:val="20"/>
                <w:szCs w:val="20"/>
                <w:lang w:val="ro-RO" w:eastAsia="ro-RO"/>
              </w:rPr>
              <w:t>Transmiterea către MF a proiectului de act normativ în vederea inițierii procesului de promovare a acestuia</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I.2: </w:t>
            </w:r>
            <w:r>
              <w:rPr>
                <w:rFonts w:eastAsia="SimSun" w:cs="Calibri" w:cstheme="minorHAnsi"/>
                <w:sz w:val="20"/>
                <w:szCs w:val="20"/>
                <w:lang w:val="ro-RO" w:eastAsia="ro-RO"/>
              </w:rPr>
              <w:t>Îmbunătățirea standardelor de guvernanță corporativă prin:</w:t>
            </w:r>
          </w:p>
          <w:p>
            <w:pPr>
              <w:pStyle w:val="Normal"/>
              <w:spacing w:lineRule="auto" w:line="240" w:before="160" w:after="0"/>
              <w:rPr>
                <w:rFonts w:cs="Calibri" w:cstheme="minorHAnsi"/>
                <w:lang w:val="ro-RO"/>
              </w:rPr>
            </w:pPr>
            <w:r>
              <w:rPr>
                <w:rFonts w:eastAsia="SimSun" w:cs="Calibri" w:cstheme="minorHAnsi"/>
                <w:sz w:val="20"/>
                <w:szCs w:val="20"/>
                <w:lang w:val="ro-RO" w:eastAsia="ro-RO"/>
              </w:rPr>
              <w:t>•</w:t>
            </w:r>
            <w:r>
              <w:rPr>
                <w:rFonts w:eastAsia="SimSun" w:cs="Calibri" w:cstheme="minorHAnsi"/>
                <w:sz w:val="20"/>
                <w:szCs w:val="20"/>
                <w:lang w:val="ro-RO" w:eastAsia="ro-RO"/>
              </w:rPr>
              <w:tab/>
              <w:t>Aderarea companiilor deținute de stat listate sau care urmează a fi listate la cele mai înalte standarde de guvernanță corporativă</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rPr>
                <w:rFonts w:ascii="Calibri" w:hAnsi="Calibri" w:eastAsia="SimSun" w:cs="Times New Roman"/>
                <w:sz w:val="20"/>
                <w:szCs w:val="20"/>
                <w:lang w:val="ro-RO" w:eastAsia="ro-RO"/>
              </w:rPr>
            </w:pPr>
            <w:r>
              <w:rPr>
                <w:rFonts w:eastAsia="SimSun" w:cs="Times New Roman"/>
                <w:sz w:val="20"/>
                <w:szCs w:val="20"/>
                <w:lang w:val="ro-RO" w:eastAsia="ro-RO"/>
              </w:rPr>
            </w:r>
          </w:p>
          <w:p>
            <w:pPr>
              <w:pStyle w:val="Normal"/>
              <w:spacing w:lineRule="auto" w:line="240" w:before="160" w:after="0"/>
              <w:rPr>
                <w:rFonts w:ascii="Calibri" w:hAnsi="Calibri" w:eastAsia="SimSun" w:cs="Times New Roman"/>
                <w:sz w:val="20"/>
                <w:szCs w:val="20"/>
                <w:lang w:val="ro-RO" w:eastAsia="ro-RO"/>
              </w:rPr>
            </w:pPr>
            <w:r>
              <w:rPr>
                <w:rFonts w:eastAsia="SimSun" w:cs="Times New Roman"/>
                <w:sz w:val="20"/>
                <w:szCs w:val="20"/>
                <w:lang w:val="ro-RO" w:eastAsia="ro-RO"/>
              </w:rPr>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rPr>
                <w:rFonts w:ascii="Calibri" w:hAnsi="Calibri" w:eastAsia="SimSun" w:cs="Calibri" w:cstheme="minorHAnsi"/>
                <w:color w:val="FF0000"/>
                <w:sz w:val="20"/>
                <w:szCs w:val="20"/>
                <w:lang w:val="ro-RO" w:eastAsia="ro-RO"/>
              </w:rPr>
            </w:pPr>
            <w:r>
              <w:rPr>
                <w:rFonts w:eastAsia="SimSun" w:cs="Calibri" w:cstheme="minorHAnsi"/>
                <w:color w:val="FF0000"/>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Companii de stat relevante</w:t>
            </w:r>
          </w:p>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44"/>
                <w:szCs w:val="44"/>
                <w:lang w:val="ro-RO" w:eastAsia="ro-RO"/>
              </w:rPr>
            </w:pPr>
            <w:r>
              <w:rPr>
                <w:rFonts w:eastAsia="SimSun" w:cs="Calibri" w:cstheme="minorHAnsi"/>
                <w:sz w:val="44"/>
                <w:szCs w:val="44"/>
                <w:lang w:val="ro-RO" w:eastAsia="ro-RO"/>
              </w:rPr>
            </w:r>
          </w:p>
          <w:p>
            <w:pPr>
              <w:pStyle w:val="Normal"/>
              <w:spacing w:lineRule="auto" w:line="240" w:before="160" w:after="0"/>
              <w:rPr>
                <w:rFonts w:cs="Calibri" w:cstheme="minorHAnsi"/>
                <w:lang w:val="ro-RO"/>
              </w:rPr>
            </w:pPr>
            <w:r>
              <w:rPr>
                <w:rFonts w:eastAsia="SimSun" w:cs="Calibri" w:cstheme="minorHAnsi"/>
                <w:lang w:val="ro-RO" w:eastAsia="ro-RO"/>
              </w:rPr>
              <w:t>Ministerul Finanțelor</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Times New Roman"/>
                <w:sz w:val="20"/>
                <w:szCs w:val="20"/>
                <w:lang w:eastAsia="ro-RO"/>
              </w:rPr>
            </w:pPr>
            <w:r>
              <w:rPr>
                <w:rFonts w:eastAsia="SimSun" w:cs="Times New Roman"/>
                <w:sz w:val="20"/>
                <w:szCs w:val="20"/>
                <w:lang w:eastAsia="ro-RO"/>
              </w:rPr>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I.3: </w:t>
            </w:r>
            <w:r>
              <w:rPr>
                <w:rFonts w:eastAsia="SimSun" w:cs="Calibri" w:cstheme="minorHAnsi"/>
                <w:sz w:val="20"/>
                <w:szCs w:val="20"/>
                <w:lang w:val="ro-RO" w:eastAsia="ro-RO"/>
              </w:rPr>
              <w:t>Extinderea și diversificarea tipologiei de instrumente tranzacționabile pe piața de capital prin:</w:t>
            </w:r>
          </w:p>
          <w:p>
            <w:pPr>
              <w:pStyle w:val="Normal"/>
              <w:spacing w:lineRule="auto" w:line="240" w:before="160" w:after="0"/>
              <w:rPr>
                <w:rFonts w:cs="Calibri" w:cstheme="minorHAnsi"/>
                <w:lang w:val="ro-RO"/>
              </w:rPr>
            </w:pPr>
            <w:r>
              <w:rPr>
                <w:rFonts w:eastAsia="SimSun" w:cs="Calibri" w:cstheme="minorHAnsi"/>
                <w:sz w:val="20"/>
                <w:szCs w:val="20"/>
                <w:lang w:val="ro-RO" w:eastAsia="ro-RO"/>
              </w:rPr>
              <w:t>•</w:t>
            </w:r>
            <w:r>
              <w:rPr>
                <w:rFonts w:eastAsia="SimSun" w:cs="Calibri" w:cstheme="minorHAnsi"/>
                <w:sz w:val="20"/>
                <w:szCs w:val="20"/>
                <w:lang w:val="ro-RO" w:eastAsia="ro-RO"/>
              </w:rPr>
              <w:tab/>
              <w:t>listarea acțiunilor reprezentând dețineri minoritare la companiile mari care sunt deținute de stat și creșterea free-float-ului pentru astfel de companii deja listate;</w:t>
            </w:r>
          </w:p>
          <w:p>
            <w:pPr>
              <w:pStyle w:val="Normal"/>
              <w:spacing w:lineRule="auto" w:line="240" w:before="160" w:after="0"/>
              <w:rPr>
                <w:rFonts w:cs="Calibri" w:cstheme="minorHAnsi"/>
                <w:lang w:val="ro-RO"/>
              </w:rPr>
            </w:pPr>
            <w:r>
              <w:rPr>
                <w:rFonts w:eastAsia="SimSun" w:cs="Calibri" w:cstheme="minorHAnsi"/>
                <w:sz w:val="20"/>
                <w:szCs w:val="20"/>
                <w:lang w:val="ro-RO" w:eastAsia="ro-RO"/>
              </w:rPr>
              <w:t>•</w:t>
            </w:r>
            <w:r>
              <w:rPr>
                <w:rFonts w:eastAsia="SimSun" w:cs="Calibri" w:cstheme="minorHAnsi"/>
                <w:sz w:val="20"/>
                <w:szCs w:val="20"/>
                <w:lang w:val="ro-RO" w:eastAsia="ro-RO"/>
              </w:rPr>
              <w:tab/>
              <w:t>încurajarea transferului pe piața  reglementată a companiilor deținute de stat listate pe sistemul multilateral de tranzacționare administrat de BVB prin întărirea și respectarea principiilor de guvernanță corporativă și îmbunătățirea cerințelor de transparență.</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BVB: Evaluarea anuală a companiilor tranzactionate in cadrul SMT pentru identificarea celor care indeplinesc conditii de transfer pe piata reglementată; Oferirea de  sprijin/asistență cu privire la cerințele de guvernanță și transparență pentru listarea pe piața reglementată</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Companii de stat relevante</w:t>
            </w:r>
          </w:p>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lang w:val="ro-RO" w:eastAsia="ro-RO"/>
              </w:rPr>
              <w:t>Companii de stat relevante</w:t>
            </w:r>
          </w:p>
          <w:p>
            <w:pPr>
              <w:pStyle w:val="Normal"/>
              <w:spacing w:lineRule="auto" w:line="240" w:before="160" w:after="0"/>
              <w:rPr>
                <w:rFonts w:cs="Calibri" w:cstheme="minorHAnsi"/>
                <w:lang w:val="ro-RO"/>
              </w:rPr>
            </w:pPr>
            <w:r>
              <w:rPr>
                <w:rFonts w:eastAsia="SimSun" w:cs="Calibri" w:cstheme="minorHAnsi"/>
                <w:lang w:val="ro-RO" w:eastAsia="ro-RO"/>
              </w:rPr>
              <w:t>Ministerul Finanțelor</w:t>
            </w:r>
          </w:p>
          <w:p>
            <w:pPr>
              <w:pStyle w:val="Normal"/>
              <w:spacing w:lineRule="auto" w:line="240" w:before="160" w:after="0"/>
              <w:rPr>
                <w:rFonts w:ascii="Calibri" w:hAnsi="Calibri" w:eastAsia="SimSun" w:cs="Calibri" w:cstheme="minorHAnsi"/>
                <w:color w:val="FF0000"/>
                <w:sz w:val="8"/>
                <w:szCs w:val="8"/>
                <w:lang w:val="ro-RO" w:eastAsia="ro-RO"/>
              </w:rPr>
            </w:pPr>
            <w:r>
              <w:rPr>
                <w:rFonts w:eastAsia="SimSun" w:cs="Calibri" w:cstheme="minorHAnsi"/>
                <w:color w:val="FF0000"/>
                <w:sz w:val="8"/>
                <w:szCs w:val="8"/>
                <w:lang w:val="ro-RO" w:eastAsia="ro-RO"/>
              </w:rPr>
            </w:r>
          </w:p>
          <w:p>
            <w:pPr>
              <w:pStyle w:val="Normal"/>
              <w:spacing w:lineRule="auto" w:line="240" w:before="160" w:after="0"/>
              <w:rPr>
                <w:rFonts w:cs="Calibri" w:cstheme="minorHAnsi"/>
                <w:lang w:val="ro-RO"/>
              </w:rPr>
            </w:pPr>
            <w:r>
              <w:rPr>
                <w:rFonts w:eastAsia="SimSun" w:cs="Calibri" w:cstheme="minorHAnsi"/>
                <w:lang w:val="ro-RO" w:eastAsia="ro-RO"/>
              </w:rPr>
              <w:t>Bursa de Valori București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2026</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Creșterea free-float-ului companiilor mari listate la care statul are dețineri minoritare.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BVB:</w:t>
            </w:r>
          </w:p>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realizarea anuală a unei situații cuprinzând companiile tranzacționate în cadrul SMT administrat de BVB care au fost identificate ca îndeplinind condițiile de admitere la tranzacționare pe piața reglementată și notificarea , până cel târziu la data de 31 martie a fiecărui an, a respectivelor companii cu privire la îndeplinirea respectivelor condiții, în vederea acordării posibilității companiilor de analizare a  oportunității luării unei decizii pentru listarea pe piața reglementată </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I.4: </w:t>
            </w:r>
            <w:r>
              <w:rPr>
                <w:rFonts w:eastAsia="SimSun" w:cs="Calibri" w:cstheme="minorHAnsi"/>
                <w:sz w:val="20"/>
                <w:szCs w:val="20"/>
                <w:lang w:val="ro-RO" w:eastAsia="ro-RO"/>
              </w:rPr>
              <w:t xml:space="preserve">Introducerea unei </w:t>
            </w:r>
            <w:r>
              <w:rPr>
                <w:rFonts w:eastAsia="SimSun"/>
                <w:sz w:val="20"/>
                <w:szCs w:val="20"/>
                <w:lang w:eastAsia="ro-RO"/>
              </w:rPr>
              <w:t>campanii naționale care se va adresa atât companiilor publice, cât și celor private</w:t>
            </w:r>
            <w:r>
              <w:rPr>
                <w:rFonts w:eastAsia="SimSun" w:cs="Calibri" w:cstheme="minorHAnsi"/>
                <w:sz w:val="20"/>
                <w:szCs w:val="20"/>
                <w:lang w:val="ro-RO" w:eastAsia="ro-RO"/>
              </w:rPr>
              <w:t xml:space="preserve"> pentru a încuraja companiile să utilizeze finanțarea din piața de capital, </w:t>
            </w:r>
            <w:r>
              <w:rPr>
                <w:rFonts w:eastAsia="SimSun" w:cs="Calibri"/>
                <w:sz w:val="20"/>
                <w:szCs w:val="20"/>
                <w:lang w:val="ro-RO" w:eastAsia="ro-RO"/>
              </w:rPr>
              <w:t>informând conducerea companiilor și alți actori relevanți despre numeroasele oportunități existente.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organizarea de workshopuri/ seminarii și realizarea de broșuri și alte materiale pentru informarea companiilor despre oportunitățile de finanțare prin intermediul pieței de capital</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lang w:val="fr-FR"/>
              </w:rPr>
            </w:pPr>
            <w:r>
              <w:rPr>
                <w:rFonts w:eastAsia="SimSun"/>
                <w:sz w:val="20"/>
                <w:szCs w:val="20"/>
                <w:lang w:val="ro-RO" w:eastAsia="ro-RO"/>
              </w:rPr>
              <w:t>Ministerul Finanțelor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cs="Calibri" w:cstheme="minorHAnsi"/>
                <w:lang w:val="ro-RO"/>
              </w:rPr>
            </w:pPr>
            <w:r>
              <w:rPr>
                <w:rFonts w:eastAsia="SimSun" w:cs="Calibri" w:cstheme="minorHAnsi"/>
                <w:sz w:val="20"/>
                <w:szCs w:val="20"/>
                <w:lang w:val="ro-RO" w:eastAsia="ro-RO"/>
              </w:rPr>
              <w:t>Stakeholderi relevanți din mediul privat și public</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lang w:val="fr-FR"/>
              </w:rPr>
            </w:pPr>
            <w:r>
              <w:rPr>
                <w:rFonts w:eastAsia="SimSun"/>
                <w:sz w:val="20"/>
                <w:szCs w:val="20"/>
                <w:lang w:val="ro-RO" w:eastAsia="ro-RO"/>
              </w:rPr>
              <w:t>Ministerul Finanțelor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cs="Calibri" w:cstheme="minorHAnsi"/>
                <w:lang w:val="ro-RO"/>
              </w:rPr>
            </w:pPr>
            <w:r>
              <w:rPr>
                <w:rFonts w:eastAsia="SimSun" w:cs="Calibri" w:cstheme="minorHAnsi"/>
                <w:sz w:val="20"/>
                <w:szCs w:val="20"/>
                <w:lang w:val="ro-RO" w:eastAsia="ro-RO"/>
              </w:rPr>
              <w:t>Stakeholderi relevanți din mediul privat și public</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2026</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Materiale de informare elaborate, campanii/evenimente și întâlniri organizate pentru promovarea investițiilor pe piața de capital din România</w:t>
            </w:r>
          </w:p>
          <w:p>
            <w:pPr>
              <w:pStyle w:val="Normal"/>
              <w:spacing w:lineRule="auto" w:line="240" w:before="160" w:after="0"/>
              <w:rPr>
                <w:rFonts w:cs="Calibri" w:cstheme="minorHAnsi"/>
                <w:lang w:val="ro-RO"/>
              </w:rPr>
            </w:pPr>
            <w:r>
              <w:rPr>
                <w:rFonts w:eastAsia="SimSun" w:cs="Calibri" w:cstheme="minorHAnsi"/>
                <w:sz w:val="20"/>
                <w:szCs w:val="20"/>
                <w:lang w:val="ro-RO" w:eastAsia="ro-RO"/>
              </w:rPr>
              <w:t>Număr de participanți</w:t>
            </w:r>
          </w:p>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 </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I.5: </w:t>
            </w:r>
            <w:r>
              <w:rPr>
                <w:rFonts w:eastAsia="SimSun" w:cs="Calibri" w:cstheme="minorHAnsi"/>
                <w:sz w:val="20"/>
                <w:szCs w:val="20"/>
                <w:lang w:val="ro-RO" w:eastAsia="ro-RO"/>
              </w:rPr>
              <w:t>Intensificarea demersurilor pentru îndeplinirea cerințelor de autorizare și operaționalizare a unei contrapărți centrale (CCP).</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monitorizarea actiunilor și proceselor operationale necesare pentru finalizarea procesului de pregatire a dosarului de autorizare conform cerințelor legale în vigoare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Acționarii Contrapărții Centrale</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Acționarii Contrapărții Centrale</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30 iunie 2023</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Respectarea calendarului intern agreat pentru monitorizarea stadiului proiectului.</w:t>
            </w:r>
          </w:p>
        </w:tc>
      </w:tr>
      <w:tr>
        <w:trPr>
          <w:trHeight w:val="58"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0" w:after="0"/>
              <w:jc w:val="both"/>
              <w:rPr>
                <w:lang w:val="ro-RO"/>
              </w:rPr>
            </w:pPr>
            <w:r>
              <w:rPr>
                <w:rFonts w:eastAsia="SimSun" w:cs="Calibri" w:cstheme="minorHAnsi"/>
                <w:b/>
                <w:sz w:val="20"/>
                <w:szCs w:val="20"/>
                <w:lang w:val="ro-RO" w:eastAsia="ro-RO"/>
              </w:rPr>
              <w:t xml:space="preserve">Obiectiv specific I.6: </w:t>
            </w:r>
            <w:r>
              <w:rPr>
                <w:rFonts w:eastAsia="SimSun" w:cs="Calibri" w:cstheme="minorHAnsi"/>
                <w:sz w:val="20"/>
                <w:szCs w:val="20"/>
                <w:lang w:val="ro-RO" w:eastAsia="ro-RO"/>
              </w:rPr>
              <w:t xml:space="preserve"> Încurajarea listării companiilor pe sistemul multilateral de tranzacționare administrat de BVB, </w:t>
            </w:r>
            <w:r>
              <w:rPr>
                <w:rFonts w:eastAsia="SimSun"/>
                <w:sz w:val="20"/>
                <w:szCs w:val="20"/>
                <w:lang w:val="ro-RO" w:eastAsia="ro-RO"/>
              </w:rPr>
              <w:t>inclusiv prin:</w:t>
            </w:r>
          </w:p>
          <w:p>
            <w:pPr>
              <w:pStyle w:val="Normal"/>
              <w:numPr>
                <w:ilvl w:val="0"/>
                <w:numId w:val="27"/>
              </w:numPr>
              <w:suppressAutoHyphens w:val="true"/>
              <w:spacing w:lineRule="auto" w:line="240" w:before="0" w:after="0"/>
              <w:jc w:val="both"/>
              <w:rPr>
                <w:rFonts w:cs="Calibri"/>
                <w:lang w:val="ro-RO"/>
              </w:rPr>
            </w:pPr>
            <w:r>
              <w:rPr>
                <w:rFonts w:eastAsia="SimSun"/>
                <w:sz w:val="20"/>
                <w:szCs w:val="20"/>
                <w:lang w:val="ro-RO" w:eastAsia="ro-RO"/>
              </w:rPr>
              <w:t>simplificarea procedurilor de listare;</w:t>
            </w:r>
          </w:p>
          <w:p>
            <w:pPr>
              <w:pStyle w:val="ListParagraph"/>
              <w:numPr>
                <w:ilvl w:val="0"/>
                <w:numId w:val="27"/>
              </w:numPr>
              <w:spacing w:lineRule="auto" w:line="240" w:before="0" w:after="0"/>
              <w:contextualSpacing/>
              <w:rPr>
                <w:rFonts w:cs="Calibri" w:cstheme="minorHAnsi"/>
                <w:lang w:val="fr-FR"/>
              </w:rPr>
            </w:pPr>
            <w:r>
              <w:rPr>
                <w:rFonts w:eastAsia="SimSun"/>
                <w:sz w:val="20"/>
                <w:szCs w:val="20"/>
                <w:lang w:val="fr-FR" w:eastAsia="ro-RO"/>
              </w:rPr>
              <w:t>implementarea utilizării unei platforme electronice posibil de accesat de către emitent și autoritățile/instituțiile cu atribuții în aprobarea solicitării de listare pentru asigurarea celerității procesului</w:t>
            </w:r>
            <w:r>
              <w:rPr>
                <w:rFonts w:eastAsia="SimSun" w:cs="Calibri" w:cstheme="minorHAnsi"/>
                <w:sz w:val="20"/>
                <w:szCs w:val="20"/>
                <w:lang w:val="fr-FR" w:eastAsia="ro-RO"/>
              </w:rPr>
              <w:t>.</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160"/>
              <w:rPr>
                <w:rFonts w:cs="Calibri" w:cstheme="minorHAnsi"/>
                <w:lang w:val="ro-RO"/>
              </w:rPr>
            </w:pPr>
            <w:r>
              <w:rPr>
                <w:rFonts w:eastAsia="SimSun" w:cs="Calibri" w:cstheme="minorHAnsi"/>
                <w:sz w:val="20"/>
                <w:szCs w:val="20"/>
                <w:lang w:val="ro-RO" w:eastAsia="ro-RO"/>
              </w:rPr>
              <w:t xml:space="preserve">analiza legislației secundare specifice emise de ASF și a regulilor de listare cuprinse în codul BVB în vederea identificării posibilităților de  simplificare a procedurilor de listare și după caz, revizuirea acestora </w:t>
            </w:r>
          </w:p>
          <w:p>
            <w:pPr>
              <w:pStyle w:val="ListParagraph"/>
              <w:spacing w:lineRule="auto" w:line="240" w:before="160" w:after="16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0" w:after="0"/>
              <w:contextualSpacing/>
              <w:rPr>
                <w:rFonts w:cs="Calibri" w:cstheme="minorHAnsi"/>
                <w:lang w:val="fr-FR"/>
              </w:rPr>
            </w:pPr>
            <w:r>
              <w:rPr>
                <w:rFonts w:eastAsia="SimSun" w:cs="Calibri" w:cstheme="minorHAnsi"/>
                <w:sz w:val="20"/>
                <w:szCs w:val="20"/>
                <w:lang w:val="fr-FR" w:eastAsia="ro-RO"/>
              </w:rPr>
              <w:t xml:space="preserve">dezvoltarea unei platforme electronice posibil de accesat de către emitent și autoritățile/ instituțiile cu atribuții în aprobarea solicitării de listare pentru asigurarea celerității procesului </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Aprobarea revizuirilor aduse cadrului de reglementare.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Implementarea și funcționarea platformei electronice.</w:t>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Obiectiv general II: Creșterea lichidității pe piața secundară</w:t>
            </w:r>
          </w:p>
        </w:tc>
      </w:tr>
      <w:tr>
        <w:trPr>
          <w:trHeight w:val="368"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II.1: </w:t>
            </w:r>
            <w:r>
              <w:rPr>
                <w:rFonts w:eastAsia="SimSun" w:cs="Calibri" w:cstheme="minorHAnsi"/>
                <w:sz w:val="20"/>
                <w:szCs w:val="20"/>
                <w:lang w:val="ro-RO" w:eastAsia="ro-RO"/>
              </w:rPr>
              <w:t xml:space="preserve">Stabilirea unui mecanism care să ofere participanților la piață analize independente (independent quantitative research) cu costuri reduse, cu privire la companiile mai mici </w:t>
            </w:r>
            <w:r>
              <w:rPr>
                <w:rFonts w:eastAsia="SimSun" w:cs="Calibri"/>
                <w:sz w:val="20"/>
                <w:szCs w:val="20"/>
                <w:lang w:val="ro-RO" w:eastAsia="ro-RO"/>
              </w:rPr>
              <w:t>sau să sprijine Societățile de Servicii de Investiții Financiare pentru furnizarea acestor cercetări pe piață (sprijinirea programului recent lansat de bursă, care vizează creșterea acoperirii cercetării cu privire la companii cu capitalizare medie sau mică)</w:t>
            </w:r>
            <w:r>
              <w:rPr>
                <w:rFonts w:eastAsia="SimSun" w:cs="Calibri" w:cstheme="minorHAnsi"/>
                <w:sz w:val="20"/>
                <w:szCs w:val="20"/>
                <w:lang w:val="ro-RO" w:eastAsia="ro-RO"/>
              </w:rPr>
              <w:t>.</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Continuarea programului de sponsorizare a analizei fundamentale și distribuirea acesteia către toți investitorii interesați prin platforma BVB Research Hub prin includerea de noi emitenti</w:t>
            </w:r>
          </w:p>
          <w:p>
            <w:pPr>
              <w:pStyle w:val="ListParagraph"/>
              <w:spacing w:lineRule="auto" w:line="240" w:before="160" w:after="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2026</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Numărul analizelor independente cu privire la companiile mai mici și numărul de Societăți de Servicii de Investiții Financiare care furnizează aceste analize.</w:t>
            </w:r>
          </w:p>
        </w:tc>
      </w:tr>
      <w:tr>
        <w:trPr>
          <w:trHeight w:val="3589"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II.2: </w:t>
            </w:r>
            <w:r>
              <w:rPr>
                <w:rFonts w:eastAsia="SimSun" w:cs="Calibri" w:cstheme="minorHAnsi"/>
                <w:sz w:val="20"/>
                <w:szCs w:val="20"/>
                <w:lang w:val="ro-RO" w:eastAsia="ro-RO"/>
              </w:rPr>
              <w:t>Realizarea unei campanii naționale de informare a acționarilor inactivi care au beneficiat de programul de privatizare în masă derulat din anii 1990 cu scopul lichidării deținerilor acestora; Acordarea unei exceptări de la plata oricărei taxe de tranzacționare.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160" w:after="0"/>
              <w:rPr>
                <w:rFonts w:cs="Calibri" w:cstheme="minorHAnsi"/>
              </w:rPr>
            </w:pPr>
            <w:r>
              <w:rPr>
                <w:rFonts w:eastAsia="SimSun" w:cs="Calibri" w:cstheme="minorHAnsi"/>
                <w:sz w:val="20"/>
                <w:szCs w:val="20"/>
                <w:lang w:eastAsia="ro-RO"/>
              </w:rPr>
              <w:t>Realizarea de evenimente de informare a acționarilor inactivi</w:t>
            </w:r>
          </w:p>
          <w:p>
            <w:pPr>
              <w:pStyle w:val="ListParagraph"/>
              <w:spacing w:lineRule="auto" w:line="240" w:before="160" w:after="0"/>
              <w:ind w:left="360" w:hanging="0"/>
              <w:rPr>
                <w:rFonts w:ascii="Calibri" w:hAnsi="Calibri" w:eastAsia="SimSun" w:cs="Calibri" w:cstheme="minorHAnsi"/>
                <w:sz w:val="20"/>
                <w:szCs w:val="20"/>
                <w:lang w:eastAsia="ro-RO"/>
              </w:rPr>
            </w:pPr>
            <w:r>
              <w:rPr>
                <w:rFonts w:eastAsia="SimSun" w:cs="Calibri" w:cstheme="minorHAnsi"/>
                <w:sz w:val="20"/>
                <w:szCs w:val="20"/>
                <w:lang w:eastAsia="ro-RO"/>
              </w:rPr>
            </w:r>
          </w:p>
          <w:p>
            <w:pPr>
              <w:pStyle w:val="ListParagraph"/>
              <w:numPr>
                <w:ilvl w:val="0"/>
                <w:numId w:val="30"/>
              </w:numPr>
              <w:spacing w:lineRule="auto" w:line="240" w:before="160" w:after="0"/>
              <w:rPr>
                <w:rFonts w:cs="Calibri" w:cstheme="minorHAnsi"/>
              </w:rPr>
            </w:pPr>
            <w:r>
              <w:rPr>
                <w:rFonts w:eastAsia="SimSun" w:cs="Calibri" w:cstheme="minorHAnsi"/>
                <w:sz w:val="20"/>
                <w:szCs w:val="20"/>
                <w:lang w:eastAsia="ro-RO"/>
              </w:rPr>
              <w:t>Realizarea de materiale de informare și publicarea lor pe site-ul autorității și/sau al instituțiilor implicate.</w:t>
            </w:r>
          </w:p>
          <w:p>
            <w:pPr>
              <w:pStyle w:val="ListParagraph"/>
              <w:spacing w:lineRule="auto" w:line="240" w:before="160" w:after="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Realizarea unei analize cu privire la modificările ce ar putea fi realizate la nivelul reglementărilor ASF referitoare la tarifele percepute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rPr>
                <w:rFonts w:ascii="Calibri" w:hAnsi="Calibri" w:eastAsia="SimSun" w:cs="Calibri" w:cstheme="minorHAnsi"/>
                <w:lang w:val="ro-RO" w:eastAsia="ro-RO"/>
              </w:rPr>
            </w:pPr>
            <w:r>
              <w:rPr>
                <w:rFonts w:eastAsia="SimSun" w:cs="Calibri" w:cstheme="minorHAnsi"/>
                <w:lang w:val="ro-RO" w:eastAsia="ro-RO"/>
              </w:rPr>
            </w:r>
          </w:p>
          <w:p>
            <w:pPr>
              <w:pStyle w:val="Normal"/>
              <w:spacing w:lineRule="auto" w:line="240" w:before="160" w:after="0"/>
              <w:rPr>
                <w:rFonts w:ascii="Calibri" w:hAnsi="Calibri" w:eastAsia="SimSun" w:cs="Calibri" w:cstheme="minorHAnsi"/>
                <w:lang w:val="ro-RO" w:eastAsia="ro-RO"/>
              </w:rPr>
            </w:pPr>
            <w:r>
              <w:rPr>
                <w:rFonts w:eastAsia="SimSun" w:cs="Calibri" w:cstheme="minorHAnsi"/>
                <w:lang w:val="ro-RO" w:eastAsia="ro-RO"/>
              </w:rPr>
            </w:r>
          </w:p>
          <w:p>
            <w:pPr>
              <w:pStyle w:val="Normal"/>
              <w:spacing w:lineRule="auto" w:line="240" w:before="160" w:after="0"/>
              <w:rPr>
                <w:rFonts w:ascii="Calibri" w:hAnsi="Calibri" w:eastAsia="SimSun" w:cs="Calibri" w:cstheme="minorHAnsi"/>
                <w:lang w:val="ro-RO" w:eastAsia="ro-RO"/>
              </w:rPr>
            </w:pPr>
            <w:r>
              <w:rPr>
                <w:rFonts w:eastAsia="SimSun" w:cs="Calibri" w:cstheme="minorHAnsi"/>
                <w:lang w:val="ro-RO" w:eastAsia="ro-RO"/>
              </w:rPr>
            </w:r>
          </w:p>
          <w:p>
            <w:pPr>
              <w:pStyle w:val="Normal"/>
              <w:spacing w:lineRule="auto" w:line="240" w:before="160" w:after="0"/>
              <w:rPr>
                <w:rFonts w:ascii="Calibri" w:hAnsi="Calibri" w:eastAsia="SimSun" w:cs="Calibri" w:cstheme="minorHAnsi"/>
                <w:sz w:val="8"/>
                <w:szCs w:val="8"/>
                <w:lang w:val="ro-RO" w:eastAsia="ro-RO"/>
              </w:rPr>
            </w:pPr>
            <w:r>
              <w:rPr>
                <w:rFonts w:eastAsia="SimSun" w:cs="Calibri" w:cstheme="minorHAnsi"/>
                <w:sz w:val="8"/>
                <w:szCs w:val="8"/>
                <w:lang w:val="ro-RO" w:eastAsia="ro-RO"/>
              </w:rPr>
            </w:r>
          </w:p>
          <w:p>
            <w:pPr>
              <w:pStyle w:val="Normal"/>
              <w:spacing w:lineRule="auto" w:line="240" w:before="160" w:after="0"/>
              <w:rPr>
                <w:rFonts w:cs="Calibri" w:cstheme="minorHAnsi"/>
                <w:lang w:val="ro-RO"/>
              </w:rPr>
            </w:pPr>
            <w:r>
              <w:rPr>
                <w:rFonts w:eastAsia="SimSun" w:cs="Calibri" w:cstheme="minorHAnsi"/>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lang w:val="ro-RO" w:eastAsia="ro-RO"/>
              </w:rPr>
              <w:t>Depozitarul Central</w:t>
            </w:r>
          </w:p>
          <w:p>
            <w:pPr>
              <w:pStyle w:val="Normal"/>
              <w:spacing w:lineRule="auto" w:line="240" w:before="160" w:after="0"/>
              <w:rPr>
                <w:rFonts w:cs="Calibri" w:cstheme="minorHAnsi"/>
                <w:lang w:val="ro-RO"/>
              </w:rPr>
            </w:pPr>
            <w:r>
              <w:rPr>
                <w:rFonts w:eastAsia="SimSun" w:cs="Calibri" w:cstheme="minorHAnsi"/>
                <w:lang w:val="ro-RO" w:eastAsia="ro-RO"/>
              </w:rPr>
              <w:t>Bursa de Valori București</w:t>
            </w:r>
          </w:p>
          <w:p>
            <w:pPr>
              <w:pStyle w:val="Normal"/>
              <w:spacing w:lineRule="auto" w:line="240" w:before="160" w:after="0"/>
              <w:rPr>
                <w:rFonts w:ascii="Calibri" w:hAnsi="Calibri" w:eastAsia="SimSun" w:cs="Calibri" w:cstheme="minorHAnsi"/>
                <w:lang w:val="ro-RO" w:eastAsia="ro-RO"/>
              </w:rPr>
            </w:pPr>
            <w:r>
              <w:rPr>
                <w:rFonts w:eastAsia="SimSun" w:cs="Calibri" w:cstheme="minorHAnsi"/>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Depozitarul Central</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2026</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Aprobarea modificărilor reglementărilor ASF referitoare la tariful de tranzacționare perceput </w:t>
            </w:r>
          </w:p>
          <w:p>
            <w:pPr>
              <w:pStyle w:val="Normal"/>
              <w:spacing w:lineRule="auto" w:line="240" w:before="160" w:after="0"/>
              <w:rPr>
                <w:rFonts w:cs="Calibri" w:cstheme="minorHAnsi"/>
                <w:lang w:val="ro-RO"/>
              </w:rPr>
            </w:pPr>
            <w:r>
              <w:rPr>
                <w:rFonts w:eastAsia="SimSun" w:cs="Calibri" w:cstheme="minorHAnsi"/>
                <w:sz w:val="20"/>
                <w:szCs w:val="20"/>
                <w:lang w:val="ro-RO" w:eastAsia="ro-RO"/>
              </w:rPr>
              <w:t>Materiale elaborate/publicate și evenimente organizate, număr de participanți</w:t>
            </w:r>
          </w:p>
          <w:p>
            <w:pPr>
              <w:pStyle w:val="Normal"/>
              <w:spacing w:lineRule="auto" w:line="240" w:before="160" w:after="0"/>
              <w:rPr>
                <w:rFonts w:cs="Calibri" w:cstheme="minorHAnsi"/>
                <w:lang w:val="ro-RO"/>
              </w:rPr>
            </w:pPr>
            <w:r>
              <w:rPr>
                <w:rFonts w:eastAsia="SimSun" w:cs="Calibri" w:cstheme="minorHAnsi"/>
                <w:sz w:val="20"/>
                <w:szCs w:val="20"/>
                <w:lang w:val="ro-RO" w:eastAsia="ro-RO"/>
              </w:rPr>
              <w:t>Număr de acționari inactivi care și-au lichidat deținerile în timpul campaniei naționale de informare, conform informațiilor deținute de Depozitarul Central</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Obiectiv specific II.3</w:t>
            </w:r>
            <w:r>
              <w:rPr>
                <w:rFonts w:eastAsia="SimSun" w:cs="Calibri" w:cstheme="minorHAnsi"/>
                <w:sz w:val="20"/>
                <w:szCs w:val="20"/>
                <w:lang w:val="ro-RO" w:eastAsia="ro-RO"/>
              </w:rPr>
              <w:t>: Evaluarea cadrului de reglementare și a cerințelor operaționale din piață în vederea stimulării ofertelor derulate ulterior admiterii la tranzacționare a valorilor mobiliare, pentru a încuraja societățile să își mărească nivelul de free-float, prin furnizare de asistență pentru acoperirea parțială sau integrală a costului acestor oferte.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ListParagraph"/>
              <w:spacing w:lineRule="auto" w:line="240" w:before="160" w:after="16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2"/>
              </w:numPr>
              <w:spacing w:lineRule="auto" w:line="240" w:before="160" w:after="160"/>
              <w:rPr>
                <w:rFonts w:cs="Calibri" w:cstheme="minorHAnsi"/>
                <w:lang w:val="ro-RO"/>
              </w:rPr>
            </w:pPr>
            <w:r>
              <w:rPr>
                <w:rFonts w:eastAsia="SimSun" w:cs="Calibri" w:cstheme="minorHAnsi"/>
                <w:sz w:val="20"/>
                <w:szCs w:val="20"/>
                <w:lang w:val="ro-RO" w:eastAsia="ro-RO"/>
              </w:rPr>
              <w:t>Evaluarea cadrului de reglementare specific în vederea identificării necesităților de revizuire</w:t>
            </w:r>
          </w:p>
          <w:p>
            <w:pPr>
              <w:pStyle w:val="Normal"/>
              <w:spacing w:lineRule="auto" w:line="240" w:before="160" w:after="16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2"/>
              </w:numPr>
              <w:spacing w:lineRule="auto" w:line="240" w:before="160" w:after="160"/>
              <w:rPr>
                <w:rFonts w:cs="Calibri" w:cstheme="minorHAnsi"/>
                <w:lang w:val="ro-RO"/>
              </w:rPr>
            </w:pPr>
            <w:r>
              <w:rPr>
                <w:rFonts w:eastAsia="SimSun" w:cs="Calibri" w:cstheme="minorHAnsi"/>
                <w:sz w:val="20"/>
                <w:szCs w:val="20"/>
                <w:lang w:val="ro-RO" w:eastAsia="ro-RO"/>
              </w:rPr>
              <w:t>evaluarea  prevederilor Codului BVB în vederea identificării necesităților de revizuire</w:t>
            </w:r>
          </w:p>
          <w:p>
            <w:pPr>
              <w:pStyle w:val="ListParagraph"/>
              <w:spacing w:lineRule="auto" w:line="240" w:before="0" w:after="0"/>
              <w:contextualSpacing/>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spacing w:lineRule="auto" w:line="240" w:before="160" w:after="16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2026</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Realizarea analizei aspectelor operaționale din piață, precum și a  reglementărilor secundare în vederea identificării necesităților de revizuire  în vederea creșterii nivelului de free-float, precum și inițierea, după caz, a  procesului de revizuire a cadrului de reglementare.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Numărul de oferte derulate ulterior admiterii la tranzacționare a valorilor mobiliare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II.4: </w:t>
            </w:r>
            <w:r>
              <w:rPr>
                <w:rFonts w:eastAsia="SimSun" w:cs="Calibri" w:cstheme="minorHAnsi"/>
                <w:sz w:val="20"/>
                <w:szCs w:val="20"/>
                <w:lang w:val="ro-RO" w:eastAsia="ro-RO"/>
              </w:rPr>
              <w:t>Intensificarea și continuarea eforturilor de creare și dezvoltare a unei piețe de instrumente financiare derivate.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ListParagraph"/>
              <w:numPr>
                <w:ilvl w:val="0"/>
                <w:numId w:val="32"/>
              </w:numPr>
              <w:spacing w:lineRule="auto" w:line="240" w:before="160" w:after="0"/>
              <w:rPr>
                <w:rFonts w:cs="Calibri" w:cstheme="minorHAnsi"/>
                <w:lang w:val="ro-RO"/>
              </w:rPr>
            </w:pPr>
            <w:r>
              <w:rPr>
                <w:rFonts w:eastAsia="SimSun" w:cs="Calibri" w:cstheme="minorHAnsi"/>
                <w:sz w:val="20"/>
                <w:szCs w:val="20"/>
                <w:lang w:val="ro-RO" w:eastAsia="ro-RO"/>
              </w:rPr>
              <w:t>elaborarea documentatiei si solicitarea aprobarii pietei reglementate de instrumente financiare derivate</w:t>
            </w:r>
          </w:p>
          <w:p>
            <w:pPr>
              <w:pStyle w:val="ListParagraph"/>
              <w:spacing w:lineRule="auto" w:line="240" w:before="160" w:after="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2"/>
              </w:numPr>
              <w:spacing w:lineRule="auto" w:line="240" w:before="160" w:after="0"/>
              <w:rPr>
                <w:rFonts w:cs="Calibri" w:cstheme="minorHAnsi"/>
                <w:lang w:val="ro-RO"/>
              </w:rPr>
            </w:pPr>
            <w:r>
              <w:rPr>
                <w:rFonts w:eastAsia="SimSun" w:cs="Calibri" w:cstheme="minorHAnsi"/>
                <w:sz w:val="20"/>
                <w:szCs w:val="20"/>
                <w:lang w:val="ro-RO" w:eastAsia="ro-RO"/>
              </w:rPr>
              <w:t>acordarea de  asistență pentru elaborarea documentatiei in vederea aprobării pietei de instrumente financiare derivate</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rPr>
                <w:rFonts w:ascii="Calibri" w:hAnsi="Calibri" w:eastAsia="SimSun" w:cs="Calibri" w:cstheme="minorHAnsi"/>
                <w:sz w:val="2"/>
                <w:szCs w:val="2"/>
                <w:lang w:val="ro-RO" w:eastAsia="ro-RO"/>
              </w:rPr>
            </w:pPr>
            <w:r>
              <w:rPr>
                <w:rFonts w:eastAsia="SimSun" w:cs="Calibri" w:cstheme="minorHAnsi"/>
                <w:sz w:val="2"/>
                <w:szCs w:val="2"/>
                <w:lang w:val="ro-RO" w:eastAsia="ro-RO"/>
              </w:rPr>
            </w:r>
          </w:p>
          <w:p>
            <w:pPr>
              <w:pStyle w:val="Normal"/>
              <w:spacing w:lineRule="auto" w:line="240" w:before="160" w:after="0"/>
              <w:rPr>
                <w:rFonts w:cs="Calibri" w:cstheme="minorHAnsi"/>
                <w:lang w:val="ro-RO"/>
              </w:rPr>
            </w:pPr>
            <w:r>
              <w:rPr>
                <w:rFonts w:eastAsia="SimSun" w:cs="Calibri" w:cstheme="minorHAnsi"/>
                <w:lang w:val="ro-RO" w:eastAsia="ro-RO"/>
              </w:rPr>
              <w:t>Bursa de Valori București</w:t>
            </w:r>
          </w:p>
          <w:p>
            <w:pPr>
              <w:pStyle w:val="Normal"/>
              <w:spacing w:lineRule="auto" w:line="240" w:before="160" w:after="0"/>
              <w:rPr>
                <w:rFonts w:cs="Calibri" w:cstheme="minorHAnsi"/>
                <w:lang w:val="ro-RO"/>
              </w:rPr>
            </w:pPr>
            <w:r>
              <w:rPr>
                <w:rFonts w:eastAsia="SimSun" w:cs="Calibri" w:cstheme="minorHAnsi"/>
                <w:lang w:val="ro-RO" w:eastAsia="ro-RO"/>
              </w:rPr>
              <w:t>Contrapartea Centrală</w:t>
            </w:r>
          </w:p>
          <w:p>
            <w:pPr>
              <w:pStyle w:val="Normal"/>
              <w:spacing w:lineRule="auto" w:line="240" w:before="160" w:after="0"/>
              <w:rPr>
                <w:rFonts w:ascii="Calibri" w:hAnsi="Calibri" w:eastAsia="SimSun" w:cs="Calibri" w:cstheme="minorHAnsi"/>
                <w:sz w:val="10"/>
                <w:szCs w:val="10"/>
                <w:lang w:val="ro-RO" w:eastAsia="ro-RO"/>
              </w:rPr>
            </w:pPr>
            <w:r>
              <w:rPr>
                <w:rFonts w:eastAsia="SimSun" w:cs="Calibri" w:cstheme="minorHAnsi"/>
                <w:sz w:val="10"/>
                <w:szCs w:val="10"/>
                <w:lang w:val="ro-RO" w:eastAsia="ro-RO"/>
              </w:rPr>
            </w:r>
          </w:p>
          <w:p>
            <w:pPr>
              <w:pStyle w:val="Normal"/>
              <w:spacing w:lineRule="auto" w:line="240" w:before="160" w:after="0"/>
              <w:rPr>
                <w:rFonts w:cs="Calibri" w:cstheme="minorHAnsi"/>
                <w:lang w:val="ro-RO"/>
              </w:rPr>
            </w:pPr>
            <w:r>
              <w:rPr>
                <w:rFonts w:eastAsia="SimSun" w:cs="Calibri" w:cstheme="minorHAnsi"/>
                <w:lang w:val="ro-RO" w:eastAsia="ro-RO"/>
              </w:rPr>
              <w:t>Autoritatea de Supraveghere Financiară</w:t>
            </w:r>
          </w:p>
          <w:p>
            <w:pPr>
              <w:pStyle w:val="Normal"/>
              <w:spacing w:lineRule="auto" w:line="240" w:before="160" w:after="0"/>
              <w:rPr>
                <w:rFonts w:cs="Calibri" w:cstheme="minorHAnsi"/>
                <w:lang w:val="ro-RO"/>
              </w:rPr>
            </w:pPr>
            <w:r>
              <w:rPr>
                <w:rFonts w:eastAsia="SimSun"/>
                <w:lang w:val="ro-RO" w:eastAsia="ro-RO"/>
              </w:rPr>
              <w:t>Alți stakeholderi relevanți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lang w:val="ro-RO" w:eastAsia="ro-RO"/>
              </w:rPr>
              <w:t>Bursa de Valori București</w:t>
            </w:r>
          </w:p>
          <w:p>
            <w:pPr>
              <w:pStyle w:val="Normal"/>
              <w:spacing w:lineRule="auto" w:line="240" w:before="160" w:after="0"/>
              <w:rPr>
                <w:rFonts w:cs="Calibri" w:cstheme="minorHAnsi"/>
                <w:lang w:val="ro-RO"/>
              </w:rPr>
            </w:pPr>
            <w:r>
              <w:rPr>
                <w:rFonts w:eastAsia="SimSun" w:cs="Calibri" w:cstheme="minorHAnsi"/>
                <w:lang w:val="ro-RO" w:eastAsia="ro-RO"/>
              </w:rPr>
              <w:t>Contrapartea Centrală</w:t>
            </w:r>
          </w:p>
          <w:p>
            <w:pPr>
              <w:pStyle w:val="Normal"/>
              <w:spacing w:lineRule="auto" w:line="240" w:before="160" w:after="0"/>
              <w:rPr>
                <w:rFonts w:ascii="Calibri" w:hAnsi="Calibri" w:eastAsia="SimSun" w:cs="Calibri" w:cstheme="minorHAnsi"/>
                <w:sz w:val="14"/>
                <w:szCs w:val="14"/>
                <w:lang w:val="ro-RO" w:eastAsia="ro-RO"/>
              </w:rPr>
            </w:pPr>
            <w:r>
              <w:rPr>
                <w:rFonts w:eastAsia="SimSun" w:cs="Calibri" w:cstheme="minorHAnsi"/>
                <w:sz w:val="14"/>
                <w:szCs w:val="14"/>
                <w:lang w:val="ro-RO" w:eastAsia="ro-RO"/>
              </w:rPr>
            </w:r>
          </w:p>
          <w:p>
            <w:pPr>
              <w:pStyle w:val="Normal"/>
              <w:spacing w:lineRule="auto" w:line="240" w:before="160" w:after="0"/>
              <w:rPr>
                <w:rFonts w:cs="Calibri" w:cstheme="minorHAnsi"/>
                <w:lang w:val="ro-RO"/>
              </w:rPr>
            </w:pPr>
            <w:r>
              <w:rPr>
                <w:rFonts w:eastAsia="SimSun" w:cs="Calibri" w:cstheme="minorHAnsi"/>
                <w:lang w:val="ro-RO" w:eastAsia="ro-RO"/>
              </w:rPr>
              <w:t>Autoritatea de Supraveghere Financiară</w:t>
            </w:r>
          </w:p>
          <w:p>
            <w:pPr>
              <w:pStyle w:val="Normal"/>
              <w:spacing w:lineRule="auto" w:line="240" w:before="160" w:after="0"/>
              <w:rPr>
                <w:rFonts w:cs="Calibri" w:cstheme="minorHAnsi"/>
                <w:lang w:val="ro-RO"/>
              </w:rPr>
            </w:pPr>
            <w:r>
              <w:rPr>
                <w:rFonts w:eastAsia="SimSun"/>
                <w:lang w:val="ro-RO" w:eastAsia="ro-RO"/>
              </w:rPr>
              <w:t>Alți stakeholderi relevanți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Demararea tranzacțiilor cu instrumente financiare derivate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II.5: </w:t>
            </w:r>
            <w:r>
              <w:rPr>
                <w:rFonts w:eastAsia="SimSun" w:cs="Calibri" w:cstheme="minorHAnsi"/>
                <w:sz w:val="20"/>
                <w:szCs w:val="20"/>
                <w:lang w:val="ro-RO" w:eastAsia="ro-RO"/>
              </w:rPr>
              <w:t>Stimularea dezvoltării operațiunilor de împrumut de instrumente financiare prin eficientizarea proceselor de gestionare a garanțiilor.</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ListParagraph"/>
              <w:numPr>
                <w:ilvl w:val="0"/>
                <w:numId w:val="32"/>
              </w:numPr>
              <w:spacing w:lineRule="auto" w:line="240" w:before="160" w:after="0"/>
              <w:rPr>
                <w:rFonts w:cs="Calibri" w:cstheme="minorHAnsi"/>
                <w:lang w:val="ro-RO"/>
              </w:rPr>
            </w:pPr>
            <w:r>
              <w:rPr>
                <w:rFonts w:eastAsia="SimSun" w:cs="Calibri" w:cstheme="minorHAnsi"/>
                <w:sz w:val="20"/>
                <w:szCs w:val="20"/>
                <w:lang w:val="ro-RO" w:eastAsia="ro-RO"/>
              </w:rPr>
              <w:t>analizarea cerințelor de administrare a riscurilor specifice, modificarea și completarea Codului Depozitarului central/Contrapărții Centrale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jc w:val="center"/>
              <w:rPr>
                <w:lang w:val="ro-RO"/>
              </w:rPr>
            </w:pPr>
            <w:r>
              <w:rPr>
                <w:rFonts w:eastAsia="SimSun"/>
                <w:sz w:val="20"/>
                <w:szCs w:val="20"/>
                <w:lang w:val="ro-RO" w:eastAsia="ro-RO"/>
              </w:rPr>
              <w:t>Autoritatea de Supraveghere Financiara</w:t>
            </w:r>
          </w:p>
          <w:p>
            <w:pPr>
              <w:pStyle w:val="Normal"/>
              <w:spacing w:lineRule="auto" w:line="240" w:before="160" w:after="0"/>
              <w:jc w:val="center"/>
              <w:rPr>
                <w:rFonts w:cs="Calibri" w:cstheme="minorHAnsi"/>
                <w:lang w:val="ro-RO"/>
              </w:rPr>
            </w:pPr>
            <w:r>
              <w:rPr>
                <w:rFonts w:eastAsia="SimSun" w:cs="Calibri" w:cstheme="minorHAnsi"/>
                <w:sz w:val="20"/>
                <w:szCs w:val="20"/>
                <w:lang w:val="ro-RO" w:eastAsia="ro-RO"/>
              </w:rPr>
              <w:t>Depozitarul Central</w:t>
            </w:r>
          </w:p>
          <w:p>
            <w:pPr>
              <w:pStyle w:val="Normal"/>
              <w:spacing w:lineRule="auto" w:line="240" w:before="160" w:after="0"/>
              <w:jc w:val="center"/>
              <w:rPr>
                <w:rFonts w:cs="Calibri" w:cstheme="minorHAnsi"/>
                <w:lang w:val="ro-RO"/>
              </w:rPr>
            </w:pPr>
            <w:r>
              <w:rPr>
                <w:rFonts w:eastAsia="SimSun" w:cs="Calibri" w:cstheme="minorHAnsi"/>
                <w:sz w:val="20"/>
                <w:szCs w:val="20"/>
                <w:lang w:val="ro-RO" w:eastAsia="ro-RO"/>
              </w:rPr>
              <w:t>Contrapartea Centrală</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jc w:val="center"/>
              <w:rPr>
                <w:lang w:val="ro-RO"/>
              </w:rPr>
            </w:pPr>
            <w:r>
              <w:rPr>
                <w:rFonts w:eastAsia="SimSun"/>
                <w:sz w:val="20"/>
                <w:szCs w:val="20"/>
                <w:lang w:val="ro-RO" w:eastAsia="ro-RO"/>
              </w:rPr>
              <w:t>Autoritatea de Supraveghere Financiara</w:t>
            </w:r>
          </w:p>
          <w:p>
            <w:pPr>
              <w:pStyle w:val="Normal"/>
              <w:spacing w:lineRule="auto" w:line="240" w:before="160" w:after="0"/>
              <w:jc w:val="center"/>
              <w:rPr>
                <w:rFonts w:cs="Calibri" w:cstheme="minorHAnsi"/>
                <w:lang w:val="ro-RO"/>
              </w:rPr>
            </w:pPr>
            <w:r>
              <w:rPr>
                <w:rFonts w:eastAsia="SimSun" w:cs="Calibri" w:cstheme="minorHAnsi"/>
                <w:sz w:val="20"/>
                <w:szCs w:val="20"/>
                <w:lang w:val="ro-RO" w:eastAsia="ro-RO"/>
              </w:rPr>
              <w:t>Depozitarul Central</w:t>
            </w:r>
          </w:p>
          <w:p>
            <w:pPr>
              <w:pStyle w:val="Normal"/>
              <w:spacing w:lineRule="auto" w:line="240" w:before="160" w:after="0"/>
              <w:jc w:val="center"/>
              <w:rPr>
                <w:rFonts w:cs="Calibri" w:cstheme="minorHAnsi"/>
                <w:lang w:val="ro-RO"/>
              </w:rPr>
            </w:pPr>
            <w:r>
              <w:rPr>
                <w:rFonts w:eastAsia="SimSun" w:cs="Calibri" w:cstheme="minorHAnsi"/>
                <w:sz w:val="20"/>
                <w:szCs w:val="20"/>
                <w:lang w:val="ro-RO" w:eastAsia="ro-RO"/>
              </w:rPr>
              <w:t>Contrapartea Centrală</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2026</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Dezvoltarea operațiunilor de împrumut de instrumente financiare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II.6: </w:t>
            </w:r>
            <w:r>
              <w:rPr>
                <w:rFonts w:eastAsia="SimSun" w:cs="Calibri" w:cstheme="minorHAnsi"/>
                <w:sz w:val="20"/>
                <w:szCs w:val="20"/>
                <w:lang w:val="ro-RO" w:eastAsia="ro-RO"/>
              </w:rPr>
              <w:t>Stimularea tranzacționării titlurilor de participare ale fondurilor deschise de investiții (OPCVM) prin intermediul sistemelor de tranzacționare ale pieței.</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 xml:space="preserve">organizarea de dezbateri cu administratorii OPCVM pentru identificarea aspectelor practice și de reglementare ce pot contribui la creșterea tranzacționării pe piață a titlurilor de participare emise de OPCVM  </w:t>
            </w:r>
          </w:p>
          <w:p>
            <w:pPr>
              <w:pStyle w:val="ListParagraph"/>
              <w:spacing w:lineRule="auto" w:line="240" w:before="160" w:after="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spacing w:lineRule="auto" w:line="240" w:before="160" w:after="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analizarea cadrului legal  în vederea identificării necesităților de revizuire  pentru stimularea tranzacționării titlurilor de participare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rPr>
                <w:rFonts w:ascii="Calibri" w:hAnsi="Calibri" w:eastAsia="SimSun" w:cs="Calibri" w:cstheme="minorHAnsi"/>
                <w:sz w:val="36"/>
                <w:szCs w:val="36"/>
                <w:lang w:val="ro-RO" w:eastAsia="ro-RO"/>
              </w:rPr>
            </w:pPr>
            <w:r>
              <w:rPr>
                <w:rFonts w:eastAsia="SimSun" w:cs="Calibri" w:cstheme="minorHAnsi"/>
                <w:sz w:val="36"/>
                <w:szCs w:val="36"/>
                <w:lang w:val="ro-RO" w:eastAsia="ro-RO"/>
              </w:rPr>
            </w:r>
          </w:p>
          <w:p>
            <w:pPr>
              <w:pStyle w:val="Normal"/>
              <w:spacing w:lineRule="auto" w:line="240" w:before="160" w:after="0"/>
              <w:rPr>
                <w:rFonts w:cs="Calibri" w:cstheme="minorHAnsi"/>
                <w:lang w:val="ro-RO"/>
              </w:rPr>
            </w:pPr>
            <w:r>
              <w:rPr>
                <w:rFonts w:eastAsia="SimSun" w:cs="Calibri" w:cstheme="minorHAnsi"/>
                <w:lang w:val="ro-RO" w:eastAsia="ro-RO"/>
              </w:rPr>
              <w:t>Bursa de Valori București</w:t>
            </w:r>
          </w:p>
          <w:p>
            <w:pPr>
              <w:pStyle w:val="Normal"/>
              <w:spacing w:lineRule="auto" w:line="240" w:before="160" w:after="0"/>
              <w:jc w:val="center"/>
              <w:rPr>
                <w:lang w:val="fr-FR"/>
              </w:rPr>
            </w:pPr>
            <w:r>
              <w:rPr>
                <w:rFonts w:eastAsia="SimSun"/>
                <w:lang w:val="ro-RO" w:eastAsia="ro-RO"/>
              </w:rPr>
              <w:t>Alți stakeholderi relevanți</w:t>
            </w:r>
          </w:p>
          <w:p>
            <w:pPr>
              <w:pStyle w:val="Normal"/>
              <w:spacing w:lineRule="auto" w:line="240" w:before="160" w:after="0"/>
              <w:rPr>
                <w:rFonts w:cs="Calibri" w:cstheme="minorHAnsi"/>
                <w:lang w:val="ro-RO"/>
              </w:rPr>
            </w:pPr>
            <w:r>
              <w:rPr>
                <w:rFonts w:eastAsia="SimSun" w:cs="Calibri" w:cstheme="minorHAnsi"/>
                <w:lang w:val="ro-RO" w:eastAsia="ro-RO"/>
              </w:rPr>
              <w:t>Asociația Administratorilor de Fonduri</w:t>
            </w:r>
          </w:p>
          <w:p>
            <w:pPr>
              <w:pStyle w:val="Normal"/>
              <w:spacing w:lineRule="auto" w:line="240" w:before="160" w:after="0"/>
              <w:rPr>
                <w:rFonts w:cs="Calibri" w:cstheme="minorHAnsi"/>
                <w:lang w:val="ro-RO"/>
              </w:rPr>
            </w:pPr>
            <w:r>
              <w:rPr>
                <w:rFonts w:eastAsia="SimSun" w:cs="Calibri" w:cstheme="minorHAnsi"/>
                <w:lang w:val="ro-RO" w:eastAsia="ro-RO"/>
              </w:rPr>
              <w:t>Autoritatea de Supraveghere Financiară</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jc w:val="center"/>
              <w:rPr>
                <w:lang w:val="fr-FR"/>
              </w:rPr>
            </w:pPr>
            <w:r>
              <w:rPr>
                <w:rFonts w:eastAsia="SimSun"/>
                <w:sz w:val="20"/>
                <w:szCs w:val="20"/>
                <w:lang w:val="ro-RO" w:eastAsia="ro-RO"/>
              </w:rPr>
              <w:t>Alți stakeholderi relevanți</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Administratorilor de Fonduri</w:t>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 xml:space="preserve">Creșterea numărului titlurilor de participare ale OPCVM tranzacționate  </w:t>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Obiectiv general III: Promovarea, dezvoltarea și creșterea unei piețe active a IMM-urilor</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III.1: </w:t>
            </w:r>
            <w:r>
              <w:rPr>
                <w:rFonts w:eastAsia="SimSun" w:cs="Calibri" w:cstheme="minorHAnsi"/>
                <w:sz w:val="20"/>
                <w:szCs w:val="20"/>
                <w:lang w:val="ro-RO" w:eastAsia="ro-RO"/>
              </w:rPr>
              <w:t xml:space="preserve">Intensificarea cooperării între BVB și Camera de Comerț și Industrie a României (CCIR) </w:t>
            </w:r>
            <w:r>
              <w:rPr>
                <w:rFonts w:eastAsia="SimSun" w:cs="Calibri"/>
                <w:sz w:val="20"/>
                <w:szCs w:val="20"/>
                <w:lang w:val="ro-RO" w:eastAsia="ro-RO"/>
              </w:rPr>
              <w:t xml:space="preserve">și organizarea de workshop-uri, seminarii, conferințe </w:t>
            </w:r>
            <w:r>
              <w:rPr>
                <w:rFonts w:eastAsia="SimSun" w:cs="Calibri" w:cstheme="minorHAnsi"/>
                <w:sz w:val="20"/>
                <w:szCs w:val="20"/>
                <w:lang w:val="ro-RO" w:eastAsia="ro-RO"/>
              </w:rPr>
              <w:t xml:space="preserve">pentru a promova metodele de finanțare prin piața de capital în rândul IMM-urilor </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încheierea unui protocol de colaborare; organizarea de workshopuri, seminarii, conferințe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cs="Calibri" w:cstheme="minorHAnsi"/>
                <w:lang w:val="ro-RO"/>
              </w:rPr>
            </w:pPr>
            <w:r>
              <w:rPr>
                <w:rFonts w:eastAsia="SimSun" w:cs="Calibri" w:cstheme="minorHAnsi"/>
                <w:sz w:val="20"/>
                <w:szCs w:val="20"/>
                <w:lang w:val="ro-RO" w:eastAsia="ro-RO"/>
              </w:rPr>
              <w:t>Camera de Comerț și Industrie a României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cs="Calibri" w:cstheme="minorHAnsi"/>
                <w:lang w:val="ro-RO"/>
              </w:rPr>
            </w:pPr>
            <w:r>
              <w:rPr>
                <w:rFonts w:eastAsia="SimSun" w:cs="Calibri" w:cstheme="minorHAnsi"/>
                <w:sz w:val="20"/>
                <w:szCs w:val="20"/>
                <w:lang w:val="ro-RO" w:eastAsia="ro-RO"/>
              </w:rPr>
              <w:t>Camera de Comerț și Industrie a României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Număr de workshop-uri, seminarii și conferințe organizate.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III.2: </w:t>
            </w:r>
            <w:r>
              <w:rPr>
                <w:rFonts w:eastAsia="SimSun" w:cs="Calibri" w:cstheme="minorHAnsi"/>
                <w:sz w:val="20"/>
                <w:szCs w:val="20"/>
                <w:lang w:val="ro-RO" w:eastAsia="ro-RO"/>
              </w:rPr>
              <w:t>Evaluarea caracterului adecvat al pragului sub care ofertele publice de valori mobiliare sunt scutite de obligația de a publica un prospect.</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evaluarea pietei naționale din perspectiva valorilor aferente ofertelor publice  în vederea stabilirii oportunității modificării modalității de exercitare a opțiunii naționale prevazute în legislația europeană cu privire la exceptările de la obligația de publicare a prospectului</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Raport de evaluare. Stabilirea oportunității modificării modalității de exercitare a opțiunii naționale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III.3: </w:t>
            </w:r>
            <w:r>
              <w:rPr>
                <w:rFonts w:eastAsia="SimSun" w:cs="Calibri" w:cstheme="minorHAnsi"/>
                <w:sz w:val="20"/>
                <w:szCs w:val="20"/>
                <w:lang w:val="ro-RO" w:eastAsia="ro-RO"/>
              </w:rPr>
              <w:t>Sprijinirea intermediarilor prin reducerea de taxe și tarife pentru a susține companiile mici în evaluarea perspectivelor financiare și admiterii pe sistemul multilateral de tranzacționare administrat de BVB.</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revizuirea cadrului de reglementare aplicabil în vederea  acordării unor deduceri din tarifele cuvenite ASF/BVB pentru societățile de servicii de investiții financiare/instituțiile de credit care asigură intermedierea procedurii de admitere la tranzactionare pe piata reglementata/sistemul multilateral de tranzactionare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Aprobarea revizuirilor aduse cadrului de reglementare.</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 xml:space="preserve">Obiectiv specific III.4: </w:t>
            </w:r>
            <w:r>
              <w:rPr>
                <w:rFonts w:eastAsia="SimSun" w:cs="Calibri" w:cstheme="minorHAnsi"/>
                <w:sz w:val="20"/>
                <w:szCs w:val="20"/>
                <w:lang w:val="ro-RO" w:eastAsia="ro-RO"/>
              </w:rPr>
              <w:t>Elaborarea unui mecanism pentru stimularea societăților listate pe sistemul multilateral de tranzacționare administrat de BVB care îndeplinesc cerințele legale pentru a se transfera pe piața reglementată.</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Analiza cadrului de reglementare in vigoare și a prevederilor codului BVB în vederea identificării posibilităților de revizuire pentru a facilita transferul emitentilor eligibili din piata SMT in piata reglementata și după caz revizuirea acestora</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Aprobarea revizuirilor aduse cadrului de reglementare.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III.5: </w:t>
            </w:r>
            <w:r>
              <w:rPr>
                <w:rFonts w:eastAsia="SimSun" w:cs="Calibri" w:cstheme="minorHAnsi"/>
                <w:sz w:val="20"/>
                <w:szCs w:val="20"/>
                <w:lang w:val="ro-RO" w:eastAsia="ro-RO"/>
              </w:rPr>
              <w:t>Stimularea înființării fondurilor de investiții de tip IPO Fund pentru sprijinirea finanțării IMM-urilor. Sprijinirea IMM-urilor pentru accesul la finanțarea oferită prin intermediul Fondului European pentru sprijinirea IPO pentru IMM (</w:t>
            </w:r>
            <w:r>
              <w:rPr>
                <w:rFonts w:eastAsia="SimSun" w:cs="Calibri" w:cstheme="minorHAnsi"/>
                <w:i/>
                <w:sz w:val="20"/>
                <w:szCs w:val="20"/>
                <w:lang w:val="ro-RO" w:eastAsia="ro-RO"/>
              </w:rPr>
              <w:t>EU fund to help promote SME IPOs</w:t>
            </w:r>
            <w:r>
              <w:rPr>
                <w:rFonts w:eastAsia="SimSun" w:cs="Calibri" w:cstheme="minorHAnsi"/>
                <w:sz w:val="20"/>
                <w:szCs w:val="20"/>
                <w:lang w:val="ro-RO" w:eastAsia="ro-RO"/>
              </w:rPr>
              <w:t>).</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 xml:space="preserve">completarea cadrului de reglementare in vigoare și a prevederilor codului BVB </w:t>
            </w:r>
          </w:p>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organizarea de sesiuni de informare adresate direct IMM-urilor care au nevoie de finanțare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Administratorilor de Fonduri</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Administratorilor de Fonduri</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Aprobarea revizuirilor aduse cadrului de reglementare.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Număr de sesiuni de informare.</w:t>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 xml:space="preserve">Obiectiv general IV: Promovarea economiilor în rândul </w:t>
            </w:r>
            <w:r>
              <w:rPr>
                <w:rFonts w:eastAsia="SimSun" w:cs="Calibri"/>
                <w:b/>
                <w:sz w:val="20"/>
                <w:szCs w:val="20"/>
                <w:lang w:val="ro-RO" w:eastAsia="ro-RO"/>
              </w:rPr>
              <w:t>investitorilor persoane fizice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IV.1: </w:t>
            </w:r>
            <w:r>
              <w:rPr>
                <w:rFonts w:eastAsia="SimSun" w:cs="Calibri" w:cstheme="minorHAnsi"/>
                <w:sz w:val="20"/>
                <w:szCs w:val="20"/>
                <w:lang w:val="ro-RO" w:eastAsia="ro-RO"/>
              </w:rPr>
              <w:t xml:space="preserve">Creșterea segmentului de populație care are </w:t>
            </w:r>
            <w:r>
              <w:rPr>
                <w:rFonts w:eastAsia="SimSun" w:cs="Calibri" w:cstheme="minorHAnsi"/>
                <w:b/>
                <w:sz w:val="20"/>
                <w:szCs w:val="20"/>
                <w:lang w:val="ro-RO" w:eastAsia="ro-RO"/>
              </w:rPr>
              <w:t>acces la un cont bancar</w:t>
            </w:r>
            <w:r>
              <w:rPr>
                <w:rFonts w:eastAsia="SimSun" w:cs="Calibri" w:cstheme="minorHAnsi"/>
                <w:sz w:val="20"/>
                <w:szCs w:val="20"/>
                <w:lang w:val="ro-RO" w:eastAsia="ro-RO"/>
              </w:rPr>
              <w:t xml:space="preserve"> </w:t>
            </w:r>
            <w:r>
              <w:rPr>
                <w:rFonts w:eastAsia="SimSun" w:cs="Calibri"/>
                <w:sz w:val="20"/>
                <w:szCs w:val="20"/>
                <w:lang w:val="ro-RO" w:eastAsia="ro-RO"/>
              </w:rPr>
              <w:t xml:space="preserve">prin bănci cooperatiste și implementarea de instrumente digitale de reducere a costurilor, precum și  a </w:t>
            </w:r>
            <w:r>
              <w:rPr>
                <w:rFonts w:eastAsia="SimSun" w:cs="Calibri" w:cstheme="minorHAnsi"/>
                <w:b/>
                <w:sz w:val="20"/>
                <w:szCs w:val="20"/>
                <w:lang w:val="ro-RO" w:eastAsia="ro-RO"/>
              </w:rPr>
              <w:t xml:space="preserve">gradului de conștientizare în rândul potențialilor investitori </w:t>
            </w:r>
            <w:r>
              <w:rPr>
                <w:rFonts w:eastAsia="SimSun" w:cs="Calibri"/>
                <w:b/>
                <w:sz w:val="20"/>
                <w:szCs w:val="20"/>
                <w:lang w:val="ro-RO" w:eastAsia="ro-RO"/>
              </w:rPr>
              <w:t xml:space="preserve">persoane fizice </w:t>
            </w:r>
            <w:r>
              <w:rPr>
                <w:rFonts w:eastAsia="SimSun" w:cs="Calibri" w:cstheme="minorHAnsi"/>
                <w:b/>
                <w:sz w:val="20"/>
                <w:szCs w:val="20"/>
                <w:lang w:val="ro-RO" w:eastAsia="ro-RO"/>
              </w:rPr>
              <w:t xml:space="preserve">cu privire la alternativa investițiilor/plasamentelor în instrumente financiare </w:t>
            </w:r>
            <w:r>
              <w:rPr>
                <w:rFonts w:eastAsia="SimSun" w:cs="Calibri"/>
                <w:b/>
                <w:sz w:val="20"/>
                <w:szCs w:val="20"/>
                <w:lang w:val="ro-RO" w:eastAsia="ro-RO"/>
              </w:rPr>
              <w:t xml:space="preserve">-  </w:t>
            </w:r>
            <w:r>
              <w:rPr>
                <w:rFonts w:eastAsia="SimSun" w:cs="Calibri"/>
                <w:sz w:val="20"/>
                <w:szCs w:val="20"/>
                <w:lang w:val="ro-RO" w:eastAsia="ro-RO"/>
              </w:rPr>
              <w:t xml:space="preserve">Utilizarea resorturilor aferente </w:t>
            </w:r>
            <w:r>
              <w:rPr>
                <w:rFonts w:eastAsia="SimSun" w:cs="Calibri"/>
                <w:b/>
                <w:sz w:val="20"/>
                <w:szCs w:val="20"/>
                <w:lang w:val="ro-RO" w:eastAsia="ro-RO"/>
              </w:rPr>
              <w:t>Strategiei Naționale de Educație Financiară.</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Supravegherea implementării de instrumente digitale; dezvoltarea accesului la servicii bancare prin telefonul mobil de catre Banca Centrală Cooperatistă Creditcoop</w:t>
            </w:r>
          </w:p>
          <w:p>
            <w:pPr>
              <w:pStyle w:val="ListParagraph"/>
              <w:spacing w:lineRule="auto" w:line="240" w:before="160" w:after="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Continuarea programelor de titluri de stat destinate populației TEZAUR (prin intermediul unităților trezoreriilor statului și oficiile poștale) și FIDELIS (prin institutii de credit si societați de servicii financiare)</w:t>
            </w:r>
          </w:p>
          <w:p>
            <w:pPr>
              <w:pStyle w:val="ListParagraph"/>
              <w:spacing w:lineRule="auto" w:line="240" w:before="160" w:after="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Organizarea de sesiuni/seminarii/workshopuri prin utilizarea resorturilor aferente Strategiei Naționale de Educație Financiară</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Ministerul Educației </w:t>
            </w:r>
          </w:p>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p>
            <w:pPr>
              <w:pStyle w:val="Normal"/>
              <w:spacing w:lineRule="auto" w:line="240" w:before="160" w:after="0"/>
              <w:rPr>
                <w:rFonts w:ascii="Calibri" w:hAnsi="Calibri" w:eastAsia="SimSun" w:cs="Calibri" w:cstheme="minorHAnsi"/>
                <w:strike/>
                <w:sz w:val="20"/>
                <w:szCs w:val="20"/>
                <w:lang w:val="ro-RO" w:eastAsia="ro-RO"/>
              </w:rPr>
            </w:pPr>
            <w:r>
              <w:rPr>
                <w:rFonts w:eastAsia="SimSun" w:cs="Calibri" w:cstheme="minorHAnsi"/>
                <w:strike/>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 /Institutul de Studii Financiare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Română a Băncilor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Administratorilor de Fonduri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Ministerul Educației </w:t>
            </w:r>
          </w:p>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p>
            <w:pPr>
              <w:pStyle w:val="Normal"/>
              <w:spacing w:lineRule="auto" w:line="240" w:before="160" w:after="0"/>
              <w:rPr>
                <w:rFonts w:ascii="Calibri" w:hAnsi="Calibri" w:eastAsia="SimSun" w:cs="Calibri" w:cstheme="minorHAnsi"/>
                <w:strike/>
                <w:sz w:val="20"/>
                <w:szCs w:val="20"/>
                <w:lang w:val="ro-RO" w:eastAsia="ro-RO"/>
              </w:rPr>
            </w:pPr>
            <w:r>
              <w:rPr>
                <w:rFonts w:eastAsia="SimSun" w:cs="Calibri" w:cstheme="minorHAnsi"/>
                <w:strike/>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 /Institutul de Studii Financiare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Română a Băncilor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Administratorilor de Fonduri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Creșterea numărului de persoane cu acces la un cont bancar prin bănci cooperatiste</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sz w:val="20"/>
                <w:szCs w:val="20"/>
                <w:lang w:eastAsia="ro-RO"/>
              </w:rPr>
            </w:pPr>
            <w:r>
              <w:rPr>
                <w:rFonts w:eastAsia="SimSun" w:cs="Calibri"/>
                <w:sz w:val="20"/>
                <w:szCs w:val="20"/>
                <w:lang w:val="ro-RO" w:eastAsia="ro-RO"/>
              </w:rPr>
              <w:t xml:space="preserve">Diversificarea bazei institutionale de retail pentru </w:t>
            </w:r>
            <w:bookmarkStart w:id="1112" w:name="_GoBack1"/>
            <w:bookmarkEnd w:id="1112"/>
            <w:r>
              <w:rPr>
                <w:rFonts w:eastAsia="SimSun" w:cs="Calibri"/>
                <w:sz w:val="20"/>
                <w:szCs w:val="20"/>
                <w:lang w:val="ro-RO" w:eastAsia="ro-RO"/>
              </w:rPr>
              <w:t xml:space="preserve">piata titlurilor de stat </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Număr sesiuni / seminarii / workshopuri organizate; număr participanți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Obiectiv general V: Creșterea rolului investitorilor instituționali</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V.1: Continuarea  procesului de simplificare, debirocratizare și fluidizare a operațiunilor/procedurilor de  autorizare/înregistrare a  OPC </w:t>
              <w:br/>
              <w:t xml:space="preserve">(OPCVM/FIA)/fondurilor de pensii private/ocupaționale) </w:t>
            </w:r>
            <w:r>
              <w:rPr>
                <w:rFonts w:eastAsia="SimSun" w:cs="Calibri"/>
                <w:sz w:val="20"/>
                <w:szCs w:val="20"/>
                <w:lang w:val="ro-RO" w:eastAsia="ro-RO"/>
              </w:rPr>
              <w:t>inclusiv prin revizuirea legislației secundare și standardizarea unora dintre documentele necesare.</w:t>
            </w:r>
            <w:r>
              <w:rPr>
                <w:rFonts w:eastAsia="SimSun" w:cs="Calibri" w:cstheme="minorHAnsi"/>
                <w:b/>
                <w:sz w:val="20"/>
                <w:szCs w:val="20"/>
                <w:lang w:val="ro-RO" w:eastAsia="ro-RO"/>
              </w:rPr>
              <w:t xml:space="preserve"> </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 xml:space="preserve">revizuirea legislației primare și secundare relevante și standardizarea  documentației necesare; </w:t>
            </w:r>
          </w:p>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creșterea gradului de digitalizare a procesului de autorizare;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2026</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1. În cazul reglementărilor secundare ale ASF (care nu necesită modificarea legislației primare):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Adoptarea de către ASF a reglementărilor secundare</w:t>
            </w:r>
          </w:p>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2. În cazul legislației primare:  </w:t>
            </w:r>
          </w:p>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Transmiterea către MF a proiectului de act normativ în vederea inițierii procesului de promovare a acestuia </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V.2: </w:t>
            </w:r>
            <w:r>
              <w:rPr>
                <w:rFonts w:eastAsia="SimSun" w:cs="Calibri" w:cstheme="minorHAnsi"/>
                <w:sz w:val="20"/>
                <w:szCs w:val="20"/>
                <w:lang w:val="ro-RO" w:eastAsia="ro-RO"/>
              </w:rPr>
              <w:t>Prioritizarea campaniei de conștientizare în ceea ce privește necesitatea creșterii ratei de economisire concomitent cu promovarea produselor de investiții pe termen lung.</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Organizarea de sesiuni/seminarii/workshopuri prin utilizarea resorturilor aferente Strategiei Naționale de Educație Financiară</w:t>
            </w:r>
          </w:p>
          <w:p>
            <w:pPr>
              <w:pStyle w:val="ListParagraph"/>
              <w:spacing w:lineRule="auto" w:line="240" w:before="160" w:after="0"/>
              <w:ind w:left="360"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ListParagraph"/>
              <w:numPr>
                <w:ilvl w:val="0"/>
                <w:numId w:val="30"/>
              </w:numPr>
              <w:spacing w:lineRule="auto" w:line="240" w:before="160" w:after="0"/>
              <w:rPr>
                <w:rFonts w:cs="Calibri" w:cstheme="minorHAnsi"/>
                <w:lang w:val="ro-RO"/>
              </w:rPr>
            </w:pPr>
            <w:r>
              <w:rPr>
                <w:rFonts w:eastAsia="SimSun" w:cs="Calibri" w:cstheme="minorHAnsi"/>
                <w:sz w:val="20"/>
                <w:szCs w:val="20"/>
                <w:lang w:val="ro-RO" w:eastAsia="ro-RO"/>
              </w:rPr>
              <w:t>Organizarea de campanii de informare a angajatorilor din diferite ramuri economice cu privire la schemele de pensii ocupationale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Ministerul Educației </w:t>
            </w:r>
          </w:p>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Română a Băncilor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Administratorilor de Fonduri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Ministerul Educației </w:t>
            </w:r>
          </w:p>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Română a Băncilor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Asociația Administratorilor de Fonduri </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Număr de workshop-uri, seminarii, conferințe organizate.</w:t>
            </w:r>
          </w:p>
          <w:p>
            <w:pPr>
              <w:pStyle w:val="Normal"/>
              <w:spacing w:lineRule="auto" w:line="240" w:before="160" w:after="0"/>
              <w:rPr>
                <w:rFonts w:cs="Calibri" w:cstheme="minorHAnsi"/>
                <w:lang w:val="ro-RO"/>
              </w:rPr>
            </w:pPr>
            <w:r>
              <w:rPr>
                <w:rFonts w:eastAsia="SimSun" w:cs="Calibri" w:cstheme="minorHAnsi"/>
                <w:sz w:val="20"/>
                <w:szCs w:val="20"/>
                <w:lang w:val="ro-RO" w:eastAsia="ro-RO"/>
              </w:rPr>
              <w:t xml:space="preserve">Număr de materiale de informare elaborate. </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 xml:space="preserve">Obiectiv specific V.3: </w:t>
            </w:r>
            <w:r>
              <w:rPr>
                <w:rFonts w:eastAsia="SimSun" w:cs="Calibri" w:cstheme="minorHAnsi"/>
                <w:sz w:val="20"/>
                <w:szCs w:val="20"/>
                <w:lang w:val="ro-RO" w:eastAsia="ro-RO"/>
              </w:rPr>
              <w:t xml:space="preserve">Creșterea gradului de conștientizare în rândul angajatorilor din sectorul public și privat cu privire la oportunitățile oferite prin înființarea de fonduri de pensii ocupaționale (stimulare/fidelizare a salariaților; creșterea conturilor de economisire pentru pensii prin activitatea celui de al 4-lea pilon; salariații pot contribui împreună cu angajatorii la conturile personale de pensii ocupaționale);  </w:t>
            </w:r>
          </w:p>
          <w:p>
            <w:pPr>
              <w:pStyle w:val="Normal"/>
              <w:spacing w:lineRule="auto" w:line="240" w:before="160" w:after="0"/>
              <w:rPr>
                <w:rFonts w:cs="Calibri" w:cstheme="minorHAnsi"/>
                <w:b/>
                <w:b/>
                <w:lang w:val="ro-RO"/>
              </w:rPr>
            </w:pPr>
            <w:r>
              <w:rPr>
                <w:rFonts w:eastAsia="SimSun" w:cs="Calibri"/>
                <w:sz w:val="20"/>
                <w:szCs w:val="20"/>
                <w:lang w:val="ro-RO" w:eastAsia="ro-RO"/>
              </w:rPr>
              <w:t>Evaluarea oportunității și inițierea înființării unor Fonduri de pensii ocupaționale de către angajatorii din diferite ramuri economice (ex. Fondul ocupațional pentru salariații din industria IT/ din sectorul financiar/ din agricultură/ din industria auto/ din administrația publică etc).</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40" w:before="160" w:after="0"/>
              <w:ind w:left="380" w:hanging="360"/>
              <w:rPr>
                <w:rFonts w:cs="Calibri" w:cstheme="minorHAnsi"/>
                <w:lang w:val="ro-RO"/>
              </w:rPr>
            </w:pPr>
            <w:r>
              <w:rPr>
                <w:rFonts w:eastAsia="SimSun" w:cs="Calibri" w:cstheme="minorHAnsi"/>
                <w:sz w:val="20"/>
                <w:szCs w:val="20"/>
                <w:lang w:val="ro-RO" w:eastAsia="ro-RO"/>
              </w:rPr>
              <w:t>Organizarea de prezentări/ seminarii / campanii de informare a angajatorilor din diferite ramuri economice   cu privire la schemele de pensii ocupationale care pot fi constituite potrivit noului cadru de reglementare în vederea prezentării oportunității și inițierea înființării unor Fonduri de pensii ocupaționale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ascii="Calibri" w:hAnsi="Calibri" w:eastAsia="SimSun"/>
                <w:sz w:val="20"/>
                <w:szCs w:val="20"/>
                <w:lang w:eastAsia="ro-RO"/>
              </w:rPr>
            </w:pPr>
            <w:r>
              <w:rPr>
                <w:rFonts w:eastAsia="SimSun"/>
                <w:sz w:val="20"/>
                <w:szCs w:val="20"/>
                <w:lang w:val="ro-RO" w:eastAsia="ro-RO"/>
              </w:rPr>
              <w:t>Asociația pentru pensiile administrate privat din România</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Administratorilor de Fonduri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sz w:val="20"/>
                <w:szCs w:val="20"/>
                <w:lang w:val="ro-RO" w:eastAsia="ro-RO"/>
              </w:rPr>
              <w:t>Asociația pentru pensiile administrate privat din România</w:t>
            </w:r>
          </w:p>
          <w:p>
            <w:pPr>
              <w:pStyle w:val="Normal"/>
              <w:spacing w:lineRule="auto" w:line="240" w:before="160" w:after="0"/>
              <w:rPr>
                <w:rFonts w:cs="Calibri" w:cstheme="minorHAnsi"/>
                <w:lang w:val="ro-RO"/>
              </w:rPr>
            </w:pPr>
            <w:r>
              <w:rPr>
                <w:rFonts w:eastAsia="SimSun" w:cs="Calibri" w:cstheme="minorHAnsi"/>
                <w:sz w:val="20"/>
                <w:szCs w:val="20"/>
                <w:lang w:val="ro-RO" w:eastAsia="ro-RO"/>
              </w:rPr>
              <w:t>Asociația Administratorilor de Fonduri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Număr prezentări / seminarii organizate; număr participanți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Obiectiv general VI: Facilitarea finanțării pe termen lung prin mecanisme de piață</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 xml:space="preserve">Obiectiv specific VI.1: </w:t>
            </w:r>
            <w:r>
              <w:rPr>
                <w:rFonts w:eastAsia="SimSun" w:cs="Calibri"/>
                <w:sz w:val="20"/>
                <w:szCs w:val="20"/>
                <w:lang w:val="ro-RO" w:eastAsia="ro-RO"/>
              </w:rPr>
              <w:t>Analizarea cadrului de reglementare și a proceselor operaționale aplicabile în vederea  identificării modificărilor necesare pentru eficientizarea  procesului de listare a obligațiunilor corporative.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40" w:before="160" w:after="0"/>
              <w:ind w:left="380" w:hanging="360"/>
              <w:rPr>
                <w:rFonts w:cs="Calibri" w:cstheme="minorHAnsi"/>
                <w:lang w:val="ro-RO"/>
              </w:rPr>
            </w:pPr>
            <w:r>
              <w:rPr>
                <w:rFonts w:eastAsia="SimSun" w:cs="Calibri" w:cstheme="minorHAnsi"/>
                <w:sz w:val="20"/>
                <w:szCs w:val="20"/>
                <w:lang w:val="ro-RO" w:eastAsia="ro-RO"/>
              </w:rPr>
              <w:t xml:space="preserve"> </w:t>
            </w:r>
            <w:r>
              <w:rPr>
                <w:rFonts w:eastAsia="SimSun" w:cs="Calibri" w:cstheme="minorHAnsi"/>
                <w:sz w:val="20"/>
                <w:szCs w:val="20"/>
                <w:lang w:val="ro-RO" w:eastAsia="ro-RO"/>
              </w:rPr>
              <w:t>Evaluarea cadrului de reglementare și a proceselor operaționale aplicabile în vederea  identificării modificărilor/demersurilor necesare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highlight w:val="cyan"/>
                <w:lang w:val="ro-RO"/>
              </w:rPr>
            </w:pPr>
            <w:r>
              <w:rPr>
                <w:rFonts w:eastAsia="SimSun" w:cs="Calibri" w:cstheme="minorHAnsi"/>
                <w:sz w:val="20"/>
                <w:szCs w:val="20"/>
                <w:lang w:val="ro-RO" w:eastAsia="ro-RO"/>
              </w:rPr>
              <w:t>Bursa de Valori București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Raport de analiză.</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132"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 xml:space="preserve">Obiectiv specific VI.2: </w:t>
            </w:r>
            <w:r>
              <w:rPr>
                <w:rFonts w:eastAsia="SimSun" w:cs="Calibri" w:cstheme="minorHAnsi"/>
                <w:sz w:val="20"/>
                <w:szCs w:val="20"/>
                <w:lang w:val="ro-RO" w:eastAsia="ro-RO"/>
              </w:rPr>
              <w:t>Stimularea dezvoltării pieței obligațiunilor corporative inclusiv prin încurajarea investițiilor în obligațiuni emise de societățile nefinanciare admise la tranzacționare în cadrul BVB de către investitori instituționali prin reducerea/eliminarea taxelor/tarifelor de tranzacționare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40" w:before="160" w:after="0"/>
              <w:ind w:left="380" w:hanging="360"/>
              <w:rPr>
                <w:rFonts w:cs="Calibri" w:cstheme="minorHAnsi"/>
                <w:lang w:val="ro-RO"/>
              </w:rPr>
            </w:pPr>
            <w:r>
              <w:rPr>
                <w:rFonts w:eastAsia="SimSun" w:cs="Calibri" w:cstheme="minorHAnsi"/>
                <w:sz w:val="20"/>
                <w:szCs w:val="20"/>
                <w:lang w:val="ro-RO" w:eastAsia="ro-RO"/>
              </w:rPr>
              <w:t>revizuirea cadrului de reglementare pentru acordarea unor deduceri din tarifele cuvenite ASF pentru stimularea tranzactiilor cu obligatiuni corporative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Aprobarea revizuirilor aduse cadrului de reglementare.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 xml:space="preserve">Obiectiv specific VI.3: </w:t>
            </w:r>
            <w:r>
              <w:rPr>
                <w:rFonts w:eastAsia="SimSun"/>
                <w:b/>
                <w:sz w:val="20"/>
                <w:szCs w:val="20"/>
                <w:lang w:eastAsia="ro-RO"/>
              </w:rPr>
              <w:t xml:space="preserve">Dezvoltarea de proiecte în regim de parteneriat public-privat </w:t>
            </w:r>
            <w:r>
              <w:rPr>
                <w:rFonts w:eastAsia="SimSun"/>
                <w:sz w:val="20"/>
                <w:szCs w:val="20"/>
                <w:lang w:eastAsia="ro-RO"/>
              </w:rPr>
              <w:t>în care, în urma unei proceduri concurențiale, este creata o companie sau entitate  în scopul executării proiectelor de infrastructură, pe care le-ar putea finanța prin emiterea de obligațiuni corporative.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uppressAutoHyphens w:val="true"/>
              <w:spacing w:lineRule="auto" w:line="240" w:before="160" w:after="160"/>
              <w:ind w:left="416" w:hanging="360"/>
              <w:rPr>
                <w:rFonts w:ascii="Calibri" w:hAnsi="Calibri" w:eastAsia="SimSun"/>
                <w:sz w:val="20"/>
                <w:szCs w:val="20"/>
                <w:lang w:eastAsia="ro-RO"/>
              </w:rPr>
            </w:pPr>
            <w:r>
              <w:rPr>
                <w:rFonts w:eastAsia="SimSun" w:cs="Calibri"/>
                <w:color w:val="000000"/>
                <w:sz w:val="20"/>
                <w:szCs w:val="20"/>
                <w:lang w:eastAsia="ro-RO"/>
              </w:rPr>
              <w:t xml:space="preserve">Ministerul Finanțelor va asigura completarea cadrului legal cu ghiduri și metodologii de pregatire/ atribuire/ monitorizare proiecte PPP </w:t>
            </w:r>
            <w:r>
              <w:rPr>
                <w:rFonts w:eastAsia="SimSun" w:cs="Calibri"/>
                <w:color w:val="000000"/>
                <w:sz w:val="20"/>
                <w:szCs w:val="20"/>
                <w:lang w:val="ro-RO" w:eastAsia="ro-RO"/>
              </w:rPr>
              <w:t xml:space="preserve">și amendarea OUG nr. 39/2018 în sensul introducerii </w:t>
            </w:r>
            <w:r>
              <w:rPr>
                <w:rFonts w:eastAsia="SimSun" w:cs="Calibri"/>
                <w:color w:val="000000"/>
                <w:sz w:val="20"/>
                <w:szCs w:val="20"/>
                <w:lang w:eastAsia="ro-RO"/>
              </w:rPr>
              <w:t xml:space="preserve"> posibilității de finantare a proiectelor abordate în regim PPP prin emiterea de obligatiuni corporative (completarea art. 10)</w:t>
            </w:r>
          </w:p>
          <w:p>
            <w:pPr>
              <w:pStyle w:val="ListParagraph"/>
              <w:suppressAutoHyphens w:val="true"/>
              <w:spacing w:lineRule="auto" w:line="240" w:before="160" w:after="160"/>
              <w:ind w:left="416" w:hanging="0"/>
              <w:rPr>
                <w:rFonts w:ascii="Calibri" w:hAnsi="Calibri" w:eastAsia="SimSun"/>
                <w:sz w:val="20"/>
                <w:szCs w:val="20"/>
                <w:lang w:eastAsia="ro-RO"/>
              </w:rPr>
            </w:pPr>
            <w:r>
              <w:rPr>
                <w:rFonts w:eastAsia="SimSun"/>
                <w:sz w:val="20"/>
                <w:szCs w:val="20"/>
                <w:lang w:eastAsia="ro-RO"/>
              </w:rPr>
            </w:r>
          </w:p>
          <w:p>
            <w:pPr>
              <w:pStyle w:val="ListParagraph"/>
              <w:numPr>
                <w:ilvl w:val="0"/>
                <w:numId w:val="33"/>
              </w:numPr>
              <w:spacing w:lineRule="auto" w:line="240" w:before="0" w:after="0"/>
              <w:ind w:left="416" w:hanging="360"/>
              <w:contextualSpacing/>
              <w:rPr>
                <w:rFonts w:cs="Calibri" w:cstheme="minorHAnsi"/>
                <w:lang w:val="ro-RO"/>
              </w:rPr>
            </w:pPr>
            <w:r>
              <w:rPr>
                <w:rFonts w:eastAsia="SimSun" w:cs="Calibri" w:cstheme="minorHAnsi"/>
                <w:sz w:val="20"/>
                <w:szCs w:val="20"/>
                <w:lang w:val="ro-RO" w:eastAsia="ro-RO"/>
              </w:rPr>
              <w:t>Autoritățile/entitățile contractante (ministere, companii nationale, autoritati publice locale) vor iniția proiecte în regim de parteneriat public-privat</w:t>
            </w:r>
          </w:p>
          <w:p>
            <w:pPr>
              <w:pStyle w:val="ListParagraph"/>
              <w:spacing w:lineRule="auto" w:line="240" w:before="160" w:after="160"/>
              <w:ind w:left="416" w:hanging="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olor w:val="000000"/>
                <w:sz w:val="20"/>
                <w:szCs w:val="20"/>
                <w:lang w:val="ro-RO" w:eastAsia="ro-RO"/>
              </w:rPr>
              <w:t>Autorități /entități contractante (ministere, companii nationale, autoritati publice locale)</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2026</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Times New Roman"/>
                <w:sz w:val="20"/>
                <w:szCs w:val="20"/>
                <w:lang w:val="ro-RO" w:eastAsia="ro-RO"/>
              </w:rPr>
            </w:pPr>
            <w:r>
              <w:rPr>
                <w:rFonts w:eastAsia="SimSun" w:cs="Times New Roman"/>
                <w:sz w:val="20"/>
                <w:szCs w:val="20"/>
                <w:lang w:val="ro-RO" w:eastAsia="ro-RO"/>
              </w:rPr>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Obiectiv general VII: Susținerea digitalizării și a inovației financiare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0" w:after="0"/>
              <w:rPr>
                <w:rFonts w:cs="Calibri" w:cstheme="minorHAnsi"/>
                <w:lang w:val="ro-RO"/>
              </w:rPr>
            </w:pPr>
            <w:r>
              <w:rPr>
                <w:rFonts w:eastAsia="SimSun" w:cs="Calibri" w:cstheme="minorHAnsi"/>
                <w:b/>
                <w:sz w:val="20"/>
                <w:szCs w:val="20"/>
                <w:lang w:val="ro-RO" w:eastAsia="ro-RO"/>
              </w:rPr>
              <w:t xml:space="preserve">Obiectiv specific VII.1: </w:t>
            </w:r>
            <w:r>
              <w:rPr>
                <w:rFonts w:eastAsia="SimSun" w:cs="Calibri" w:cstheme="minorHAnsi"/>
                <w:sz w:val="20"/>
                <w:szCs w:val="20"/>
                <w:lang w:val="ro-RO" w:eastAsia="ro-RO"/>
              </w:rPr>
              <w:t>Sprijinirea participanților pe piețe financiare nebancare</w:t>
            </w:r>
            <w:r>
              <w:rPr>
                <w:rFonts w:eastAsia="SimSun" w:cs="Calibri" w:cstheme="minorHAnsi"/>
                <w:b/>
                <w:sz w:val="20"/>
                <w:szCs w:val="20"/>
                <w:lang w:val="ro-RO" w:eastAsia="ro-RO"/>
              </w:rPr>
              <w:t xml:space="preserve"> </w:t>
            </w:r>
            <w:r>
              <w:rPr>
                <w:rFonts w:eastAsia="SimSun" w:cs="Calibri" w:cstheme="minorHAnsi"/>
                <w:sz w:val="20"/>
                <w:szCs w:val="20"/>
                <w:lang w:val="ro-RO" w:eastAsia="ro-RO"/>
              </w:rPr>
              <w:t xml:space="preserve">pentru aplicarea cadrului european în domeniul </w:t>
            </w:r>
            <w:r>
              <w:rPr>
                <w:rFonts w:eastAsia="SimSun" w:cs="Calibri" w:cstheme="minorHAnsi"/>
                <w:i/>
                <w:sz w:val="20"/>
                <w:szCs w:val="20"/>
                <w:lang w:val="ro-RO" w:eastAsia="ro-RO"/>
              </w:rPr>
              <w:t>Finanțelor Digitale.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40" w:before="160" w:after="0"/>
              <w:ind w:left="380" w:hanging="360"/>
              <w:rPr>
                <w:rFonts w:cs="Calibri" w:cstheme="minorHAnsi"/>
                <w:lang w:val="ro-RO"/>
              </w:rPr>
            </w:pPr>
            <w:r>
              <w:rPr>
                <w:rFonts w:eastAsia="SimSun" w:cs="Calibri" w:cstheme="minorHAnsi"/>
                <w:sz w:val="20"/>
                <w:szCs w:val="20"/>
                <w:lang w:val="ro-RO" w:eastAsia="ro-RO"/>
              </w:rPr>
              <w:t>Organizarea de prezentari/sesiuni de prezentare a legislatiei europene privind finantele digitale</w:t>
            </w:r>
          </w:p>
          <w:p>
            <w:pPr>
              <w:pStyle w:val="ListParagraph"/>
              <w:numPr>
                <w:ilvl w:val="0"/>
                <w:numId w:val="33"/>
              </w:numPr>
              <w:spacing w:lineRule="auto" w:line="240" w:before="160" w:after="0"/>
              <w:ind w:left="380" w:hanging="360"/>
              <w:rPr>
                <w:rFonts w:cs="Calibri" w:cstheme="minorHAnsi"/>
                <w:lang w:val="ro-RO"/>
              </w:rPr>
            </w:pPr>
            <w:r>
              <w:rPr>
                <w:rFonts w:eastAsia="SimSun" w:cs="Calibri" w:cstheme="minorHAnsi"/>
                <w:sz w:val="20"/>
                <w:szCs w:val="20"/>
                <w:lang w:val="ro-RO" w:eastAsia="ro-RO"/>
              </w:rPr>
              <w:t>Elaborarea și publicarea de materiale informative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Institutul de Studii Financiare</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Institutul de Studii Financiare</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160" w:after="0"/>
              <w:rPr>
                <w:rFonts w:cs="Calibri" w:cstheme="minorHAnsi"/>
                <w:lang w:val="ro-RO"/>
              </w:rPr>
            </w:pPr>
            <w:r>
              <w:rPr>
                <w:rFonts w:eastAsia="SimSun" w:cs="Calibri" w:cstheme="minorHAnsi"/>
                <w:sz w:val="20"/>
                <w:szCs w:val="20"/>
                <w:lang w:val="ro-RO" w:eastAsia="ro-RO"/>
              </w:rPr>
              <w:t>Număr prezentări / sesiuni; număr participanți; număr materiale elaborate</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rPr>
                <w:rFonts w:cs="Calibri" w:cstheme="minorHAnsi"/>
                <w:lang w:val="ro-RO"/>
              </w:rPr>
            </w:pPr>
            <w:r>
              <w:rPr>
                <w:rFonts w:eastAsia="SimSun" w:cs="Calibri" w:cstheme="minorHAnsi"/>
                <w:b/>
                <w:sz w:val="20"/>
                <w:szCs w:val="20"/>
                <w:lang w:val="ro-RO" w:eastAsia="ro-RO"/>
              </w:rPr>
              <w:t xml:space="preserve">Obiectiv specific VII.2: </w:t>
            </w:r>
            <w:r>
              <w:rPr>
                <w:rFonts w:eastAsia="SimSun" w:cs="Calibri" w:cstheme="minorHAnsi"/>
                <w:sz w:val="20"/>
                <w:szCs w:val="20"/>
                <w:lang w:val="ro-RO" w:eastAsia="ro-RO"/>
              </w:rPr>
              <w:t>Creșterea competitivității pieței de capital din România prin utilizarea noilor tehnologii DLT în rândul entităților care asigură infrastructura pieței prin dezvoltarea și implementarea unui proiect pilot pentru un sistem de tranzacționare și sistem de decontare bazat pe tehnologia registrelor distribuite (DLT), în conformitate cu cadrul european în domeniu în vigoare.</w:t>
            </w:r>
          </w:p>
          <w:p>
            <w:pPr>
              <w:pStyle w:val="Normal"/>
              <w:spacing w:before="160" w:after="16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40" w:before="160" w:after="0"/>
              <w:ind w:left="380" w:hanging="360"/>
              <w:rPr>
                <w:rFonts w:cs="Calibri" w:cstheme="minorHAnsi"/>
                <w:lang w:val="ro-RO"/>
              </w:rPr>
            </w:pPr>
            <w:r>
              <w:rPr>
                <w:rFonts w:eastAsia="SimSun" w:cs="Calibri" w:cstheme="minorHAnsi"/>
                <w:sz w:val="20"/>
                <w:szCs w:val="20"/>
                <w:lang w:val="ro-RO" w:eastAsia="ro-RO"/>
              </w:rPr>
              <w:t>Organizarea de sesiuni de dezbateri cu entitățile reprezentative care asigură infrastructura pieței de capital pentru analizarea oportunităților și riscurilor generate de utilizarea tehnologiei bazata pe DLT in aplicarea legislatiei europene</w:t>
            </w:r>
          </w:p>
          <w:p>
            <w:pPr>
              <w:pStyle w:val="ListParagraph"/>
              <w:numPr>
                <w:ilvl w:val="0"/>
                <w:numId w:val="33"/>
              </w:numPr>
              <w:spacing w:lineRule="auto" w:line="240" w:before="160" w:after="0"/>
              <w:ind w:left="380" w:hanging="360"/>
              <w:rPr>
                <w:rFonts w:cs="Calibri" w:cstheme="minorHAnsi"/>
                <w:lang w:val="ro-RO"/>
              </w:rPr>
            </w:pPr>
            <w:r>
              <w:rPr>
                <w:rFonts w:eastAsia="SimSun" w:cs="Calibri" w:cstheme="minorHAnsi"/>
                <w:sz w:val="20"/>
                <w:szCs w:val="20"/>
                <w:lang w:val="ro-RO" w:eastAsia="ro-RO"/>
              </w:rPr>
              <w:t>Identificarea soluțiilor digitale pentru sporirea eficienței, creșterea calității serviciilor financiare, scăderea costurilor de operare și  gestionarea mai eficientă a  riscurilor.</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Bursa de Valori București</w:t>
            </w:r>
          </w:p>
          <w:p>
            <w:pPr>
              <w:pStyle w:val="Normal"/>
              <w:spacing w:lineRule="auto" w:line="240" w:before="160" w:after="0"/>
              <w:rPr>
                <w:rFonts w:cs="Calibri" w:cstheme="minorHAnsi"/>
                <w:lang w:val="ro-RO"/>
              </w:rPr>
            </w:pPr>
            <w:r>
              <w:rPr>
                <w:rFonts w:eastAsia="SimSun" w:cs="Calibri" w:cstheme="minorHAnsi"/>
                <w:sz w:val="20"/>
                <w:szCs w:val="20"/>
                <w:lang w:val="ro-RO" w:eastAsia="ro-RO"/>
              </w:rPr>
              <w:t>Depozitarul Central</w:t>
            </w:r>
          </w:p>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160"/>
              <w:rPr>
                <w:rFonts w:ascii="Calibri" w:hAnsi="Calibri" w:eastAsia="SimSun" w:cs="Calibri" w:cstheme="minorHAnsi"/>
                <w:sz w:val="12"/>
                <w:szCs w:val="12"/>
                <w:lang w:val="ro-RO" w:eastAsia="ro-RO"/>
              </w:rPr>
            </w:pPr>
            <w:r>
              <w:rPr>
                <w:rFonts w:eastAsia="SimSun" w:cs="Calibri" w:cstheme="minorHAnsi"/>
                <w:sz w:val="12"/>
                <w:szCs w:val="12"/>
                <w:lang w:val="ro-RO" w:eastAsia="ro-RO"/>
              </w:rPr>
            </w:r>
          </w:p>
          <w:p>
            <w:pPr>
              <w:pStyle w:val="Normal"/>
              <w:spacing w:lineRule="auto" w:line="240" w:before="160" w:after="160"/>
              <w:rPr>
                <w:rFonts w:cs="Calibri" w:cstheme="minorHAnsi"/>
                <w:lang w:val="ro-RO"/>
              </w:rPr>
            </w:pPr>
            <w:r>
              <w:rPr>
                <w:rFonts w:eastAsia="SimSun" w:cs="Calibri" w:cstheme="minorHAnsi"/>
                <w:lang w:val="ro-RO" w:eastAsia="ro-RO"/>
              </w:rPr>
              <w:t>Bursa de Valori București</w:t>
            </w:r>
          </w:p>
          <w:p>
            <w:pPr>
              <w:pStyle w:val="Normal"/>
              <w:spacing w:lineRule="auto" w:line="240" w:before="160" w:after="160"/>
              <w:rPr>
                <w:rFonts w:cs="Calibri" w:cstheme="minorHAnsi"/>
                <w:lang w:val="ro-RO"/>
              </w:rPr>
            </w:pPr>
            <w:r>
              <w:rPr>
                <w:rFonts w:eastAsia="SimSun" w:cs="Calibri" w:cstheme="minorHAnsi"/>
                <w:lang w:val="ro-RO" w:eastAsia="ro-RO"/>
              </w:rPr>
              <w:t>Depozitarul Central</w:t>
            </w:r>
          </w:p>
          <w:p>
            <w:pPr>
              <w:pStyle w:val="Normal"/>
              <w:spacing w:lineRule="auto" w:line="240" w:before="0" w:after="0"/>
              <w:rPr>
                <w:rFonts w:ascii="Calibri" w:hAnsi="Calibri" w:eastAsia="SimSun" w:cs="Calibri" w:cstheme="minorHAnsi"/>
                <w:lang w:val="ro-RO" w:eastAsia="ro-RO"/>
              </w:rPr>
            </w:pPr>
            <w:r>
              <w:rPr>
                <w:rFonts w:eastAsia="SimSun" w:cs="Calibri" w:cstheme="minorHAnsi"/>
                <w:lang w:val="ro-RO" w:eastAsia="ro-RO"/>
              </w:rPr>
            </w:r>
          </w:p>
          <w:p>
            <w:pPr>
              <w:pStyle w:val="Normal"/>
              <w:spacing w:lineRule="auto" w:line="240" w:before="0" w:after="0"/>
              <w:rPr>
                <w:rFonts w:cs="Calibri" w:cstheme="minorHAnsi"/>
                <w:lang w:val="ro-RO"/>
              </w:rPr>
            </w:pPr>
            <w:r>
              <w:rPr>
                <w:rFonts w:eastAsia="SimSun" w:cs="Calibri" w:cstheme="minorHAnsi"/>
                <w:lang w:val="ro-RO" w:eastAsia="ro-RO"/>
              </w:rPr>
              <w:t>Autoritatea de Supraveghere Financiară</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0" w:after="0"/>
              <w:rPr>
                <w:rFonts w:cs="Calibri" w:cstheme="minorHAnsi"/>
                <w:lang w:val="ro-RO"/>
              </w:rPr>
            </w:pPr>
            <w:r>
              <w:rPr>
                <w:rFonts w:eastAsia="SimSun" w:cs="Calibri" w:cstheme="minorHAnsi"/>
                <w:sz w:val="20"/>
                <w:szCs w:val="20"/>
                <w:lang w:val="ro-RO" w:eastAsia="ro-RO"/>
              </w:rPr>
              <w:t>Număr prezentări / sesiuni; număr participanți</w:t>
            </w:r>
          </w:p>
          <w:p>
            <w:pPr>
              <w:pStyle w:val="Normal"/>
              <w:spacing w:lineRule="auto" w:line="240"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40"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Obiectiv general VIII: Susținerea dezvoltării pieței locale de capital privat (private equity) și de capital de risc (venture capital)</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rPr>
                <w:rFonts w:cs="Calibri" w:cstheme="minorHAnsi"/>
                <w:b/>
                <w:b/>
                <w:lang w:val="ro-RO"/>
              </w:rPr>
            </w:pPr>
            <w:r>
              <w:rPr>
                <w:rFonts w:eastAsia="SimSun" w:cs="Calibri" w:cstheme="minorHAnsi"/>
                <w:b/>
                <w:sz w:val="20"/>
                <w:szCs w:val="20"/>
                <w:lang w:val="ro-RO" w:eastAsia="ro-RO"/>
              </w:rPr>
              <w:t xml:space="preserve">Obiectiv specific VIII.1: </w:t>
            </w:r>
            <w:r>
              <w:rPr>
                <w:rFonts w:eastAsia="SimSun" w:cs="Calibri" w:cstheme="minorHAnsi"/>
                <w:sz w:val="20"/>
                <w:szCs w:val="20"/>
                <w:lang w:val="ro-RO" w:eastAsia="ro-RO"/>
              </w:rPr>
              <w:t xml:space="preserve"> Revizuirea legislației naționale (primare și secundare) pentru facilitarea înființării de FIA de tip înregistrat („AIF Light Regime”).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76" w:before="0" w:after="0"/>
              <w:ind w:left="380" w:hanging="360"/>
              <w:contextualSpacing/>
              <w:rPr>
                <w:rFonts w:cs="Calibri" w:cstheme="minorHAnsi"/>
                <w:lang w:val="ro-RO"/>
              </w:rPr>
            </w:pPr>
            <w:r>
              <w:rPr>
                <w:rFonts w:eastAsia="SimSun" w:cs="Calibri" w:cstheme="minorHAnsi"/>
                <w:sz w:val="20"/>
                <w:szCs w:val="20"/>
                <w:lang w:val="ro-RO" w:eastAsia="ro-RO"/>
              </w:rPr>
              <w:t>Analiza practicilor europene aplicabile FIA de tip inregistrat și revizuirea legislației naționale (primare și secundare) in concordanta cu cele mai bune practici identificate</w:t>
            </w:r>
          </w:p>
          <w:p>
            <w:pPr>
              <w:pStyle w:val="Normal"/>
              <w:spacing w:lineRule="auto" w:line="276"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rPr>
                <w:rFonts w:cs="Calibri" w:cstheme="minorHAnsi"/>
                <w:lang w:val="ro-RO"/>
              </w:rPr>
            </w:pPr>
            <w:r>
              <w:rPr>
                <w:rFonts w:eastAsia="SimSun" w:cs="Calibri" w:cstheme="minorHAnsi"/>
                <w:sz w:val="20"/>
                <w:szCs w:val="20"/>
                <w:lang w:val="ro-RO" w:eastAsia="ro-RO"/>
              </w:rPr>
              <w:t>Autoritatea de Supraveghere Financiară</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rPr>
                <w:rFonts w:cs="Calibri" w:cstheme="minorHAnsi"/>
                <w:lang w:val="ro-RO"/>
              </w:rPr>
            </w:pPr>
            <w:r>
              <w:rPr>
                <w:rFonts w:eastAsia="SimSun" w:cs="Calibri" w:cstheme="minorHAnsi"/>
                <w:sz w:val="20"/>
                <w:szCs w:val="20"/>
                <w:lang w:val="ro-RO" w:eastAsia="ro-RO"/>
              </w:rPr>
              <w:t>Autoritatea de Supraveghere Financiară</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76" w:before="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before="160" w:after="160"/>
              <w:rPr>
                <w:rFonts w:cs="Calibri" w:cstheme="minorHAnsi"/>
                <w:lang w:val="ro-RO"/>
              </w:rPr>
            </w:pPr>
            <w:r>
              <w:rPr>
                <w:rFonts w:eastAsia="SimSun" w:cs="Calibri" w:cstheme="minorHAnsi"/>
                <w:sz w:val="20"/>
                <w:szCs w:val="20"/>
                <w:lang w:val="ro-RO" w:eastAsia="ro-RO"/>
              </w:rPr>
              <w:t xml:space="preserve">Raport de analiză; </w:t>
            </w:r>
          </w:p>
          <w:p>
            <w:pPr>
              <w:pStyle w:val="Normal"/>
              <w:spacing w:before="160" w:after="160"/>
              <w:rPr>
                <w:rFonts w:cs="Calibri" w:cstheme="minorHAnsi"/>
                <w:lang w:val="ro-RO"/>
              </w:rPr>
            </w:pPr>
            <w:r>
              <w:rPr>
                <w:rFonts w:eastAsia="SimSun" w:cs="Calibri" w:cstheme="minorHAnsi"/>
                <w:sz w:val="20"/>
                <w:szCs w:val="20"/>
                <w:lang w:val="ro-RO" w:eastAsia="ro-RO"/>
              </w:rPr>
              <w:t>1. În cazul reglementărilor secundare ale ASF (care nu necesită modificarea legislației primare):</w:t>
            </w:r>
          </w:p>
          <w:p>
            <w:pPr>
              <w:pStyle w:val="Normal"/>
              <w:spacing w:before="160" w:after="160"/>
              <w:rPr>
                <w:rFonts w:cs="Calibri" w:cstheme="minorHAnsi"/>
                <w:lang w:val="ro-RO"/>
              </w:rPr>
            </w:pPr>
            <w:r>
              <w:rPr>
                <w:rFonts w:eastAsia="SimSun" w:cs="Calibri" w:cstheme="minorHAnsi"/>
                <w:sz w:val="20"/>
                <w:szCs w:val="20"/>
                <w:lang w:val="ro-RO" w:eastAsia="ro-RO"/>
              </w:rPr>
              <w:t>Adoptarea de către ASF a reglementărilor secundare</w:t>
            </w:r>
          </w:p>
          <w:p>
            <w:pPr>
              <w:pStyle w:val="Normal"/>
              <w:spacing w:before="160" w:after="160"/>
              <w:rPr>
                <w:rFonts w:cs="Calibri" w:cstheme="minorHAnsi"/>
                <w:lang w:val="ro-RO"/>
              </w:rPr>
            </w:pPr>
            <w:r>
              <w:rPr>
                <w:rFonts w:eastAsia="SimSun" w:cs="Calibri" w:cstheme="minorHAnsi"/>
                <w:sz w:val="20"/>
                <w:szCs w:val="20"/>
                <w:lang w:val="ro-RO" w:eastAsia="ro-RO"/>
              </w:rPr>
              <w:t xml:space="preserve">2. În cazul legislației primare:  </w:t>
            </w:r>
          </w:p>
          <w:p>
            <w:pPr>
              <w:pStyle w:val="Normal"/>
              <w:spacing w:before="160" w:after="160"/>
              <w:rPr>
                <w:rFonts w:cs="Calibri" w:cstheme="minorHAnsi"/>
                <w:lang w:val="ro-RO"/>
              </w:rPr>
            </w:pPr>
            <w:r>
              <w:rPr>
                <w:rFonts w:eastAsia="SimSun" w:cs="Calibri" w:cstheme="minorHAnsi"/>
                <w:sz w:val="20"/>
                <w:szCs w:val="20"/>
                <w:lang w:val="ro-RO" w:eastAsia="ro-RO"/>
              </w:rPr>
              <w:t>Transmiterea către MF a proiectului de act normativ în vederea inițierii procesului de promovare a acestuia</w:t>
            </w:r>
          </w:p>
          <w:p>
            <w:pPr>
              <w:pStyle w:val="Normal"/>
              <w:spacing w:lineRule="auto" w:line="276"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76"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p>
            <w:pPr>
              <w:pStyle w:val="Normal"/>
              <w:spacing w:lineRule="auto" w:line="276" w:before="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380" w:hRule="atLeast"/>
        </w:trPr>
        <w:tc>
          <w:tcPr>
            <w:tcW w:w="12959" w:type="dxa"/>
            <w:gridSpan w:val="6"/>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color="auto" w:fill="DEEAF6" w:themeFill="accent1" w:themeFillTint="33"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Obiectiv general IX: Stimularea investițiilor verzi</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 xml:space="preserve">Obiectiv specific IX.1: </w:t>
            </w:r>
            <w:bookmarkStart w:id="1113" w:name="__DdeLink__72898_2493550701"/>
            <w:r>
              <w:rPr>
                <w:rFonts w:eastAsia="SimSun" w:cs="Calibri"/>
                <w:sz w:val="20"/>
                <w:szCs w:val="20"/>
                <w:lang w:val="fr-FR" w:eastAsia="ro-RO"/>
              </w:rPr>
              <w:t>Emiterea de obligațiuni guvernamentale/ suverane verzi/sustenabile</w:t>
            </w:r>
            <w:bookmarkEnd w:id="1113"/>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40" w:before="160" w:after="0"/>
              <w:ind w:left="380" w:hanging="360"/>
              <w:rPr>
                <w:rFonts w:cs="Calibri" w:cstheme="minorHAnsi"/>
                <w:lang w:val="ro-RO"/>
              </w:rPr>
            </w:pPr>
            <w:r>
              <w:rPr>
                <w:rFonts w:eastAsia="SimSun" w:cs="Calibri"/>
                <w:sz w:val="20"/>
                <w:szCs w:val="20"/>
                <w:lang w:val="ro-RO" w:eastAsia="ro-RO"/>
              </w:rPr>
              <w:t>Elaborarea și publicarea Cadrului de obligațiuni verzi/sustenabile la nivel suveran si pregatirea tuturor cerintelor necesare procesului de emitere de obligatiuni verzi/sustenabile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Ministerul Finanțelor</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sz w:val="20"/>
                <w:szCs w:val="20"/>
                <w:lang w:val="ro-RO" w:eastAsia="ro-RO"/>
              </w:rPr>
              <w:t>Emiterea de obligatiuni verzi/sustenabile</w:t>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b/>
                <w:b/>
                <w:lang w:val="ro-RO"/>
              </w:rPr>
            </w:pPr>
            <w:r>
              <w:rPr>
                <w:rFonts w:eastAsia="SimSun" w:cs="Calibri" w:cstheme="minorHAnsi"/>
                <w:b/>
                <w:sz w:val="20"/>
                <w:szCs w:val="20"/>
                <w:lang w:val="ro-RO" w:eastAsia="ro-RO"/>
              </w:rPr>
              <w:t xml:space="preserve">Obiectiv specific IX.2: </w:t>
            </w:r>
            <w:r>
              <w:rPr>
                <w:rFonts w:eastAsia="SimSun" w:cs="Calibri" w:cstheme="minorHAnsi"/>
                <w:sz w:val="20"/>
                <w:szCs w:val="20"/>
                <w:lang w:val="ro-RO" w:eastAsia="ro-RO"/>
              </w:rPr>
              <w:t>Creșterea gradului de conștientizare în rândul potențialilor investitori cu privire la oportunitățile oferite de investițiile în produse care promovează caracteristici de mediu și/sau sociale sau care au ca obiectiv investițiile durabile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40" w:before="160" w:after="0"/>
              <w:ind w:left="470" w:hanging="360"/>
              <w:rPr>
                <w:rFonts w:cs="Calibri" w:cstheme="minorHAnsi"/>
                <w:lang w:val="ro-RO"/>
              </w:rPr>
            </w:pPr>
            <w:r>
              <w:rPr>
                <w:rFonts w:eastAsia="SimSun" w:cs="Calibri" w:cstheme="minorHAnsi"/>
                <w:sz w:val="20"/>
                <w:szCs w:val="20"/>
                <w:lang w:val="ro-RO" w:eastAsia="ro-RO"/>
              </w:rPr>
              <w:t>Organizarea de sesiuni/seminarii/workshopuri inclusiv prin utilizarea resorturilor aferente Strategiei Naționale de Educație Financiară</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Societăți de Administrare a Investițiilor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Administratori de Fonduri de Investiții Alternative</w:t>
            </w:r>
          </w:p>
          <w:p>
            <w:pPr>
              <w:pStyle w:val="Normal"/>
              <w:spacing w:lineRule="auto" w:line="240" w:before="160" w:after="0"/>
              <w:rPr>
                <w:rFonts w:cs="Calibri" w:cstheme="minorHAnsi"/>
                <w:lang w:val="ro-RO"/>
              </w:rPr>
            </w:pPr>
            <w:r>
              <w:rPr>
                <w:rFonts w:eastAsia="SimSun" w:cs="Calibri" w:cstheme="minorHAnsi"/>
                <w:sz w:val="20"/>
                <w:szCs w:val="20"/>
                <w:lang w:val="ro-RO" w:eastAsia="ro-RO"/>
              </w:rPr>
              <w:t>Alți stakeholderi</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p>
            <w:pPr>
              <w:pStyle w:val="Normal"/>
              <w:spacing w:lineRule="auto" w:line="240" w:before="160" w:after="0"/>
              <w:rPr>
                <w:rFonts w:cs="Calibri" w:cstheme="minorHAnsi"/>
                <w:lang w:val="ro-RO"/>
              </w:rPr>
            </w:pPr>
            <w:r>
              <w:rPr>
                <w:rFonts w:eastAsia="SimSun" w:cs="Calibri" w:cstheme="minorHAnsi"/>
                <w:sz w:val="20"/>
                <w:szCs w:val="20"/>
                <w:lang w:val="ro-RO" w:eastAsia="ro-RO"/>
              </w:rPr>
              <w:t>Societăți de Administrare a Investițiilor</w:t>
            </w:r>
          </w:p>
          <w:p>
            <w:pPr>
              <w:pStyle w:val="Normal"/>
              <w:spacing w:lineRule="auto" w:line="240" w:before="160" w:after="0"/>
              <w:rPr>
                <w:rFonts w:cs="Calibri" w:cstheme="minorHAnsi"/>
                <w:lang w:val="ro-RO"/>
              </w:rPr>
            </w:pPr>
            <w:r>
              <w:rPr>
                <w:rFonts w:eastAsia="SimSun" w:cs="Calibri" w:cstheme="minorHAnsi"/>
                <w:sz w:val="20"/>
                <w:szCs w:val="20"/>
                <w:lang w:val="ro-RO" w:eastAsia="ro-RO"/>
              </w:rPr>
              <w:t>Administratori de Fonduri de Investiții Alternative</w:t>
            </w:r>
          </w:p>
          <w:p>
            <w:pPr>
              <w:pStyle w:val="Normal"/>
              <w:spacing w:lineRule="auto" w:line="240" w:before="160" w:after="0"/>
              <w:rPr>
                <w:rFonts w:cs="Calibri" w:cstheme="minorHAnsi"/>
                <w:lang w:val="ro-RO"/>
              </w:rPr>
            </w:pPr>
            <w:r>
              <w:rPr>
                <w:rFonts w:eastAsia="SimSun" w:cs="Calibri" w:cstheme="minorHAnsi"/>
                <w:sz w:val="20"/>
                <w:szCs w:val="20"/>
                <w:lang w:val="ro-RO" w:eastAsia="ro-RO"/>
              </w:rPr>
              <w:t>Alți stakeholderi</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Număr de sesiuni organizate; număr de participanți</w:t>
            </w:r>
          </w:p>
          <w:p>
            <w:pPr>
              <w:pStyle w:val="Normal"/>
              <w:spacing w:lineRule="auto" w:line="240" w:before="160" w:after="0"/>
              <w:rPr>
                <w:rFonts w:ascii="Calibri" w:hAnsi="Calibri" w:eastAsia="SimSun" w:cs="Calibri" w:cstheme="minorHAnsi"/>
                <w:sz w:val="20"/>
                <w:szCs w:val="20"/>
                <w:lang w:val="ro-RO" w:eastAsia="ro-RO"/>
              </w:rPr>
            </w:pPr>
            <w:r>
              <w:rPr>
                <w:rFonts w:eastAsia="SimSun" w:cs="Calibri" w:cstheme="minorHAnsi"/>
                <w:sz w:val="20"/>
                <w:szCs w:val="20"/>
                <w:lang w:val="ro-RO" w:eastAsia="ro-RO"/>
              </w:rPr>
            </w:r>
          </w:p>
        </w:tc>
      </w:tr>
      <w:tr>
        <w:trPr>
          <w:trHeight w:val="380" w:hRule="atLeast"/>
        </w:trPr>
        <w:tc>
          <w:tcPr>
            <w:tcW w:w="3071"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b/>
                <w:sz w:val="20"/>
                <w:szCs w:val="20"/>
                <w:lang w:val="ro-RO" w:eastAsia="ro-RO"/>
              </w:rPr>
              <w:t>Obiectiv specific IX.3</w:t>
            </w:r>
            <w:r>
              <w:rPr>
                <w:rFonts w:eastAsia="SimSun" w:cs="Calibri" w:cstheme="minorHAnsi"/>
                <w:sz w:val="20"/>
                <w:szCs w:val="20"/>
                <w:lang w:val="ro-RO" w:eastAsia="ro-RO"/>
              </w:rPr>
              <w:t>: Creșterea gradului de conștientizare în rândul  emitenților privind alinierea la prevederile art. 8 din Regulamentul (UE) 2020/852 al Parlamentului European și al Consiliului din 18 iunie 2020 privind instituirea unui cadru care să faciliteze investițiile durabile și de modificare a Regulamentului (UE) 2019/2088 și creșterea calității raportărilor non-financiare</w:t>
            </w:r>
          </w:p>
        </w:tc>
        <w:tc>
          <w:tcPr>
            <w:tcW w:w="3175"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ListParagraph"/>
              <w:numPr>
                <w:ilvl w:val="0"/>
                <w:numId w:val="33"/>
              </w:numPr>
              <w:spacing w:lineRule="auto" w:line="240" w:before="160" w:after="0"/>
              <w:ind w:left="380" w:hanging="360"/>
              <w:rPr>
                <w:rFonts w:cs="Calibri" w:cstheme="minorHAnsi"/>
                <w:lang w:val="ro-RO"/>
              </w:rPr>
            </w:pPr>
            <w:r>
              <w:rPr>
                <w:rFonts w:eastAsia="SimSun" w:cs="Calibri" w:cstheme="minorHAnsi"/>
                <w:sz w:val="20"/>
                <w:szCs w:val="20"/>
                <w:lang w:val="ro-RO" w:eastAsia="ro-RO"/>
              </w:rPr>
              <w:t>Elaborarea și publicarea de materiale informative/ orientari/indrumari pentru asigurarea indeplinirii cerințelor de transparență cu privire la promovarea caracteristicilor de mediu sau sociale și a investițiilor durabile, precum și cu privire la alinierea activităților la cele prevăzute de Taxonomie</w:t>
            </w:r>
          </w:p>
        </w:tc>
        <w:tc>
          <w:tcPr>
            <w:tcW w:w="166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tc>
        <w:tc>
          <w:tcPr>
            <w:tcW w:w="1630"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Autoritatea de Supraveghere Financiară</w:t>
            </w:r>
          </w:p>
        </w:tc>
        <w:tc>
          <w:tcPr>
            <w:tcW w:w="1379"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31 decembrie 2024</w:t>
            </w:r>
          </w:p>
        </w:tc>
        <w:tc>
          <w:tcPr>
            <w:tcW w:w="2037" w:type="dxa"/>
            <w:tcBorders>
              <w:top w:val="single" w:sz="4" w:space="0" w:color="2F5496"/>
              <w:left w:val="single" w:sz="4" w:space="0" w:color="2F5496"/>
              <w:bottom w:val="single" w:sz="4" w:space="0" w:color="2F5496"/>
              <w:right w:val="single" w:sz="4" w:space="0" w:color="2F5496"/>
              <w:insideH w:val="single" w:sz="4" w:space="0" w:color="2F5496"/>
              <w:insideV w:val="single" w:sz="4" w:space="0" w:color="2F5496"/>
            </w:tcBorders>
            <w:shd w:fill="auto" w:val="clear"/>
            <w:vAlign w:val="center"/>
          </w:tcPr>
          <w:p>
            <w:pPr>
              <w:pStyle w:val="Normal"/>
              <w:spacing w:lineRule="auto" w:line="240" w:before="160" w:after="0"/>
              <w:rPr>
                <w:rFonts w:cs="Calibri" w:cstheme="minorHAnsi"/>
                <w:lang w:val="ro-RO"/>
              </w:rPr>
            </w:pPr>
            <w:r>
              <w:rPr>
                <w:rFonts w:eastAsia="SimSun" w:cs="Calibri" w:cstheme="minorHAnsi"/>
                <w:sz w:val="20"/>
                <w:szCs w:val="20"/>
                <w:lang w:val="ro-RO" w:eastAsia="ro-RO"/>
              </w:rPr>
              <w:t>Număr materiale informative elaborate / publicate</w:t>
            </w:r>
          </w:p>
        </w:tc>
      </w:tr>
    </w:tbl>
    <w:p>
      <w:pPr>
        <w:pStyle w:val="Normal"/>
        <w:jc w:val="both"/>
        <w:rPr>
          <w:rFonts w:cs="Calibri" w:cstheme="minorHAnsi"/>
          <w:lang w:val="ro-RO"/>
        </w:rPr>
      </w:pPr>
      <w:r>
        <w:rPr>
          <w:rFonts w:cs="Calibri" w:cstheme="minorHAnsi"/>
          <w:lang w:val="ro-RO"/>
        </w:rPr>
      </w:r>
    </w:p>
    <w:p>
      <w:pPr>
        <w:pStyle w:val="Normal"/>
        <w:jc w:val="both"/>
        <w:rPr>
          <w:rFonts w:cs="Calibri" w:cstheme="minorHAnsi"/>
          <w:i/>
          <w:i/>
          <w:strike/>
          <w:color w:val="2E74B5" w:themeColor="accent1" w:themeShade="bf"/>
          <w:lang w:val="ro-RO"/>
        </w:rPr>
      </w:pPr>
      <w:r>
        <w:rPr>
          <w:rFonts w:cs="Calibri" w:cstheme="minorHAnsi"/>
          <w:i/>
          <w:strike/>
          <w:color w:val="2E74B5" w:themeColor="accent1" w:themeShade="bf"/>
          <w:lang w:val="ro-RO"/>
        </w:rPr>
      </w:r>
    </w:p>
    <w:p>
      <w:pPr>
        <w:pStyle w:val="Normal"/>
        <w:jc w:val="both"/>
        <w:rPr>
          <w:rFonts w:cs="Calibri" w:cstheme="minorHAnsi"/>
          <w:i/>
          <w:i/>
          <w:strike/>
          <w:color w:val="2E74B5" w:themeColor="accent1" w:themeShade="bf"/>
          <w:lang w:val="ro-RO"/>
        </w:rPr>
      </w:pPr>
      <w:r>
        <w:rPr>
          <w:rFonts w:cs="Calibri" w:cstheme="minorHAnsi"/>
          <w:i/>
          <w:strike/>
          <w:color w:val="2E74B5" w:themeColor="accent1" w:themeShade="bf"/>
          <w:lang w:val="ro-RO"/>
        </w:rPr>
      </w:r>
    </w:p>
    <w:p>
      <w:pPr>
        <w:pStyle w:val="Normal"/>
        <w:jc w:val="both"/>
        <w:rPr>
          <w:rFonts w:cs="Calibri" w:cstheme="minorHAnsi"/>
          <w:i/>
          <w:i/>
          <w:strike/>
          <w:color w:val="2E74B5" w:themeColor="accent1" w:themeShade="bf"/>
          <w:lang w:val="ro-RO"/>
        </w:rPr>
      </w:pPr>
      <w:r>
        <w:rPr>
          <w:rFonts w:cs="Calibri" w:cstheme="minorHAnsi"/>
          <w:i/>
          <w:strike/>
          <w:color w:val="2E74B5" w:themeColor="accent1" w:themeShade="bf"/>
          <w:lang w:val="ro-RO"/>
        </w:rPr>
      </w:r>
    </w:p>
    <w:p>
      <w:pPr>
        <w:pStyle w:val="Normal"/>
        <w:jc w:val="both"/>
        <w:rPr>
          <w:rFonts w:cs="Calibri" w:cstheme="minorHAnsi"/>
          <w:i/>
          <w:i/>
          <w:strike/>
          <w:color w:val="2E74B5" w:themeColor="accent1" w:themeShade="bf"/>
          <w:lang w:val="ro-RO"/>
        </w:rPr>
      </w:pPr>
      <w:r>
        <w:rPr>
          <w:rFonts w:cs="Calibri" w:cstheme="minorHAnsi"/>
          <w:i/>
          <w:strike/>
          <w:color w:val="2E74B5" w:themeColor="accent1" w:themeShade="bf"/>
          <w:lang w:val="ro-RO"/>
        </w:rPr>
      </w:r>
    </w:p>
    <w:p>
      <w:pPr>
        <w:pStyle w:val="Normal"/>
        <w:jc w:val="both"/>
        <w:rPr>
          <w:rFonts w:cs="Calibri" w:cstheme="minorHAnsi"/>
          <w:i/>
          <w:i/>
          <w:strike/>
          <w:color w:val="2E74B5" w:themeColor="accent1" w:themeShade="bf"/>
          <w:lang w:val="ro-RO"/>
        </w:rPr>
      </w:pPr>
      <w:r>
        <w:rPr>
          <w:rFonts w:cs="Calibri" w:cstheme="minorHAnsi"/>
          <w:i/>
          <w:strike/>
          <w:color w:val="2E74B5" w:themeColor="accent1" w:themeShade="bf"/>
          <w:lang w:val="ro-RO"/>
        </w:rPr>
      </w:r>
    </w:p>
    <w:p>
      <w:pPr>
        <w:pStyle w:val="Normal"/>
        <w:jc w:val="both"/>
        <w:rPr>
          <w:rFonts w:cs="Calibri" w:cstheme="minorHAnsi"/>
          <w:i/>
          <w:i/>
          <w:strike/>
          <w:color w:val="2E74B5" w:themeColor="accent1" w:themeShade="bf"/>
          <w:lang w:val="ro-RO"/>
        </w:rPr>
      </w:pPr>
      <w:r>
        <w:rPr>
          <w:rFonts w:cs="Calibri" w:cstheme="minorHAnsi"/>
          <w:i/>
          <w:strike/>
          <w:color w:val="2E74B5" w:themeColor="accent1" w:themeShade="bf"/>
          <w:lang w:val="ro-RO"/>
        </w:rPr>
      </w:r>
    </w:p>
    <w:p>
      <w:pPr>
        <w:sectPr>
          <w:footerReference w:type="default" r:id="rId43"/>
          <w:footnotePr>
            <w:numFmt w:val="decimal"/>
          </w:footnotePr>
          <w:type w:val="nextPage"/>
          <w:pgSz w:orient="landscape" w:w="15840" w:h="12240"/>
          <w:pgMar w:left="1440" w:right="1440" w:header="0" w:top="1440" w:footer="720" w:bottom="1440" w:gutter="0"/>
          <w:pgNumType w:fmt="decimal"/>
          <w:formProt w:val="false"/>
          <w:textDirection w:val="lrTb"/>
          <w:docGrid w:type="default" w:linePitch="360" w:charSpace="4096"/>
        </w:sectPr>
        <w:pStyle w:val="Normal"/>
        <w:jc w:val="both"/>
        <w:rPr>
          <w:rFonts w:cs="Calibri" w:cstheme="minorHAnsi"/>
          <w:i/>
          <w:i/>
          <w:strike/>
          <w:color w:val="2E74B5" w:themeColor="accent1" w:themeShade="bf"/>
          <w:lang w:val="ro-RO"/>
        </w:rPr>
      </w:pPr>
      <w:r>
        <w:rPr>
          <w:rFonts w:cs="Calibri" w:cstheme="minorHAnsi"/>
          <w:i/>
          <w:strike/>
          <w:color w:val="2E74B5" w:themeColor="accent1" w:themeShade="bf"/>
          <w:lang w:val="ro-RO"/>
        </w:rPr>
      </w:r>
    </w:p>
    <w:p>
      <w:pPr>
        <w:pStyle w:val="Heading2"/>
        <w:spacing w:before="0" w:after="160"/>
        <w:rPr/>
      </w:pPr>
      <w:bookmarkStart w:id="1114" w:name="_Toc110536010"/>
      <w:r>
        <w:rPr>
          <w:b/>
          <w:lang w:val="ro-RO"/>
        </w:rPr>
        <w:t>Listă figuri</w:t>
      </w:r>
      <w:bookmarkEnd w:id="1114"/>
    </w:p>
    <w:p>
      <w:pPr>
        <w:pStyle w:val="Tableoffigures"/>
        <w:tabs>
          <w:tab w:val="clear" w:pos="720"/>
          <w:tab w:val="right" w:pos="9350" w:leader="dot"/>
        </w:tabs>
        <w:rPr>
          <w:rFonts w:eastAsia="" w:eastAsiaTheme="minorEastAsia"/>
          <w:sz w:val="20"/>
          <w:szCs w:val="20"/>
          <w:lang w:val="en-US"/>
        </w:rPr>
      </w:pPr>
      <w:r>
        <w:fldChar w:fldCharType="begin"/>
      </w:r>
      <w:r>
        <w:rPr>
          <w:sz w:val="20"/>
          <w:szCs w:val="20"/>
        </w:rPr>
        <w:instrText> TOC \c "Figura" </w:instrText>
      </w:r>
      <w:r>
        <w:rPr>
          <w:sz w:val="20"/>
          <w:szCs w:val="20"/>
        </w:rPr>
        <w:fldChar w:fldCharType="separate"/>
      </w:r>
      <w:r>
        <w:rPr>
          <w:sz w:val="20"/>
          <w:szCs w:val="20"/>
        </w:rPr>
        <w:t>Figura 1</w:t>
      </w:r>
      <w:r>
        <w:rPr>
          <w:rFonts w:eastAsia="Times New Roman" w:cs="Calibri" w:cstheme="minorHAnsi"/>
          <w:sz w:val="20"/>
          <w:szCs w:val="20"/>
        </w:rPr>
        <w:t xml:space="preserve"> </w:t>
      </w:r>
      <w:r>
        <w:rPr>
          <w:sz w:val="20"/>
          <w:szCs w:val="20"/>
        </w:rPr>
        <w:t xml:space="preserve">Evoluția PIB (%) în perioada  T2 2020 –  T2 2022 </w:t>
        <w:tab/>
        <w:t>15</w:t>
      </w:r>
    </w:p>
    <w:p>
      <w:pPr>
        <w:pStyle w:val="Tableoffigures"/>
        <w:tabs>
          <w:tab w:val="clear" w:pos="720"/>
          <w:tab w:val="right" w:pos="9350" w:leader="dot"/>
        </w:tabs>
        <w:rPr>
          <w:rFonts w:eastAsia="" w:eastAsiaTheme="minorEastAsia"/>
          <w:sz w:val="20"/>
          <w:szCs w:val="20"/>
          <w:lang w:val="en-US"/>
        </w:rPr>
      </w:pPr>
      <w:r>
        <w:rPr>
          <w:iCs/>
          <w:sz w:val="20"/>
          <w:szCs w:val="20"/>
        </w:rPr>
        <w:t>Figura 2 Evoluția deficitului bugetar (% din PIB) în zona euro (stânga) și în Romania (dreapta), date trimestriale ajustate sezonier și calendaristic</w:t>
      </w:r>
      <w:r>
        <w:rPr>
          <w:sz w:val="20"/>
          <w:szCs w:val="20"/>
        </w:rPr>
        <w:tab/>
        <w:t>16</w:t>
      </w:r>
    </w:p>
    <w:p>
      <w:pPr>
        <w:pStyle w:val="Tableoffigures"/>
        <w:tabs>
          <w:tab w:val="clear" w:pos="720"/>
          <w:tab w:val="right" w:pos="9350" w:leader="dot"/>
        </w:tabs>
        <w:rPr>
          <w:rFonts w:eastAsia="" w:eastAsiaTheme="minorEastAsia"/>
          <w:sz w:val="20"/>
          <w:szCs w:val="20"/>
          <w:lang w:val="en-US"/>
        </w:rPr>
      </w:pPr>
      <w:r>
        <w:rPr>
          <w:iCs/>
          <w:sz w:val="20"/>
          <w:szCs w:val="20"/>
        </w:rPr>
        <w:t>Figura 3 Stocul datoriei guvernamentale (% din PIB) în zona euro (stânga) și în România (dreapta)</w:t>
      </w:r>
      <w:r>
        <w:rPr>
          <w:sz w:val="20"/>
          <w:szCs w:val="20"/>
        </w:rPr>
        <w:tab/>
        <w:t>16</w:t>
      </w:r>
    </w:p>
    <w:p>
      <w:pPr>
        <w:pStyle w:val="Tableoffigures"/>
        <w:tabs>
          <w:tab w:val="clear" w:pos="720"/>
          <w:tab w:val="right" w:pos="9350" w:leader="dot"/>
        </w:tabs>
        <w:rPr>
          <w:rFonts w:eastAsia="" w:eastAsiaTheme="minorEastAsia"/>
          <w:sz w:val="20"/>
          <w:szCs w:val="20"/>
          <w:lang w:val="en-US"/>
        </w:rPr>
      </w:pPr>
      <w:r>
        <w:rPr>
          <w:iCs/>
          <w:sz w:val="20"/>
          <w:szCs w:val="20"/>
        </w:rPr>
        <w:t>Figura 4 Evoluția contului curent, miliarde EUR</w:t>
      </w:r>
      <w:r>
        <w:rPr>
          <w:sz w:val="20"/>
          <w:szCs w:val="20"/>
        </w:rPr>
        <w:tab/>
        <w:t>17</w:t>
      </w:r>
    </w:p>
    <w:p>
      <w:pPr>
        <w:pStyle w:val="Tableoffigures"/>
        <w:tabs>
          <w:tab w:val="clear" w:pos="720"/>
          <w:tab w:val="right" w:pos="9350" w:leader="dot"/>
        </w:tabs>
        <w:rPr>
          <w:rFonts w:eastAsia="" w:eastAsiaTheme="minorEastAsia"/>
          <w:sz w:val="20"/>
          <w:szCs w:val="20"/>
          <w:lang w:val="en-US"/>
        </w:rPr>
      </w:pPr>
      <w:r>
        <w:rPr>
          <w:iCs/>
          <w:sz w:val="20"/>
          <w:szCs w:val="20"/>
        </w:rPr>
        <w:t>Figura 5 Randamentele obligațiunilor guvernamentale din Zona Euro</w:t>
      </w:r>
      <w:r>
        <w:rPr>
          <w:sz w:val="20"/>
          <w:szCs w:val="20"/>
        </w:rPr>
        <w:tab/>
        <w:t>17</w:t>
      </w:r>
    </w:p>
    <w:p>
      <w:pPr>
        <w:pStyle w:val="Tableoffigures"/>
        <w:tabs>
          <w:tab w:val="clear" w:pos="720"/>
          <w:tab w:val="right" w:pos="9350" w:leader="dot"/>
        </w:tabs>
        <w:rPr>
          <w:rFonts w:eastAsia="" w:eastAsiaTheme="minorEastAsia"/>
          <w:sz w:val="20"/>
          <w:szCs w:val="20"/>
          <w:lang w:val="en-US"/>
        </w:rPr>
      </w:pPr>
      <w:r>
        <w:rPr>
          <w:iCs/>
          <w:sz w:val="20"/>
          <w:szCs w:val="20"/>
        </w:rPr>
        <w:t>Figura 6 Randamentele obligațiunilor guvernamentale din România</w:t>
      </w:r>
      <w:r>
        <w:rPr>
          <w:sz w:val="20"/>
          <w:szCs w:val="20"/>
        </w:rPr>
        <w:tab/>
        <w:t>17</w:t>
      </w:r>
    </w:p>
    <w:p>
      <w:pPr>
        <w:pStyle w:val="Tableoffigures"/>
        <w:tabs>
          <w:tab w:val="clear" w:pos="720"/>
          <w:tab w:val="right" w:pos="9350" w:leader="dot"/>
        </w:tabs>
        <w:rPr>
          <w:rFonts w:eastAsia="" w:eastAsiaTheme="minorEastAsia"/>
          <w:sz w:val="20"/>
          <w:szCs w:val="20"/>
          <w:lang w:val="en-US"/>
        </w:rPr>
      </w:pPr>
      <w:r>
        <w:rPr>
          <w:iCs/>
          <w:sz w:val="20"/>
          <w:szCs w:val="20"/>
        </w:rPr>
        <w:t>Figura 7 Inflația (IPC) % și prognoza BNR a IPC</w:t>
      </w:r>
      <w:r>
        <w:rPr>
          <w:sz w:val="20"/>
          <w:szCs w:val="20"/>
        </w:rPr>
        <w:tab/>
        <w:t>18</w:t>
      </w:r>
    </w:p>
    <w:p>
      <w:pPr>
        <w:pStyle w:val="Tableoffigures"/>
        <w:tabs>
          <w:tab w:val="clear" w:pos="720"/>
          <w:tab w:val="right" w:pos="9350" w:leader="dot"/>
        </w:tabs>
        <w:rPr>
          <w:rFonts w:eastAsia="" w:eastAsiaTheme="minorEastAsia"/>
          <w:sz w:val="20"/>
          <w:szCs w:val="20"/>
          <w:lang w:val="en-US"/>
        </w:rPr>
      </w:pPr>
      <w:r>
        <w:rPr>
          <w:iCs/>
          <w:sz w:val="20"/>
          <w:szCs w:val="20"/>
        </w:rPr>
        <w:t>Figura 8 Indicatorul ESI</w:t>
      </w:r>
      <w:r>
        <w:rPr>
          <w:sz w:val="20"/>
          <w:szCs w:val="20"/>
        </w:rPr>
        <w:tab/>
        <w:t>19</w:t>
      </w:r>
    </w:p>
    <w:p>
      <w:pPr>
        <w:pStyle w:val="Tableoffigures"/>
        <w:tabs>
          <w:tab w:val="clear" w:pos="720"/>
          <w:tab w:val="right" w:pos="9350" w:leader="dot"/>
        </w:tabs>
        <w:rPr>
          <w:rFonts w:eastAsia="" w:eastAsiaTheme="minorEastAsia"/>
          <w:sz w:val="20"/>
          <w:szCs w:val="20"/>
          <w:lang w:val="en-US"/>
        </w:rPr>
      </w:pPr>
      <w:r>
        <w:rPr>
          <w:iCs/>
          <w:sz w:val="20"/>
          <w:szCs w:val="20"/>
        </w:rPr>
        <w:t>Figura 9 Componentele indicelui ESI</w:t>
      </w:r>
      <w:r>
        <w:rPr>
          <w:sz w:val="20"/>
          <w:szCs w:val="20"/>
        </w:rPr>
        <w:tab/>
        <w:t>19</w:t>
      </w:r>
    </w:p>
    <w:p>
      <w:pPr>
        <w:pStyle w:val="Tableoffigures"/>
        <w:tabs>
          <w:tab w:val="clear" w:pos="720"/>
          <w:tab w:val="right" w:pos="9350" w:leader="dot"/>
        </w:tabs>
        <w:rPr>
          <w:rFonts w:eastAsia="" w:eastAsiaTheme="minorEastAsia"/>
          <w:sz w:val="20"/>
          <w:szCs w:val="20"/>
          <w:lang w:val="en-US"/>
        </w:rPr>
      </w:pPr>
      <w:r>
        <w:rPr>
          <w:sz w:val="20"/>
          <w:szCs w:val="20"/>
        </w:rPr>
        <w:t>Figura 10 Activele nete (miliarde EUR) ale organismelor de plasament colectiv în valori mobiliare din Europa la 31 decembrie 2021</w:t>
        <w:tab/>
        <w:t>20</w:t>
      </w:r>
    </w:p>
    <w:p>
      <w:pPr>
        <w:pStyle w:val="Tableoffigures"/>
        <w:tabs>
          <w:tab w:val="clear" w:pos="720"/>
          <w:tab w:val="right" w:pos="9350" w:leader="dot"/>
        </w:tabs>
        <w:rPr>
          <w:rFonts w:eastAsia="" w:eastAsiaTheme="minorEastAsia"/>
          <w:sz w:val="20"/>
          <w:szCs w:val="20"/>
          <w:lang w:val="en-US"/>
        </w:rPr>
      </w:pPr>
      <w:r>
        <w:rPr>
          <w:sz w:val="20"/>
          <w:szCs w:val="20"/>
        </w:rPr>
        <w:t>Figura 11 Capitalizarea bursieră domestică raporată la PIB (%)</w:t>
        <w:tab/>
        <w:t>21</w:t>
      </w:r>
    </w:p>
    <w:p>
      <w:pPr>
        <w:pStyle w:val="Tableoffigures"/>
        <w:tabs>
          <w:tab w:val="clear" w:pos="720"/>
          <w:tab w:val="right" w:pos="9350" w:leader="dot"/>
        </w:tabs>
        <w:rPr>
          <w:rFonts w:eastAsia="" w:eastAsiaTheme="minorEastAsia"/>
          <w:sz w:val="20"/>
          <w:szCs w:val="20"/>
          <w:lang w:val="en-US"/>
        </w:rPr>
      </w:pPr>
      <w:r>
        <w:rPr>
          <w:sz w:val="20"/>
          <w:szCs w:val="20"/>
        </w:rPr>
        <w:t>Figura 12</w:t>
      </w:r>
      <w:r>
        <w:rPr>
          <w:rFonts w:cs="Calibri" w:cstheme="minorHAnsi"/>
          <w:sz w:val="20"/>
          <w:szCs w:val="20"/>
        </w:rPr>
        <w:t xml:space="preserve"> Oferte publice inițiale în perioada 2000 – 2021</w:t>
      </w:r>
      <w:r>
        <w:rPr>
          <w:sz w:val="20"/>
          <w:szCs w:val="20"/>
        </w:rPr>
        <w:tab/>
        <w:t>27</w:t>
      </w:r>
    </w:p>
    <w:p>
      <w:pPr>
        <w:pStyle w:val="Tableoffigures"/>
        <w:tabs>
          <w:tab w:val="clear" w:pos="720"/>
          <w:tab w:val="right" w:pos="9350" w:leader="dot"/>
        </w:tabs>
        <w:rPr>
          <w:rFonts w:eastAsia="" w:eastAsiaTheme="minorEastAsia"/>
          <w:sz w:val="20"/>
          <w:szCs w:val="20"/>
          <w:lang w:val="en-US"/>
        </w:rPr>
      </w:pPr>
      <w:r>
        <w:rPr>
          <w:rFonts w:cs="Calibri" w:cstheme="minorHAnsi"/>
          <w:iCs/>
          <w:sz w:val="20"/>
          <w:szCs w:val="20"/>
        </w:rPr>
        <w:t>Figura 13</w:t>
      </w:r>
      <w:r>
        <w:rPr>
          <w:sz w:val="20"/>
          <w:szCs w:val="20"/>
        </w:rPr>
        <w:t xml:space="preserve"> </w:t>
      </w:r>
      <w:r>
        <w:rPr>
          <w:iCs/>
          <w:sz w:val="20"/>
          <w:szCs w:val="20"/>
        </w:rPr>
        <w:t>Structura trimestrială a tranzacțiilor derulate pe piața Reglementată în perioada T4 2019 – T4 2021</w:t>
      </w:r>
      <w:r>
        <w:rPr>
          <w:sz w:val="20"/>
          <w:szCs w:val="20"/>
        </w:rPr>
        <w:tab/>
        <w:t>28</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14 Structura acționariatului, 2021</w:t>
      </w:r>
      <w:r>
        <w:rPr>
          <w:sz w:val="20"/>
          <w:szCs w:val="20"/>
        </w:rPr>
        <w:tab/>
        <w:t>29</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15 Emisiuni globale de obligațiuni</w:t>
      </w:r>
      <w:r>
        <w:rPr>
          <w:sz w:val="20"/>
          <w:szCs w:val="20"/>
        </w:rPr>
        <w:tab/>
        <w:t>30</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16 Emisiuni de obligațiuni corporative în regiunea ECE și în România, 2021</w:t>
      </w:r>
      <w:r>
        <w:rPr>
          <w:sz w:val="20"/>
          <w:szCs w:val="20"/>
        </w:rPr>
        <w:tab/>
        <w:t>31</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17 Obligațiuni corporative emise de companii nefinanciare ân România și alte țări europene, 2021</w:t>
      </w:r>
      <w:r>
        <w:rPr>
          <w:sz w:val="20"/>
          <w:szCs w:val="20"/>
        </w:rPr>
        <w:tab/>
        <w:t>32</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18 Caracteristicile obligațiunilor corporative, 2000</w:t>
        <w:noBreakHyphen/>
        <w:t>2021</w:t>
      </w:r>
      <w:r>
        <w:rPr>
          <w:sz w:val="20"/>
          <w:szCs w:val="20"/>
        </w:rPr>
        <w:tab/>
        <w:t>34</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17</w:t>
      </w:r>
      <w:r>
        <w:rPr>
          <w:sz w:val="20"/>
          <w:szCs w:val="20"/>
        </w:rPr>
        <w:t xml:space="preserve"> Activitatea de private equity în România și în ECE, 2007 – 2021</w:t>
        <w:tab/>
        <w:t>38</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18</w:t>
      </w:r>
      <w:r>
        <w:rPr>
          <w:sz w:val="20"/>
          <w:szCs w:val="20"/>
        </w:rPr>
        <w:t xml:space="preserve"> Activitatea de private equity în România și în alte țări din regiune, % PIB, ultimii 5 ani (2017 – 2021)</w:t>
        <w:tab/>
        <w:t>39</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19</w:t>
      </w:r>
      <w:r>
        <w:rPr>
          <w:sz w:val="20"/>
          <w:szCs w:val="20"/>
        </w:rPr>
        <w:t xml:space="preserve"> Finanțări de private equity structurate pe originea investitorilor în România și în alte state comparabile (2007 – 2021)</w:t>
        <w:tab/>
        <w:t>40</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20</w:t>
      </w:r>
      <w:r>
        <w:rPr>
          <w:sz w:val="20"/>
          <w:szCs w:val="20"/>
        </w:rPr>
        <w:t xml:space="preserve"> Finanțări de private equity pe tipuri de investitori în România și în alte state comparabile (2007 – 2021)</w:t>
        <w:tab/>
        <w:t>41</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21</w:t>
      </w:r>
      <w:r>
        <w:rPr>
          <w:sz w:val="20"/>
          <w:szCs w:val="20"/>
        </w:rPr>
        <w:t xml:space="preserve"> Tipuri de investiții private equity în România și în alte țări europene</w:t>
        <w:tab/>
        <w:t>43</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22</w:t>
      </w:r>
      <w:r>
        <w:rPr>
          <w:sz w:val="20"/>
          <w:szCs w:val="20"/>
        </w:rPr>
        <w:t xml:space="preserve"> Investiții în private equity pe industrii în România și în alte state din regiune (2007 – 2021)</w:t>
        <w:tab/>
        <w:t>44</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23</w:t>
      </w:r>
      <w:r>
        <w:rPr>
          <w:sz w:val="20"/>
          <w:szCs w:val="20"/>
        </w:rPr>
        <w:t xml:space="preserve"> Volumele de dezinvestiții în private equity în regiunea ECE și în România</w:t>
        <w:tab/>
        <w:t>45</w:t>
      </w:r>
    </w:p>
    <w:p>
      <w:pPr>
        <w:pStyle w:val="Tableoffigures"/>
        <w:tabs>
          <w:tab w:val="clear" w:pos="720"/>
          <w:tab w:val="right" w:pos="9350" w:leader="dot"/>
        </w:tabs>
        <w:rPr>
          <w:rFonts w:eastAsia="" w:eastAsiaTheme="minorEastAsia"/>
          <w:sz w:val="20"/>
          <w:szCs w:val="20"/>
          <w:lang w:val="en-US"/>
        </w:rPr>
      </w:pPr>
      <w:r>
        <w:rPr>
          <w:rFonts w:cs="Calibri" w:cstheme="minorHAnsi"/>
          <w:sz w:val="20"/>
          <w:szCs w:val="20"/>
        </w:rPr>
        <w:t>Figura 24</w:t>
      </w:r>
      <w:r>
        <w:rPr>
          <w:sz w:val="20"/>
          <w:szCs w:val="20"/>
        </w:rPr>
        <w:t xml:space="preserve"> Dezinvestiții private equity în funcție de tipul de ieșire în România și alte țări din regiune (2007 – 2021)</w:t>
        <w:tab/>
        <w:t>46</w:t>
      </w:r>
    </w:p>
    <w:p>
      <w:pPr>
        <w:pStyle w:val="Normal"/>
        <w:rPr>
          <w:lang w:val="ro-RO"/>
        </w:rPr>
      </w:pPr>
      <w:r>
        <w:rPr>
          <w:lang w:val="ro-RO"/>
        </w:rPr>
      </w:r>
      <w:r>
        <w:rPr/>
        <w:fldChar w:fldCharType="end"/>
      </w:r>
    </w:p>
    <w:p>
      <w:pPr>
        <w:pStyle w:val="Normal"/>
        <w:rPr>
          <w:rFonts w:ascii="Calibri Light" w:hAnsi="Calibri Light" w:eastAsia="" w:cs="" w:asciiTheme="majorHAnsi" w:cstheme="majorBidi" w:eastAsiaTheme="majorEastAsia" w:hAnsiTheme="majorHAnsi"/>
          <w:b/>
          <w:b/>
          <w:color w:val="2E74B5" w:themeColor="accent1" w:themeShade="bf"/>
          <w:sz w:val="26"/>
          <w:szCs w:val="26"/>
          <w:lang w:val="ro-RO"/>
        </w:rPr>
      </w:pPr>
      <w:r>
        <w:rPr>
          <w:rFonts w:eastAsia="" w:cs="" w:cstheme="majorBidi" w:eastAsiaTheme="majorEastAsia" w:ascii="Calibri Light" w:hAnsi="Calibri Light"/>
          <w:b/>
          <w:color w:val="2E74B5" w:themeColor="accent1" w:themeShade="bf"/>
          <w:sz w:val="26"/>
          <w:szCs w:val="26"/>
          <w:lang w:val="ro-RO"/>
        </w:rPr>
      </w:r>
      <w:r>
        <w:br w:type="page"/>
      </w:r>
    </w:p>
    <w:p>
      <w:pPr>
        <w:pStyle w:val="Heading2"/>
        <w:spacing w:before="0" w:after="160"/>
        <w:rPr/>
      </w:pPr>
      <w:bookmarkStart w:id="1115" w:name="_Toc110536011"/>
      <w:r>
        <w:rPr>
          <w:rFonts w:eastAsia="Calibri" w:eastAsiaTheme="minorHAnsi"/>
          <w:b/>
          <w:lang w:val="ro-RO"/>
        </w:rPr>
        <w:t>Listă tabele</w:t>
      </w:r>
      <w:bookmarkEnd w:id="1115"/>
    </w:p>
    <w:p>
      <w:pPr>
        <w:pStyle w:val="Tableoffigures"/>
        <w:tabs>
          <w:tab w:val="clear" w:pos="720"/>
          <w:tab w:val="right" w:pos="9350" w:leader="dot"/>
        </w:tabs>
        <w:rPr>
          <w:rFonts w:eastAsia="" w:eastAsiaTheme="minorEastAsia"/>
          <w:sz w:val="20"/>
          <w:lang w:val="fr-FR"/>
        </w:rPr>
      </w:pPr>
      <w:r>
        <w:fldChar w:fldCharType="begin"/>
      </w:r>
      <w:r>
        <w:rPr>
          <w:sz w:val="20"/>
          <w:iCs/>
        </w:rPr>
        <w:instrText> TOC \c "Tabelul" </w:instrText>
      </w:r>
      <w:r>
        <w:rPr>
          <w:sz w:val="20"/>
          <w:iCs/>
        </w:rPr>
        <w:fldChar w:fldCharType="separate"/>
      </w:r>
      <w:r>
        <w:rPr>
          <w:iCs/>
          <w:sz w:val="20"/>
        </w:rPr>
        <w:t>Tabelul 1 Prognozele FMI, CE și CNSP de creștere economică pentru România</w:t>
      </w:r>
      <w:r>
        <w:rPr>
          <w:sz w:val="20"/>
        </w:rPr>
        <w:tab/>
        <w:t>15</w:t>
      </w:r>
    </w:p>
    <w:p>
      <w:pPr>
        <w:pStyle w:val="Tableoffigures"/>
        <w:tabs>
          <w:tab w:val="clear" w:pos="720"/>
          <w:tab w:val="right" w:pos="9350" w:leader="dot"/>
        </w:tabs>
        <w:rPr>
          <w:rFonts w:eastAsia="" w:eastAsiaTheme="minorEastAsia"/>
          <w:sz w:val="20"/>
          <w:lang w:val="fr-FR"/>
        </w:rPr>
      </w:pPr>
      <w:r>
        <w:rPr>
          <w:iCs/>
          <w:sz w:val="20"/>
        </w:rPr>
        <w:t>Tabelul 2 Activele nete ale OPCVM (milioane EUR) în funcție de țările de domiciliu</w:t>
      </w:r>
      <w:r>
        <w:rPr>
          <w:sz w:val="20"/>
        </w:rPr>
        <w:tab/>
        <w:t>20</w:t>
      </w:r>
    </w:p>
    <w:p>
      <w:pPr>
        <w:pStyle w:val="Tableoffigures"/>
        <w:tabs>
          <w:tab w:val="clear" w:pos="720"/>
          <w:tab w:val="right" w:pos="9350" w:leader="dot"/>
        </w:tabs>
        <w:rPr>
          <w:rFonts w:eastAsia="" w:eastAsiaTheme="minorEastAsia"/>
          <w:sz w:val="20"/>
          <w:lang w:val="fr-FR"/>
        </w:rPr>
      </w:pPr>
      <w:r>
        <w:rPr>
          <w:rFonts w:cs="Calibri" w:cstheme="minorHAnsi"/>
          <w:sz w:val="20"/>
        </w:rPr>
        <w:t>Tabelul 3 Evoluția numărului de companii listate, împreună cu capitalizarea și numărul de intermediari</w:t>
      </w:r>
      <w:r>
        <w:rPr>
          <w:sz w:val="20"/>
        </w:rPr>
        <w:tab/>
        <w:t>23</w:t>
      </w:r>
    </w:p>
    <w:p>
      <w:pPr>
        <w:pStyle w:val="Tableoffigures"/>
        <w:tabs>
          <w:tab w:val="clear" w:pos="720"/>
          <w:tab w:val="right" w:pos="9350" w:leader="dot"/>
        </w:tabs>
        <w:rPr>
          <w:rFonts w:eastAsia="" w:eastAsiaTheme="minorEastAsia"/>
          <w:sz w:val="20"/>
          <w:lang w:val="fr-FR"/>
        </w:rPr>
      </w:pPr>
      <w:r>
        <w:rPr>
          <w:rFonts w:cs="Calibri" w:cstheme="minorHAnsi"/>
          <w:sz w:val="20"/>
        </w:rPr>
        <w:t>Tabelul 4 Tarifele percepute de BVB</w:t>
      </w:r>
      <w:r>
        <w:rPr>
          <w:sz w:val="20"/>
        </w:rPr>
        <w:tab/>
        <w:t>24</w:t>
      </w:r>
    </w:p>
    <w:p>
      <w:pPr>
        <w:pStyle w:val="Tableoffigures"/>
        <w:tabs>
          <w:tab w:val="clear" w:pos="720"/>
          <w:tab w:val="right" w:pos="9350" w:leader="dot"/>
        </w:tabs>
        <w:rPr>
          <w:rFonts w:eastAsia="" w:eastAsiaTheme="minorEastAsia"/>
          <w:sz w:val="20"/>
          <w:lang w:val="fr-FR"/>
        </w:rPr>
      </w:pPr>
      <w:r>
        <w:rPr>
          <w:rFonts w:cs="Calibri" w:cstheme="minorHAnsi"/>
          <w:sz w:val="20"/>
        </w:rPr>
        <w:t>Tabelul 5 Numărul companiilor listate, la 31.12.2021</w:t>
      </w:r>
      <w:r>
        <w:rPr>
          <w:sz w:val="20"/>
        </w:rPr>
        <w:tab/>
        <w:t>25</w:t>
      </w:r>
    </w:p>
    <w:p>
      <w:pPr>
        <w:pStyle w:val="Tableoffigures"/>
        <w:tabs>
          <w:tab w:val="clear" w:pos="720"/>
          <w:tab w:val="right" w:pos="9350" w:leader="dot"/>
        </w:tabs>
        <w:rPr>
          <w:rFonts w:eastAsia="" w:eastAsiaTheme="minorEastAsia"/>
          <w:sz w:val="20"/>
          <w:lang w:val="fr-FR"/>
        </w:rPr>
      </w:pPr>
      <w:r>
        <w:rPr>
          <w:sz w:val="20"/>
        </w:rPr>
        <w:t xml:space="preserve">Tabelul 6 Clasificarea pe industrii a companiilor listate </w:t>
      </w:r>
      <w:r>
        <w:rPr>
          <w:rFonts w:cs="Calibri" w:cstheme="minorHAnsi"/>
          <w:sz w:val="20"/>
          <w:lang w:eastAsia="zh-CN"/>
        </w:rPr>
        <w:t>la 31 decembrie 2021</w:t>
      </w:r>
      <w:r>
        <w:rPr>
          <w:sz w:val="20"/>
        </w:rPr>
        <w:tab/>
        <w:t>25</w:t>
      </w:r>
    </w:p>
    <w:p>
      <w:pPr>
        <w:pStyle w:val="Tableoffigures"/>
        <w:tabs>
          <w:tab w:val="clear" w:pos="720"/>
          <w:tab w:val="right" w:pos="9350" w:leader="dot"/>
        </w:tabs>
        <w:rPr>
          <w:rFonts w:eastAsia="" w:eastAsiaTheme="minorEastAsia"/>
          <w:sz w:val="20"/>
          <w:lang w:val="fr-FR"/>
        </w:rPr>
      </w:pPr>
      <w:r>
        <w:rPr>
          <w:rFonts w:cs="Calibri" w:cstheme="minorHAnsi"/>
          <w:sz w:val="20"/>
        </w:rPr>
        <w:t>Tabelul 7 IPO-uri finalizate în România</w:t>
      </w:r>
      <w:r>
        <w:rPr>
          <w:sz w:val="20"/>
        </w:rPr>
        <w:tab/>
        <w:t>27</w:t>
      </w:r>
    </w:p>
    <w:p>
      <w:pPr>
        <w:pStyle w:val="Tableoffigures"/>
        <w:tabs>
          <w:tab w:val="clear" w:pos="720"/>
          <w:tab w:val="right" w:pos="9350" w:leader="dot"/>
        </w:tabs>
        <w:rPr>
          <w:rFonts w:eastAsia="" w:eastAsiaTheme="minorEastAsia"/>
          <w:sz w:val="20"/>
          <w:lang w:val="fr-FR"/>
        </w:rPr>
      </w:pPr>
      <w:r>
        <w:rPr>
          <w:rFonts w:cs="Calibri" w:cstheme="minorHAnsi"/>
          <w:sz w:val="20"/>
        </w:rPr>
        <w:t>Tabelul 8 Distribuția pe industrii a obligațiunilor corporative emise de companii nefinanciare ân România și alte țări europene</w:t>
      </w:r>
      <w:r>
        <w:rPr>
          <w:sz w:val="20"/>
        </w:rPr>
        <w:tab/>
        <w:t>33</w:t>
      </w:r>
    </w:p>
    <w:p>
      <w:pPr>
        <w:pStyle w:val="Tableoffigures"/>
        <w:tabs>
          <w:tab w:val="clear" w:pos="720"/>
          <w:tab w:val="right" w:pos="9350" w:leader="dot"/>
        </w:tabs>
        <w:rPr>
          <w:rFonts w:eastAsia="" w:eastAsiaTheme="minorEastAsia"/>
          <w:sz w:val="20"/>
          <w:lang w:val="fr-FR"/>
        </w:rPr>
      </w:pPr>
      <w:r>
        <w:rPr>
          <w:rFonts w:cs="Calibri" w:cstheme="minorHAnsi"/>
          <w:sz w:val="20"/>
        </w:rPr>
        <w:t>Tabelul 9</w:t>
      </w:r>
      <w:r>
        <w:rPr>
          <w:sz w:val="20"/>
        </w:rPr>
        <w:t xml:space="preserve"> </w:t>
      </w:r>
      <w:r>
        <w:rPr>
          <w:rFonts w:cs="Calibri" w:cstheme="minorHAnsi"/>
          <w:sz w:val="20"/>
        </w:rPr>
        <w:t>cerințe pentru listare și potențiali investitori vizați</w:t>
      </w:r>
      <w:r>
        <w:rPr>
          <w:sz w:val="20"/>
        </w:rPr>
        <w:tab/>
        <w:t>36</w:t>
      </w:r>
    </w:p>
    <w:p>
      <w:pPr>
        <w:pStyle w:val="Tableoffigures"/>
        <w:tabs>
          <w:tab w:val="clear" w:pos="720"/>
          <w:tab w:val="right" w:pos="9350" w:leader="dot"/>
        </w:tabs>
        <w:rPr>
          <w:rFonts w:eastAsia="" w:eastAsiaTheme="minorEastAsia"/>
          <w:sz w:val="20"/>
          <w:lang w:val="fr-FR"/>
        </w:rPr>
      </w:pPr>
      <w:r>
        <w:rPr>
          <w:rFonts w:cs="Calibri" w:cstheme="minorHAnsi"/>
          <w:sz w:val="20"/>
        </w:rPr>
        <w:t>Tabelul 10</w:t>
      </w:r>
      <w:r>
        <w:rPr>
          <w:sz w:val="20"/>
        </w:rPr>
        <w:t xml:space="preserve"> </w:t>
      </w:r>
      <w:r>
        <w:rPr>
          <w:rFonts w:cs="Calibri" w:cstheme="minorHAnsi"/>
          <w:sz w:val="20"/>
        </w:rPr>
        <w:t>Sinteza principalelor rezultate așteptate, ca urmare a implementării Strategiei naționale de dezvoltare a pieței de capital 2022 - 2026</w:t>
      </w:r>
      <w:r>
        <w:rPr>
          <w:sz w:val="20"/>
        </w:rPr>
        <w:tab/>
        <w:t>61</w:t>
      </w:r>
    </w:p>
    <w:p>
      <w:pPr>
        <w:pStyle w:val="Tableoffigures"/>
        <w:tabs>
          <w:tab w:val="clear" w:pos="720"/>
          <w:tab w:val="right" w:pos="9350" w:leader="dot"/>
        </w:tabs>
        <w:rPr/>
      </w:pPr>
      <w:r>
        <w:rPr/>
      </w:r>
      <w:r>
        <w:rPr/>
        <w:fldChar w:fldCharType="end"/>
      </w:r>
    </w:p>
    <w:p>
      <w:pPr>
        <w:pStyle w:val="Heading2"/>
        <w:spacing w:before="0" w:after="160"/>
        <w:rPr>
          <w:b/>
          <w:b/>
          <w:lang w:val="ro-RO"/>
        </w:rPr>
      </w:pPr>
      <w:r>
        <w:rPr>
          <w:b/>
          <w:lang w:val="ro-RO"/>
        </w:rPr>
      </w:r>
    </w:p>
    <w:p>
      <w:pPr>
        <w:pStyle w:val="Normal"/>
        <w:rPr>
          <w:rFonts w:ascii="Calibri Light" w:hAnsi="Calibri Light" w:eastAsia="" w:cs="" w:asciiTheme="majorHAnsi" w:cstheme="majorBidi" w:eastAsiaTheme="majorEastAsia" w:hAnsiTheme="majorHAnsi"/>
          <w:b/>
          <w:b/>
          <w:color w:val="2E74B5" w:themeColor="accent1" w:themeShade="bf"/>
          <w:sz w:val="26"/>
          <w:szCs w:val="26"/>
          <w:lang w:val="ro-RO"/>
        </w:rPr>
      </w:pPr>
      <w:r>
        <w:rPr>
          <w:rFonts w:eastAsia="" w:cs="" w:cstheme="majorBidi" w:eastAsiaTheme="majorEastAsia" w:ascii="Calibri Light" w:hAnsi="Calibri Light"/>
          <w:b/>
          <w:color w:val="2E74B5" w:themeColor="accent1" w:themeShade="bf"/>
          <w:sz w:val="26"/>
          <w:szCs w:val="26"/>
          <w:lang w:val="ro-RO"/>
        </w:rPr>
      </w:r>
      <w:r>
        <w:br w:type="page"/>
      </w:r>
    </w:p>
    <w:p>
      <w:pPr>
        <w:pStyle w:val="Heading2"/>
        <w:spacing w:before="0" w:after="160"/>
        <w:rPr>
          <w:b/>
          <w:b/>
          <w:lang w:val="ro-RO"/>
        </w:rPr>
      </w:pPr>
      <w:bookmarkStart w:id="1116" w:name="_Toc110536012"/>
      <w:r>
        <w:rPr>
          <w:b/>
          <w:lang w:val="ro-RO"/>
        </w:rPr>
        <w:t>Listă acronime</w:t>
      </w:r>
      <w:bookmarkEnd w:id="1116"/>
    </w:p>
    <w:tbl>
      <w:tblPr>
        <w:tblW w:w="7500" w:type="dxa"/>
        <w:jc w:val="left"/>
        <w:tblInd w:w="0" w:type="dxa"/>
        <w:tblBorders/>
        <w:tblCellMar>
          <w:top w:w="0" w:type="dxa"/>
          <w:left w:w="108" w:type="dxa"/>
          <w:bottom w:w="0" w:type="dxa"/>
          <w:right w:w="108" w:type="dxa"/>
        </w:tblCellMar>
        <w:tblLook w:firstRow="1" w:noVBand="1" w:lastRow="0" w:firstColumn="1" w:lastColumn="0" w:noHBand="0" w:val="04a0"/>
      </w:tblPr>
      <w:tblGrid>
        <w:gridCol w:w="1260"/>
        <w:gridCol w:w="6239"/>
      </w:tblGrid>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AFIA</w:t>
            </w:r>
          </w:p>
        </w:tc>
        <w:tc>
          <w:tcPr>
            <w:tcW w:w="6239" w:type="dxa"/>
            <w:tcBorders/>
            <w:shd w:fill="auto" w:val="clear"/>
            <w:vAlign w:val="bottom"/>
          </w:tcPr>
          <w:p>
            <w:pPr>
              <w:pStyle w:val="Normal"/>
              <w:spacing w:lineRule="auto" w:line="240" w:before="0" w:after="0"/>
              <w:rPr>
                <w:rFonts w:ascii="Calibri" w:hAnsi="Calibri" w:eastAsia="Times New Roman" w:cs="Calibri"/>
                <w:color w:val="000000"/>
                <w:lang w:val="fr-FR"/>
              </w:rPr>
            </w:pPr>
            <w:r>
              <w:rPr>
                <w:rFonts w:eastAsia="Times New Roman" w:cs="Calibri"/>
                <w:color w:val="000000"/>
                <w:lang w:val="fr-FR"/>
              </w:rPr>
              <w:t>Administratori de fonduri de investiții alternative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AIFMD</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Alternative Investment Fund Managers Directive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ASF</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Autoritatea de Supraveghere Financiară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BET</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Bucharest Exchange Trading</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BNR</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Banca Națională a României</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BVB</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Bursa de Valori București</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CCIR</w:t>
            </w:r>
          </w:p>
        </w:tc>
        <w:tc>
          <w:tcPr>
            <w:tcW w:w="6239" w:type="dxa"/>
            <w:tcBorders/>
            <w:shd w:fill="auto" w:val="clear"/>
            <w:vAlign w:val="bottom"/>
          </w:tcPr>
          <w:p>
            <w:pPr>
              <w:pStyle w:val="Normal"/>
              <w:spacing w:lineRule="auto" w:line="240" w:before="0" w:after="0"/>
              <w:rPr>
                <w:rFonts w:ascii="Calibri" w:hAnsi="Calibri" w:eastAsia="Times New Roman" w:cs="Calibri"/>
                <w:color w:val="000000"/>
                <w:lang w:val="fr-FR"/>
              </w:rPr>
            </w:pPr>
            <w:r>
              <w:rPr>
                <w:rFonts w:eastAsia="Times New Roman" w:cs="Calibri"/>
                <w:color w:val="000000"/>
                <w:lang w:val="fr-FR"/>
              </w:rPr>
              <w:t>Camera de Comerț și Industrie a României</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CCP</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Contrapartea Centrală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CE</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Comisia Europeană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CNSP</w:t>
            </w:r>
          </w:p>
        </w:tc>
        <w:tc>
          <w:tcPr>
            <w:tcW w:w="6239" w:type="dxa"/>
            <w:tcBorders/>
            <w:shd w:fill="auto" w:val="clear"/>
            <w:vAlign w:val="bottom"/>
          </w:tcPr>
          <w:p>
            <w:pPr>
              <w:pStyle w:val="Normal"/>
              <w:spacing w:lineRule="auto" w:line="240" w:before="0" w:after="0"/>
              <w:rPr>
                <w:rFonts w:ascii="Calibri" w:hAnsi="Calibri" w:eastAsia="Times New Roman" w:cs="Calibri"/>
                <w:color w:val="000000"/>
                <w:lang w:val="fr-FR"/>
              </w:rPr>
            </w:pPr>
            <w:r>
              <w:rPr>
                <w:rFonts w:eastAsia="Times New Roman" w:cs="Calibri"/>
                <w:color w:val="000000"/>
                <w:lang w:val="fr-FR"/>
              </w:rPr>
              <w:t>Comisia Națională de Strategie și Prognoză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CSDR</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Central Securities Depository Regulation</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DC</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Depozitarul Central</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DLT</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Tehnologia registrelor distribuite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ECE</w:t>
            </w:r>
          </w:p>
        </w:tc>
        <w:tc>
          <w:tcPr>
            <w:tcW w:w="6239" w:type="dxa"/>
            <w:tcBorders/>
            <w:shd w:fill="auto" w:val="clear"/>
            <w:vAlign w:val="bottom"/>
          </w:tcPr>
          <w:p>
            <w:pPr>
              <w:pStyle w:val="Normal"/>
              <w:spacing w:lineRule="auto" w:line="240" w:before="0" w:after="0"/>
              <w:rPr>
                <w:rFonts w:ascii="Calibri" w:hAnsi="Calibri" w:eastAsia="Times New Roman" w:cs="Calibri"/>
                <w:color w:val="000000"/>
                <w:lang w:val="fr-FR"/>
              </w:rPr>
            </w:pPr>
            <w:r>
              <w:rPr>
                <w:rFonts w:eastAsia="Times New Roman" w:cs="Calibri"/>
                <w:color w:val="000000"/>
                <w:lang w:val="fr-FR"/>
              </w:rPr>
              <w:t>Europa Centrală și de Est</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EIOPA</w:t>
            </w:r>
          </w:p>
        </w:tc>
        <w:tc>
          <w:tcPr>
            <w:tcW w:w="6239" w:type="dxa"/>
            <w:tcBorders/>
            <w:shd w:fill="auto" w:val="clear"/>
            <w:vAlign w:val="bottom"/>
          </w:tcPr>
          <w:p>
            <w:pPr>
              <w:pStyle w:val="Normal"/>
              <w:spacing w:lineRule="auto" w:line="240" w:before="0" w:after="0"/>
              <w:rPr>
                <w:rFonts w:ascii="Calibri" w:hAnsi="Calibri" w:eastAsia="Times New Roman" w:cs="Calibri"/>
                <w:color w:val="000000"/>
                <w:lang w:val="fr-FR"/>
              </w:rPr>
            </w:pPr>
            <w:r>
              <w:rPr>
                <w:rFonts w:eastAsia="Times New Roman" w:cs="Calibri"/>
                <w:color w:val="000000"/>
                <w:lang w:val="fr-FR"/>
              </w:rPr>
              <w:t>Autoritatea Europeană pentru Asigurări și Pensii Ocupaționale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ESG</w:t>
            </w:r>
          </w:p>
        </w:tc>
        <w:tc>
          <w:tcPr>
            <w:tcW w:w="6239" w:type="dxa"/>
            <w:tcBorders/>
            <w:shd w:fill="auto" w:val="clear"/>
            <w:vAlign w:val="bottom"/>
          </w:tcPr>
          <w:p>
            <w:pPr>
              <w:pStyle w:val="Normal"/>
              <w:spacing w:lineRule="auto" w:line="240" w:before="0" w:after="0"/>
              <w:rPr>
                <w:rFonts w:ascii="Calibri" w:hAnsi="Calibri" w:eastAsia="Times New Roman" w:cs="Calibri"/>
                <w:color w:val="000000"/>
                <w:lang w:val="fr-FR"/>
              </w:rPr>
            </w:pPr>
            <w:r>
              <w:rPr>
                <w:rFonts w:eastAsia="Times New Roman" w:cs="Calibri"/>
                <w:color w:val="000000"/>
                <w:lang w:val="fr-FR"/>
              </w:rPr>
              <w:t>Elemente de mediu, social și guvernare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ESI</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Indicatorul sentimentului economic</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ESMA</w:t>
            </w:r>
          </w:p>
        </w:tc>
        <w:tc>
          <w:tcPr>
            <w:tcW w:w="6239" w:type="dxa"/>
            <w:tcBorders/>
            <w:shd w:fill="auto" w:val="clear"/>
            <w:vAlign w:val="bottom"/>
          </w:tcPr>
          <w:p>
            <w:pPr>
              <w:pStyle w:val="Normal"/>
              <w:spacing w:lineRule="auto" w:line="240" w:before="0" w:after="0"/>
              <w:rPr>
                <w:rFonts w:ascii="Calibri" w:hAnsi="Calibri" w:eastAsia="Times New Roman" w:cs="Calibri"/>
                <w:color w:val="000000"/>
                <w:lang w:val="fr-FR"/>
              </w:rPr>
            </w:pPr>
            <w:r>
              <w:rPr>
                <w:rFonts w:eastAsia="Times New Roman" w:cs="Calibri"/>
                <w:color w:val="000000"/>
                <w:lang w:val="fr-FR"/>
              </w:rPr>
              <w:t>Autoritatea Europeană pentru Valori Mobiliare și Piețe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lang w:val="ro-RO"/>
              </w:rPr>
              <w:t>EuGB</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European Green Bond Standard</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FESE</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Fedation of European Stock Exchanges</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FIA</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Fonduri de investiții alternative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FMI</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Fondul Monetar Internațional</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IAPC</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Indicele armonizat al prețurilor de consum</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IMM</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Întreprinderi mici și mijlocii</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INS</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Institutul Național de Statistică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IPC</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Indicele prețurilor de consum</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IPO</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Ofertă publică inițială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MF</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Ministerul Finanțelor</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MFE</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Ministerul Fondurilor Europene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OECD</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Organizația pentru Cooperare și Dezvoltare Economică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OPC</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Organisme de plasament colectiv</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OPCVM</w:t>
            </w:r>
          </w:p>
        </w:tc>
        <w:tc>
          <w:tcPr>
            <w:tcW w:w="6239" w:type="dxa"/>
            <w:tcBorders/>
            <w:shd w:fill="auto" w:val="clear"/>
            <w:vAlign w:val="bottom"/>
          </w:tcPr>
          <w:p>
            <w:pPr>
              <w:pStyle w:val="Normal"/>
              <w:spacing w:lineRule="auto" w:line="240" w:before="0" w:after="0"/>
              <w:rPr>
                <w:rFonts w:ascii="Calibri" w:hAnsi="Calibri" w:eastAsia="Times New Roman" w:cs="Calibri"/>
                <w:color w:val="000000"/>
                <w:lang w:val="fr-FR"/>
              </w:rPr>
            </w:pPr>
            <w:r>
              <w:rPr>
                <w:rFonts w:eastAsia="Times New Roman" w:cs="Calibri"/>
                <w:color w:val="000000"/>
                <w:lang w:val="fr-FR"/>
              </w:rPr>
              <w:t>Organispe de plasament colectiv în valori mobiliare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OTC</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Over the counter</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PE</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Private equity</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PIB</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Produs intern brut</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PR</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Piața reglementată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SMT</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Sistemul multilateral de tranzacționare</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SNEF</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Strategia Națională pentru Educație Financiară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SPO</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Ofertă publică secundară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UE</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Uniunea Europeană</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UPC</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Uniunea Piețelor de Capital</w:t>
            </w:r>
          </w:p>
        </w:tc>
      </w:tr>
      <w:tr>
        <w:trPr>
          <w:trHeight w:val="288" w:hRule="atLeast"/>
        </w:trPr>
        <w:tc>
          <w:tcPr>
            <w:tcW w:w="1260"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VC</w:t>
            </w:r>
          </w:p>
        </w:tc>
        <w:tc>
          <w:tcPr>
            <w:tcW w:w="6239" w:type="dxa"/>
            <w:tcBorders/>
            <w:shd w:fill="auto" w:val="clear"/>
            <w:vAlign w:val="bottom"/>
          </w:tcPr>
          <w:p>
            <w:pPr>
              <w:pStyle w:val="Normal"/>
              <w:spacing w:lineRule="auto" w:line="240" w:before="0" w:after="0"/>
              <w:rPr>
                <w:rFonts w:ascii="Calibri" w:hAnsi="Calibri" w:eastAsia="Times New Roman" w:cs="Calibri"/>
                <w:color w:val="000000"/>
              </w:rPr>
            </w:pPr>
            <w:r>
              <w:rPr>
                <w:rFonts w:eastAsia="Times New Roman" w:cs="Calibri"/>
                <w:color w:val="000000"/>
              </w:rPr>
              <w:t>Venture capital</w:t>
            </w:r>
          </w:p>
        </w:tc>
      </w:tr>
    </w:tbl>
    <w:p>
      <w:pPr>
        <w:pStyle w:val="Normal"/>
        <w:tabs>
          <w:tab w:val="clear" w:pos="720"/>
          <w:tab w:val="left" w:pos="1290" w:leader="none"/>
        </w:tabs>
        <w:spacing w:before="0" w:after="160"/>
        <w:rPr/>
      </w:pPr>
      <w:r>
        <w:rPr/>
      </w:r>
    </w:p>
    <w:sectPr>
      <w:footerReference w:type="default" r:id="rId44"/>
      <w:footnotePr>
        <w:numFmt w:val="decimal"/>
      </w:footnotePr>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ambria">
    <w:charset w:val="00"/>
    <w:family w:val="roman"/>
    <w:pitch w:val="variable"/>
  </w:font>
  <w:font w:name="Consolas">
    <w:charset w:val="00"/>
    <w:family w:val="roman"/>
    <w:pitch w:val="variable"/>
  </w:font>
  <w:font w:name="Segoe UI">
    <w:charset w:val="00"/>
    <w:family w:val="roman"/>
    <w:pitch w:val="variable"/>
  </w:font>
  <w:font w:name="Arial">
    <w:charset w:val="00"/>
    <w:family w:val="roman"/>
    <w:pitch w:val="variable"/>
  </w:font>
  <w:font w:name="Trebuchet MS">
    <w:charset w:val="00"/>
    <w:family w:val="roman"/>
    <w:pitch w:val="variable"/>
  </w:font>
  <w:font w:name="Book Antiqua">
    <w:charset w:val="00"/>
    <w:family w:val="roman"/>
    <w:pitch w:val="variable"/>
  </w:font>
  <w:font w:name="Tahoma">
    <w:charset w:val="00"/>
    <w:family w:val="roman"/>
    <w:pitch w:val="variable"/>
  </w:font>
  <w:font w:name="Arial Narrow">
    <w:charset w:val="00"/>
    <w:family w:val="roman"/>
    <w:pitch w:val="variable"/>
  </w:font>
  <w:font w:name="Symbol">
    <w:charset w:val="00"/>
    <w:family w:val="roman"/>
    <w:pitch w:val="variable"/>
  </w:font>
  <w:font w:name="Wingdings">
    <w:charset w:val="00"/>
    <w:family w:val="roman"/>
    <w:pitch w:val="variable"/>
  </w:font>
  <w:font w:name="Courier New">
    <w:charset w:val="00"/>
    <w:family w:val="roman"/>
    <w:pitch w:val="variable"/>
  </w:font>
  <w:font w:name="StarSymbol">
    <w:altName w:val="Arial Unicode MS"/>
    <w:charset w:val="00"/>
    <w:family w:val="roman"/>
    <w:pitch w:val="variable"/>
  </w:font>
  <w:font w:name="Arial Black">
    <w:charset w:val="00"/>
    <w:family w:val="roman"/>
    <w:pitch w:val="variable"/>
  </w:font>
  <w:font w:name="TimesNewRoman">
    <w:charset w:val="00"/>
    <w:family w:val="roman"/>
    <w:pitch w:val="variable"/>
  </w:font>
  <w:font w:name="Sylfaen">
    <w:charset w:val="00"/>
    <w:family w:val="roman"/>
    <w:pitch w:val="variable"/>
  </w:font>
  <w:font w:name="Verdana">
    <w:charset w:val="00"/>
    <w:family w:val="roman"/>
    <w:pitch w:val="variable"/>
  </w:font>
  <w:font w:name="Garamond">
    <w:charset w:val="00"/>
    <w:family w:val="roman"/>
    <w:pitch w:val="variable"/>
  </w:font>
  <w:font w:name="_Arial">
    <w:charset w:val="00"/>
    <w:family w:val="roman"/>
    <w:pitch w:val="variable"/>
  </w:font>
  <w:font w:name="_TimesNewRoman">
    <w:charset w:val="00"/>
    <w:family w:val="roman"/>
    <w:pitch w:val="variable"/>
  </w:font>
  <w:font w:name="RomJurnalist">
    <w:charset w:val="00"/>
    <w:family w:val="roman"/>
    <w:pitch w:val="variable"/>
  </w:font>
  <w:font w:name="NewtonC">
    <w:charset w:val="00"/>
    <w:family w:val="roman"/>
    <w:pitch w:val="variable"/>
  </w:font>
  <w:font w:name="Times">
    <w:altName w:val="Times New Roman"/>
    <w:charset w:val="00"/>
    <w:family w:val="roman"/>
    <w:pitch w:val="variable"/>
  </w:font>
  <w:font w:name="Arial Unicode MS">
    <w:charset w:val="00"/>
    <w:family w:val="roman"/>
    <w:pitch w:val="variable"/>
  </w:font>
  <w:font w:name="Times New (W1)">
    <w:charset w:val="00"/>
    <w:family w:val="roman"/>
    <w:pitch w:val="variable"/>
  </w:font>
  <w:font w:name="Times New Roman Bold">
    <w:charset w:val="00"/>
    <w:family w:val="roman"/>
    <w:pitch w:val="variable"/>
  </w:font>
  <w:font w:name="EUAlbertina">
    <w:charset w:val="00"/>
    <w:family w:val="roman"/>
    <w:pitch w:val="variable"/>
  </w:font>
  <w:font w:name="Frutiger Linotype">
    <w:charset w:val="00"/>
    <w:family w:val="roman"/>
    <w:pitch w:val="variable"/>
  </w:font>
  <w:font w:name="CG Times">
    <w:charset w:val="00"/>
    <w:family w:val="roman"/>
    <w:pitch w:val="variable"/>
  </w:font>
  <w:font w:name="Frutiger-Light">
    <w:charset w:val="00"/>
    <w:family w:val="roman"/>
    <w:pitch w:val="variable"/>
  </w:font>
  <w:font w:name="Calibri">
    <w:charset w:val="00"/>
    <w:family w:val="auto"/>
    <w:pitch w:val="default"/>
  </w:font>
  <w:font w:name="Wingdings">
    <w:charset w:val="02"/>
    <w:family w:val="auto"/>
    <w:pitch w:val="variable"/>
  </w:font>
  <w:font w:name="Courier New">
    <w:charset w:val="01"/>
    <w:family w:val="modern"/>
    <w:pitch w:val="fixed"/>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Pagina </w:t>
    </w:r>
    <w:r>
      <w:rPr>
        <w:bCs/>
      </w:rPr>
      <w:fldChar w:fldCharType="begin"/>
    </w:r>
    <w:r>
      <w:rPr>
        <w:bCs/>
      </w:rPr>
      <w:instrText> PAGE </w:instrText>
    </w:r>
    <w:r>
      <w:rPr>
        <w:bCs/>
      </w:rPr>
      <w:fldChar w:fldCharType="separate"/>
    </w:r>
    <w:r>
      <w:rPr>
        <w:bCs/>
      </w:rPr>
      <w:t>64</w:t>
    </w:r>
    <w:r>
      <w:rPr>
        <w:bCs/>
      </w:rPr>
      <w:fldChar w:fldCharType="end"/>
    </w:r>
    <w:r>
      <w:rPr/>
      <w:t xml:space="preserve"> din </w:t>
    </w:r>
    <w:r>
      <w:rPr>
        <w:bCs/>
      </w:rPr>
      <w:fldChar w:fldCharType="begin"/>
    </w:r>
    <w:r>
      <w:rPr>
        <w:bCs/>
      </w:rPr>
      <w:instrText> NUMPAGES </w:instrText>
    </w:r>
    <w:r>
      <w:rPr>
        <w:bCs/>
      </w:rPr>
      <w:fldChar w:fldCharType="separate"/>
    </w:r>
    <w:r>
      <w:rPr>
        <w:bCs/>
      </w:rPr>
      <w:t>82</w:t>
    </w:r>
    <w:r>
      <w:rPr>
        <w:bCs/>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Pagina </w:t>
    </w:r>
    <w:r>
      <w:rPr>
        <w:bCs/>
      </w:rPr>
      <w:fldChar w:fldCharType="begin"/>
    </w:r>
    <w:r>
      <w:rPr>
        <w:bCs/>
      </w:rPr>
      <w:instrText> PAGE </w:instrText>
    </w:r>
    <w:r>
      <w:rPr>
        <w:bCs/>
      </w:rPr>
      <w:fldChar w:fldCharType="separate"/>
    </w:r>
    <w:r>
      <w:rPr>
        <w:bCs/>
      </w:rPr>
      <w:t>79</w:t>
    </w:r>
    <w:r>
      <w:rPr>
        <w:bCs/>
      </w:rPr>
      <w:fldChar w:fldCharType="end"/>
    </w:r>
    <w:r>
      <w:rPr/>
      <w:t xml:space="preserve"> din </w:t>
    </w:r>
    <w:r>
      <w:rPr>
        <w:bCs/>
      </w:rPr>
      <w:fldChar w:fldCharType="begin"/>
    </w:r>
    <w:r>
      <w:rPr>
        <w:bCs/>
      </w:rPr>
      <w:instrText> NUMPAGES </w:instrText>
    </w:r>
    <w:r>
      <w:rPr>
        <w:bCs/>
      </w:rPr>
      <w:fldChar w:fldCharType="separate"/>
    </w:r>
    <w:r>
      <w:rPr>
        <w:bCs/>
      </w:rPr>
      <w:t>82</w:t>
    </w:r>
    <w:r>
      <w:rPr>
        <w:bCs/>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Pagina </w:t>
    </w:r>
    <w:r>
      <w:rPr>
        <w:bCs/>
      </w:rPr>
      <w:fldChar w:fldCharType="begin"/>
    </w:r>
    <w:r>
      <w:rPr>
        <w:bCs/>
      </w:rPr>
      <w:instrText> PAGE </w:instrText>
    </w:r>
    <w:r>
      <w:rPr>
        <w:bCs/>
      </w:rPr>
      <w:fldChar w:fldCharType="separate"/>
    </w:r>
    <w:r>
      <w:rPr>
        <w:bCs/>
      </w:rPr>
      <w:t>82</w:t>
    </w:r>
    <w:r>
      <w:rPr>
        <w:bCs/>
      </w:rPr>
      <w:fldChar w:fldCharType="end"/>
    </w:r>
    <w:r>
      <w:rPr/>
      <w:t xml:space="preserve"> din </w:t>
    </w:r>
    <w:r>
      <w:rPr>
        <w:bCs/>
      </w:rPr>
      <w:fldChar w:fldCharType="begin"/>
    </w:r>
    <w:r>
      <w:rPr>
        <w:bCs/>
      </w:rPr>
      <w:instrText> NUMPAGES </w:instrText>
    </w:r>
    <w:r>
      <w:rPr>
        <w:bCs/>
      </w:rPr>
      <w:fldChar w:fldCharType="separate"/>
    </w:r>
    <w:r>
      <w:rPr>
        <w:bCs/>
      </w:rPr>
      <w:t>82</w:t>
    </w:r>
    <w:r>
      <w:rPr>
        <w:bCs/>
      </w:rPr>
      <w:fldChar w:fldCharType="end"/>
    </w:r>
  </w:p>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rPr/>
      </w:pPr>
      <w:r>
        <w:rPr>
          <w:rStyle w:val="FootnoteCharacters"/>
        </w:rPr>
        <w:footnoteRef/>
      </w:r>
      <w:r>
        <w:rPr/>
        <w:t xml:space="preserve"> </w:t>
      </w:r>
      <w:hyperlink r:id="rId1">
        <w:r>
          <w:rPr>
            <w:rStyle w:val="InternetLink"/>
          </w:rPr>
          <w:t>https://www.oecd.org/corporate/oecd-capital-market-review-romania.htm</w:t>
        </w:r>
      </w:hyperlink>
      <w:r>
        <w:rPr/>
        <w:t xml:space="preserve"> </w:t>
      </w:r>
    </w:p>
  </w:footnote>
  <w:footnote w:id="3">
    <w:p>
      <w:pPr>
        <w:pStyle w:val="Footnote"/>
        <w:rPr/>
      </w:pPr>
      <w:r>
        <w:rPr>
          <w:rStyle w:val="FootnoteCharacters"/>
        </w:rPr>
        <w:footnoteRef/>
      </w:r>
      <w:r>
        <w:rPr>
          <w:lang w:val="ro-RO"/>
        </w:rPr>
        <w:t xml:space="preserve"> </w:t>
      </w:r>
      <w:hyperlink r:id="rId2">
        <w:r>
          <w:rPr>
            <w:rStyle w:val="InternetLink"/>
            <w:sz w:val="16"/>
            <w:lang w:val="ro-RO"/>
          </w:rPr>
          <w:t>https://gov.ro/fisiere/programe_fisiere/Program_de_Guvernare_2021%E2%80%942024.pdf</w:t>
        </w:r>
      </w:hyperlink>
      <w:r>
        <w:rPr>
          <w:sz w:val="16"/>
          <w:lang w:val="ro-RO"/>
        </w:rPr>
        <w:t xml:space="preserve"> </w:t>
      </w:r>
    </w:p>
  </w:footnote>
  <w:footnote w:id="4">
    <w:p>
      <w:pPr>
        <w:pStyle w:val="Footnote"/>
        <w:rPr/>
      </w:pPr>
      <w:r>
        <w:rPr>
          <w:rStyle w:val="FootnoteCharacters"/>
        </w:rPr>
        <w:footnoteRef/>
      </w:r>
      <w:r>
        <w:rPr/>
        <w:t xml:space="preserve"> </w:t>
      </w:r>
      <w:r>
        <w:rPr>
          <w:sz w:val="16"/>
        </w:rPr>
        <w:t>Prognoza Comisiei Europene de vară, publicată la data de 14 iulie 2022</w:t>
      </w:r>
    </w:p>
  </w:footnote>
  <w:footnote w:id="5">
    <w:p>
      <w:pPr>
        <w:pStyle w:val="Normal"/>
        <w:shd w:val="clear" w:color="auto" w:fill="FFFFFF" w:themeFill="background1"/>
        <w:spacing w:lineRule="auto" w:line="240" w:before="120" w:after="120"/>
        <w:ind w:left="567" w:hanging="567"/>
        <w:rPr>
          <w:sz w:val="18"/>
          <w:szCs w:val="18"/>
        </w:rPr>
      </w:pPr>
      <w:r>
        <w:rPr>
          <w:rStyle w:val="FootnoteCharacters"/>
        </w:rPr>
        <w:footnoteRef/>
      </w:r>
      <w:r>
        <w:rPr/>
        <w:tab/>
        <w:t xml:space="preserve"> </w:t>
      </w:r>
      <w:r>
        <w:rPr>
          <w:sz w:val="18"/>
          <w:szCs w:val="18"/>
        </w:rPr>
        <w:t>IMF (2019b), “Reassessing the Role of State</w:t>
        <w:noBreakHyphen/>
        <w:t>Owned Enterprises in Central, Eastern, and Southeastern Europe”, IMF Working Paper, Vol. 19/11.</w:t>
      </w:r>
    </w:p>
    <w:p>
      <w:pPr>
        <w:pStyle w:val="Footnote"/>
        <w:rPr/>
      </w:pPr>
      <w:r>
        <w:rPr/>
      </w:r>
    </w:p>
  </w:footnote>
  <w:footnote w:id="6">
    <w:p>
      <w:pPr>
        <w:pStyle w:val="Normal"/>
        <w:spacing w:lineRule="auto" w:line="240" w:before="0" w:after="120"/>
        <w:ind w:left="567" w:hanging="567"/>
        <w:rPr>
          <w:i/>
          <w:i/>
          <w:sz w:val="18"/>
          <w:szCs w:val="18"/>
        </w:rPr>
      </w:pPr>
      <w:r>
        <w:rPr>
          <w:rStyle w:val="FootnoteCharacters"/>
        </w:rPr>
        <w:footnoteRef/>
      </w:r>
      <w:r>
        <w:rPr/>
        <w:tab/>
        <w:t xml:space="preserve"> </w:t>
      </w:r>
      <w:r>
        <w:rPr>
          <w:i/>
          <w:sz w:val="18"/>
          <w:szCs w:val="18"/>
        </w:rPr>
        <w:t xml:space="preserve">McKinsey (2020), “A new decade for private markets”, McKinsey Global Private Markets Review 2020, februarie 2020, </w:t>
      </w:r>
      <w:hyperlink r:id="rId3">
        <w:r>
          <w:rPr>
            <w:rStyle w:val="InternetLink"/>
            <w:i/>
            <w:sz w:val="18"/>
            <w:szCs w:val="18"/>
          </w:rPr>
          <w:t>www.mckinsey.com/</w:t>
        </w:r>
      </w:hyperlink>
      <w:r>
        <w:rPr>
          <w:i/>
          <w:sz w:val="18"/>
          <w:szCs w:val="18"/>
        </w:rPr>
        <w:t>.</w:t>
      </w:r>
    </w:p>
    <w:p>
      <w:pPr>
        <w:pStyle w:val="Footnote"/>
        <w:rPr/>
      </w:pPr>
      <w:r>
        <w:rPr/>
      </w:r>
    </w:p>
  </w:footnote>
  <w:footnote w:id="7">
    <w:p>
      <w:pPr>
        <w:pStyle w:val="Normal"/>
        <w:rPr>
          <w:i/>
          <w:i/>
          <w:sz w:val="18"/>
          <w:szCs w:val="18"/>
        </w:rPr>
      </w:pPr>
      <w:r>
        <w:rPr>
          <w:rStyle w:val="FootnoteCharacters"/>
        </w:rPr>
        <w:footnoteRef/>
      </w:r>
      <w:r>
        <w:rPr/>
        <w:t xml:space="preserve"> </w:t>
      </w:r>
      <w:r>
        <w:rPr>
          <w:i/>
          <w:sz w:val="18"/>
          <w:szCs w:val="18"/>
        </w:rPr>
        <w:t>Mihai, P. (2015), “What drives private equity investment in Romania”, Studia Universitatis “Vasile Goldis” Arad. Economics Series Vol 25 Issue 4/2015, ISSN 1584</w:t>
        <w:noBreakHyphen/>
        <w:t>2339, Pages 25 – 42.</w:t>
      </w:r>
    </w:p>
    <w:p>
      <w:pPr>
        <w:pStyle w:val="Normal"/>
        <w:spacing w:before="0" w:after="160"/>
        <w:rPr/>
      </w:pPr>
      <w:r>
        <w:rPr/>
      </w:r>
    </w:p>
  </w:footnote>
  <w:footnote w:id="8">
    <w:p>
      <w:pPr>
        <w:pStyle w:val="Normal"/>
        <w:rPr/>
      </w:pPr>
      <w:r>
        <w:rPr>
          <w:rStyle w:val="FootnoteCharacters"/>
        </w:rPr>
        <w:footnoteRef/>
      </w:r>
      <w:r>
        <w:rPr>
          <w:rStyle w:val="FootnoteCharacters"/>
        </w:rPr>
        <w:t xml:space="preserve"> </w:t>
      </w:r>
      <w:r>
        <w:rPr>
          <w:i/>
          <w:sz w:val="18"/>
          <w:szCs w:val="18"/>
        </w:rPr>
        <w:t>Diaconu, M. (2012), “Characteristics and drivers of venture capital investment activity in Romania”, Theoretical and Applied Economics, Volume XIX, No. 7(572), pg. 111</w:t>
        <w:noBreakHyphen/>
        <w:t>132.</w:t>
      </w:r>
    </w:p>
    <w:p>
      <w:pPr>
        <w:pStyle w:val="Footnote"/>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Wingdings" w:hAnsi="Wingdings" w:cs="Wingdings" w:hint="default"/>
        <w:color w:val="000000"/>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6">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b/>
        <w:color w:val="auto"/>
      </w:rPr>
    </w:lvl>
    <w:lvl w:ilvl="1">
      <w:start w:val="1"/>
      <w:numFmt w:val="bullet"/>
      <w:lvlText w:val="•"/>
      <w:lvlJc w:val="left"/>
      <w:pPr>
        <w:ind w:left="1440" w:hanging="360"/>
      </w:pPr>
      <w:rPr>
        <w:rFonts w:ascii="Calibri" w:hAnsi="Calibri" w:cs="Calibri" w:hint="default"/>
        <w:rFonts w:cs="Calibri"/>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2"/>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upperRoman"/>
      <w:lvlText w:val="%1."/>
      <w:lvlJc w:val="left"/>
      <w:pPr>
        <w:ind w:left="720" w:hanging="360"/>
      </w:pPr>
      <w:rPr>
        <w:rFonts w:eastAsia="Calibri" w:cs="Calibri"/>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0">
    <w:lvl w:ilvl="0">
      <w:start w:val="30"/>
      <w:numFmt w:val="bullet"/>
      <w:lvlText w:val="-"/>
      <w:lvlJc w:val="left"/>
      <w:pPr>
        <w:ind w:left="36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decimal"/>
      <w:lvlText w:val="%1."/>
      <w:lvlJc w:val="left"/>
      <w:pPr>
        <w:ind w:left="360" w:hanging="360"/>
      </w:pPr>
      <w:rPr>
        <w:rFonts w:eastAsia="Calibri" w:cs="Calibri"/>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2">
    <w:lvl w:ilvl="0">
      <w:start w:val="30"/>
      <w:numFmt w:val="bullet"/>
      <w:lvlText w:val="-"/>
      <w:lvlJc w:val="left"/>
      <w:pPr>
        <w:ind w:left="360" w:hanging="360"/>
      </w:pPr>
      <w:rPr>
        <w:rFonts w:ascii="Calibri" w:hAnsi="Calibri" w:cs="Calibri" w:hint="default"/>
        <w:rFonts w:cs="Calibri"/>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3">
    <w:lvl w:ilvl="0">
      <w:start w:val="30"/>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w="http://schemas.openxmlformats.org/wordprocessingml/2006/main">
  <w:zoom w:percent="100"/>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uiPriority="0"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uiPriority="0" w:semiHidden="1" w:unhideWhenUsed="1"/>
    <w:lsdException w:name="macro" w:uiPriority="0" w:semiHidden="1" w:unhideWhenUsed="1"/>
    <w:lsdException w:name="toa heading" w:uiPriority="0" w:semiHidden="1" w:unhideWhenUsed="1"/>
    <w:lsdException w:name="List" w:uiPriority="0" w:semiHidden="1" w:unhideWhenUsed="1"/>
    <w:lsdException w:name="List Bullet" w:uiPriority="0" w:semiHidden="1" w:unhideWhenUsed="1"/>
    <w:lsdException w:name="List Number" w:uiPriority="0" w:semiHidden="1" w:unhideWhenUsed="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uiPriority="0" w:semiHidden="1" w:unhideWhenUsed="1"/>
    <w:lsdException w:name="Subtitle" w:uiPriority="0" w:qFormat="1"/>
    <w:lsdException w:name="Salutation" w:semiHidden="1" w:unhideWhenUsed="1"/>
    <w:lsdException w:name="Date" w:uiPriority="0"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22" w:qFormat="1"/>
    <w:lsdException w:name="Emphasis" w:uiPriority="0" w:qFormat="1"/>
    <w:lsdException w:name="Document Map" w:semiHidden="1" w:unhideWhenUsed="1"/>
    <w:lsdException w:name="Plain Text" w:uiPriority="0"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uiPriority="0"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uiPriority="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uiPriority="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uiPriority="0"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uiPriority="0"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lsdException w:name="Medium Shading 2 Accent 3" w:uiPriority="64"/>
    <w:lsdException w:name="Medium List 1 Accent 3"/>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4f19eb"/>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Heading2Char"/>
    <w:unhideWhenUsed/>
    <w:qFormat/>
    <w:rsid w:val="004f19eb"/>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Heading3Char"/>
    <w:unhideWhenUsed/>
    <w:qFormat/>
    <w:rsid w:val="004f19eb"/>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Heading4">
    <w:name w:val="Heading 4"/>
    <w:basedOn w:val="Normal"/>
    <w:next w:val="Normal"/>
    <w:link w:val="Heading4Char"/>
    <w:unhideWhenUsed/>
    <w:qFormat/>
    <w:rsid w:val="00c8475a"/>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Heading5">
    <w:name w:val="Heading 5"/>
    <w:basedOn w:val="Normal"/>
    <w:next w:val="Normal"/>
    <w:link w:val="Heading5Char"/>
    <w:qFormat/>
    <w:rsid w:val="00ea1435"/>
    <w:pPr>
      <w:keepNext w:val="true"/>
      <w:keepLines/>
      <w:spacing w:lineRule="auto" w:line="276" w:before="200" w:after="0"/>
      <w:outlineLvl w:val="4"/>
    </w:pPr>
    <w:rPr>
      <w:rFonts w:ascii="Cambria" w:hAnsi="Cambria" w:eastAsia="SimSun" w:cs="Times New Roman"/>
      <w:color w:val="65654B"/>
    </w:rPr>
  </w:style>
  <w:style w:type="paragraph" w:styleId="Heading6">
    <w:name w:val="Heading 6"/>
    <w:basedOn w:val="Normal"/>
    <w:next w:val="Normal"/>
    <w:link w:val="Heading6Char"/>
    <w:qFormat/>
    <w:rsid w:val="00ea1435"/>
    <w:pPr>
      <w:keepNext w:val="true"/>
      <w:keepLines/>
      <w:spacing w:lineRule="auto" w:line="276" w:before="200" w:after="0"/>
      <w:outlineLvl w:val="5"/>
    </w:pPr>
    <w:rPr>
      <w:rFonts w:ascii="Cambria" w:hAnsi="Cambria" w:eastAsia="SimSun" w:cs="Times New Roman"/>
      <w:i/>
      <w:iCs/>
      <w:color w:val="65654B"/>
    </w:rPr>
  </w:style>
  <w:style w:type="paragraph" w:styleId="Heading7">
    <w:name w:val="Heading 7"/>
    <w:basedOn w:val="Normal"/>
    <w:next w:val="Normal"/>
    <w:link w:val="Heading7Char"/>
    <w:qFormat/>
    <w:rsid w:val="00ea1435"/>
    <w:pPr>
      <w:keepNext w:val="true"/>
      <w:keepLines/>
      <w:spacing w:lineRule="auto" w:line="276" w:before="200" w:after="0"/>
      <w:outlineLvl w:val="6"/>
    </w:pPr>
    <w:rPr>
      <w:rFonts w:ascii="Cambria" w:hAnsi="Cambria" w:eastAsia="SimSun" w:cs="Times New Roman"/>
      <w:i/>
      <w:iCs/>
      <w:color w:val="404040"/>
    </w:rPr>
  </w:style>
  <w:style w:type="paragraph" w:styleId="Heading8">
    <w:name w:val="Heading 8"/>
    <w:basedOn w:val="Normal"/>
    <w:next w:val="Normal"/>
    <w:link w:val="Heading8Char"/>
    <w:qFormat/>
    <w:rsid w:val="00ea1435"/>
    <w:pPr>
      <w:keepNext w:val="true"/>
      <w:keepLines/>
      <w:spacing w:lineRule="auto" w:line="276" w:before="200" w:after="0"/>
      <w:outlineLvl w:val="7"/>
    </w:pPr>
    <w:rPr>
      <w:rFonts w:ascii="Cambria" w:hAnsi="Cambria" w:eastAsia="SimSun" w:cs="Times New Roman"/>
      <w:color w:val="404040"/>
      <w:sz w:val="20"/>
      <w:szCs w:val="20"/>
    </w:rPr>
  </w:style>
  <w:style w:type="paragraph" w:styleId="Heading9">
    <w:name w:val="Heading 9"/>
    <w:basedOn w:val="Normal"/>
    <w:next w:val="Normal"/>
    <w:link w:val="Heading9Char"/>
    <w:qFormat/>
    <w:rsid w:val="00ea1435"/>
    <w:pPr>
      <w:keepNext w:val="true"/>
      <w:keepLines/>
      <w:spacing w:lineRule="auto" w:line="276" w:before="200" w:after="0"/>
      <w:outlineLvl w:val="8"/>
    </w:pPr>
    <w:rPr>
      <w:rFonts w:ascii="Cambria" w:hAnsi="Cambria" w:eastAsia="SimSun" w:cs="Times New Roman"/>
      <w:i/>
      <w:iCs/>
      <w:color w:val="404040"/>
      <w:sz w:val="20"/>
      <w:szCs w:val="20"/>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4f19eb"/>
    <w:rPr>
      <w:rFonts w:ascii="Calibri Light" w:hAnsi="Calibri Light" w:eastAsia="" w:cs="" w:asciiTheme="majorHAnsi" w:cstheme="majorBidi" w:eastAsiaTheme="majorEastAsia" w:hAnsiTheme="majorHAnsi"/>
      <w:color w:val="2E74B5" w:themeColor="accent1" w:themeShade="bf"/>
      <w:sz w:val="32"/>
      <w:szCs w:val="32"/>
    </w:rPr>
  </w:style>
  <w:style w:type="character" w:styleId="Heading2Char" w:customStyle="1">
    <w:name w:val="Heading 2 Char"/>
    <w:basedOn w:val="DefaultParagraphFont"/>
    <w:link w:val="Heading2"/>
    <w:qFormat/>
    <w:rsid w:val="004f19eb"/>
    <w:rPr>
      <w:rFonts w:ascii="Calibri Light" w:hAnsi="Calibri Light" w:eastAsia="" w:cs="" w:asciiTheme="majorHAnsi" w:cstheme="majorBidi" w:eastAsiaTheme="majorEastAsia" w:hAnsiTheme="majorHAnsi"/>
      <w:color w:val="2E74B5" w:themeColor="accent1" w:themeShade="bf"/>
      <w:sz w:val="26"/>
      <w:szCs w:val="26"/>
    </w:rPr>
  </w:style>
  <w:style w:type="character" w:styleId="Heading3Char" w:customStyle="1">
    <w:name w:val="Heading 3 Char"/>
    <w:basedOn w:val="DefaultParagraphFont"/>
    <w:link w:val="Heading3"/>
    <w:qFormat/>
    <w:rsid w:val="004f19eb"/>
    <w:rPr>
      <w:rFonts w:ascii="Calibri Light" w:hAnsi="Calibri Light" w:eastAsia="" w:cs="" w:asciiTheme="majorHAnsi" w:cstheme="majorBidi" w:eastAsiaTheme="majorEastAsia" w:hAnsiTheme="majorHAnsi"/>
      <w:color w:val="1F4D78" w:themeColor="accent1" w:themeShade="7f"/>
      <w:sz w:val="24"/>
      <w:szCs w:val="24"/>
    </w:rPr>
  </w:style>
  <w:style w:type="character" w:styleId="HTMLPreformattedChar" w:customStyle="1">
    <w:name w:val="HTML Preformatted Char"/>
    <w:basedOn w:val="DefaultParagraphFont"/>
    <w:link w:val="HTMLPreformatted"/>
    <w:qFormat/>
    <w:rsid w:val="009d0817"/>
    <w:rPr>
      <w:rFonts w:ascii="Consolas" w:hAnsi="Consolas"/>
      <w:sz w:val="20"/>
      <w:szCs w:val="20"/>
    </w:rPr>
  </w:style>
  <w:style w:type="character" w:styleId="BalloonTextChar" w:customStyle="1">
    <w:name w:val="Balloon Text Char"/>
    <w:basedOn w:val="DefaultParagraphFont"/>
    <w:link w:val="BalloonText"/>
    <w:uiPriority w:val="99"/>
    <w:qFormat/>
    <w:rsid w:val="00047437"/>
    <w:rPr>
      <w:rFonts w:ascii="Segoe UI" w:hAnsi="Segoe UI" w:cs="Segoe UI"/>
      <w:sz w:val="18"/>
      <w:szCs w:val="18"/>
    </w:rPr>
  </w:style>
  <w:style w:type="character" w:styleId="Annotationreference">
    <w:name w:val="annotation reference"/>
    <w:basedOn w:val="DefaultParagraphFont"/>
    <w:uiPriority w:val="99"/>
    <w:unhideWhenUsed/>
    <w:qFormat/>
    <w:rsid w:val="00047437"/>
    <w:rPr>
      <w:sz w:val="16"/>
      <w:szCs w:val="16"/>
    </w:rPr>
  </w:style>
  <w:style w:type="character" w:styleId="CommentTextChar" w:customStyle="1">
    <w:name w:val="Comment Text Char"/>
    <w:basedOn w:val="DefaultParagraphFont"/>
    <w:link w:val="CommentText"/>
    <w:uiPriority w:val="99"/>
    <w:qFormat/>
    <w:rsid w:val="00047437"/>
    <w:rPr>
      <w:sz w:val="20"/>
      <w:szCs w:val="20"/>
    </w:rPr>
  </w:style>
  <w:style w:type="character" w:styleId="CommentSubjectChar" w:customStyle="1">
    <w:name w:val="Comment Subject Char"/>
    <w:basedOn w:val="CommentTextChar"/>
    <w:link w:val="CommentSubject"/>
    <w:qFormat/>
    <w:rsid w:val="00047437"/>
    <w:rPr>
      <w:b/>
      <w:bCs/>
      <w:sz w:val="20"/>
      <w:szCs w:val="20"/>
    </w:rPr>
  </w:style>
  <w:style w:type="character" w:styleId="Heading4Char" w:customStyle="1">
    <w:name w:val="Heading 4 Char"/>
    <w:basedOn w:val="DefaultParagraphFont"/>
    <w:link w:val="Heading4"/>
    <w:qFormat/>
    <w:rsid w:val="00c8475a"/>
    <w:rPr>
      <w:rFonts w:ascii="Calibri Light" w:hAnsi="Calibri Light" w:eastAsia="" w:cs="" w:asciiTheme="majorHAnsi" w:cstheme="majorBidi" w:eastAsiaTheme="majorEastAsia" w:hAnsiTheme="majorHAnsi"/>
      <w:i/>
      <w:iCs/>
      <w:color w:val="2E74B5" w:themeColor="accent1" w:themeShade="bf"/>
    </w:rPr>
  </w:style>
  <w:style w:type="character" w:styleId="Heading5Char" w:customStyle="1">
    <w:name w:val="Heading 5 Char"/>
    <w:basedOn w:val="DefaultParagraphFont"/>
    <w:link w:val="Heading5"/>
    <w:qFormat/>
    <w:rsid w:val="00ea1435"/>
    <w:rPr>
      <w:rFonts w:ascii="Cambria" w:hAnsi="Cambria" w:eastAsia="SimSun" w:cs="Times New Roman"/>
      <w:color w:val="65654B"/>
    </w:rPr>
  </w:style>
  <w:style w:type="character" w:styleId="Heading6Char" w:customStyle="1">
    <w:name w:val="Heading 6 Char"/>
    <w:basedOn w:val="DefaultParagraphFont"/>
    <w:link w:val="Heading6"/>
    <w:qFormat/>
    <w:rsid w:val="00ea1435"/>
    <w:rPr>
      <w:rFonts w:ascii="Cambria" w:hAnsi="Cambria" w:eastAsia="SimSun" w:cs="Times New Roman"/>
      <w:i/>
      <w:iCs/>
      <w:color w:val="65654B"/>
    </w:rPr>
  </w:style>
  <w:style w:type="character" w:styleId="Heading7Char" w:customStyle="1">
    <w:name w:val="Heading 7 Char"/>
    <w:basedOn w:val="DefaultParagraphFont"/>
    <w:link w:val="Heading7"/>
    <w:qFormat/>
    <w:rsid w:val="00ea1435"/>
    <w:rPr>
      <w:rFonts w:ascii="Cambria" w:hAnsi="Cambria" w:eastAsia="SimSun" w:cs="Times New Roman"/>
      <w:i/>
      <w:iCs/>
      <w:color w:val="404040"/>
    </w:rPr>
  </w:style>
  <w:style w:type="character" w:styleId="Heading8Char" w:customStyle="1">
    <w:name w:val="Heading 8 Char"/>
    <w:basedOn w:val="DefaultParagraphFont"/>
    <w:link w:val="Heading8"/>
    <w:qFormat/>
    <w:rsid w:val="00ea1435"/>
    <w:rPr>
      <w:rFonts w:ascii="Cambria" w:hAnsi="Cambria" w:eastAsia="SimSun" w:cs="Times New Roman"/>
      <w:color w:val="404040"/>
      <w:sz w:val="20"/>
      <w:szCs w:val="20"/>
    </w:rPr>
  </w:style>
  <w:style w:type="character" w:styleId="Heading9Char" w:customStyle="1">
    <w:name w:val="Heading 9 Char"/>
    <w:basedOn w:val="DefaultParagraphFont"/>
    <w:link w:val="Heading9"/>
    <w:qFormat/>
    <w:rsid w:val="00ea1435"/>
    <w:rPr>
      <w:rFonts w:ascii="Cambria" w:hAnsi="Cambria" w:eastAsia="SimSun" w:cs="Times New Roman"/>
      <w:i/>
      <w:iCs/>
      <w:color w:val="404040"/>
      <w:sz w:val="20"/>
      <w:szCs w:val="20"/>
    </w:rPr>
  </w:style>
  <w:style w:type="character" w:styleId="BalloonTextChar1" w:customStyle="1">
    <w:name w:val="Balloon Text Char1"/>
    <w:basedOn w:val="DefaultParagraphFont"/>
    <w:uiPriority w:val="99"/>
    <w:semiHidden/>
    <w:qFormat/>
    <w:rsid w:val="00ea1435"/>
    <w:rPr>
      <w:rFonts w:ascii="Segoe UI" w:hAnsi="Segoe UI" w:cs="Segoe UI"/>
      <w:sz w:val="18"/>
      <w:szCs w:val="18"/>
    </w:rPr>
  </w:style>
  <w:style w:type="character" w:styleId="InternetLink">
    <w:name w:val="Internet Link"/>
    <w:basedOn w:val="DefaultParagraphFont"/>
    <w:uiPriority w:val="99"/>
    <w:unhideWhenUsed/>
    <w:rsid w:val="00ea1435"/>
    <w:rPr>
      <w:color w:val="0563C1" w:themeColor="hyperlink"/>
      <w:u w:val="single"/>
    </w:rPr>
  </w:style>
  <w:style w:type="character" w:styleId="HeaderChar" w:customStyle="1">
    <w:name w:val="Header Char"/>
    <w:basedOn w:val="DefaultParagraphFont"/>
    <w:link w:val="Header"/>
    <w:uiPriority w:val="99"/>
    <w:qFormat/>
    <w:rsid w:val="00ea1435"/>
    <w:rPr>
      <w:lang w:val="ro-RO"/>
    </w:rPr>
  </w:style>
  <w:style w:type="character" w:styleId="FooterChar" w:customStyle="1">
    <w:name w:val="Footer Char"/>
    <w:basedOn w:val="DefaultParagraphFont"/>
    <w:link w:val="Footer"/>
    <w:uiPriority w:val="99"/>
    <w:qFormat/>
    <w:rsid w:val="00ea1435"/>
    <w:rPr>
      <w:lang w:val="ro-RO"/>
    </w:rPr>
  </w:style>
  <w:style w:type="character" w:styleId="L5def1" w:customStyle="1">
    <w:name w:val="l5def1"/>
    <w:basedOn w:val="DefaultParagraphFont"/>
    <w:qFormat/>
    <w:rsid w:val="00ea1435"/>
    <w:rPr>
      <w:rFonts w:ascii="Arial" w:hAnsi="Arial" w:cs="Arial"/>
      <w:color w:val="000000"/>
      <w:sz w:val="26"/>
      <w:szCs w:val="26"/>
    </w:rPr>
  </w:style>
  <w:style w:type="character" w:styleId="A0fcb9a6d179a46079ecde002131f8cd217" w:customStyle="1">
    <w:name w:val="a0fcb9a6d179a46079ecde002131f8cd217"/>
    <w:basedOn w:val="DefaultParagraphFont"/>
    <w:qFormat/>
    <w:rsid w:val="00ea1435"/>
    <w:rPr/>
  </w:style>
  <w:style w:type="character" w:styleId="NoSpacingChar" w:customStyle="1">
    <w:name w:val="No Spacing Char"/>
    <w:basedOn w:val="DefaultParagraphFont"/>
    <w:link w:val="NoSpacing"/>
    <w:uiPriority w:val="1"/>
    <w:qFormat/>
    <w:locked/>
    <w:rsid w:val="00ea1435"/>
    <w:rPr>
      <w:rFonts w:ascii="Calibri" w:hAnsi="Calibri" w:eastAsia="Times New Roman" w:cs="Times New Roman"/>
      <w:lang w:val="ro-RO" w:eastAsia="ro-RO"/>
    </w:rPr>
  </w:style>
  <w:style w:type="character" w:styleId="CaptionChar" w:customStyle="1">
    <w:name w:val="Caption Char"/>
    <w:basedOn w:val="DefaultParagraphFont"/>
    <w:link w:val="Caption"/>
    <w:uiPriority w:val="35"/>
    <w:qFormat/>
    <w:locked/>
    <w:rsid w:val="00ea1435"/>
    <w:rPr>
      <w:i/>
      <w:iCs/>
      <w:color w:val="44546A" w:themeColor="text2"/>
      <w:sz w:val="18"/>
      <w:szCs w:val="18"/>
      <w:lang w:val="ro-RO"/>
    </w:rPr>
  </w:style>
  <w:style w:type="character" w:styleId="TITLUCAPITOLCaracter" w:customStyle="1">
    <w:name w:val="TITLU CAPITOL Caracter"/>
    <w:basedOn w:val="DefaultParagraphFont"/>
    <w:link w:val="TITLUCAPITOL"/>
    <w:uiPriority w:val="99"/>
    <w:qFormat/>
    <w:rsid w:val="00ea1435"/>
    <w:rPr>
      <w:rFonts w:ascii="Calibri" w:hAnsi="Calibri" w:eastAsia="Times New Roman" w:cs="Arial"/>
      <w:sz w:val="24"/>
      <w:szCs w:val="24"/>
      <w:shd w:fill="F2F2F2" w:val="clear"/>
      <w:lang w:val="ro-RO"/>
    </w:rPr>
  </w:style>
  <w:style w:type="character" w:styleId="CaptionChar1" w:customStyle="1">
    <w:name w:val="caption Char1"/>
    <w:basedOn w:val="DefaultParagraphFont"/>
    <w:link w:val="Caption2"/>
    <w:uiPriority w:val="99"/>
    <w:qFormat/>
    <w:locked/>
    <w:rsid w:val="00ea1435"/>
    <w:rPr>
      <w:rFonts w:ascii="Calibri" w:hAnsi="Calibri" w:eastAsia="Times New Roman" w:cs="Times New Roman"/>
      <w:b/>
      <w:bCs/>
      <w:color w:val="002060"/>
      <w:sz w:val="16"/>
      <w:szCs w:val="18"/>
      <w:lang w:val="ro-RO" w:eastAsia="ro-RO"/>
    </w:rPr>
  </w:style>
  <w:style w:type="character" w:styleId="SursarapChar" w:customStyle="1">
    <w:name w:val="sursa rap Char"/>
    <w:basedOn w:val="DefaultParagraphFont"/>
    <w:link w:val="sursarap"/>
    <w:uiPriority w:val="99"/>
    <w:qFormat/>
    <w:locked/>
    <w:rsid w:val="00ea1435"/>
    <w:rPr>
      <w:rFonts w:ascii="Calibri" w:hAnsi="Calibri" w:eastAsia="Times New Roman" w:cs="Times New Roman"/>
      <w:i/>
      <w:sz w:val="20"/>
      <w:szCs w:val="20"/>
    </w:rPr>
  </w:style>
  <w:style w:type="character" w:styleId="TITLUSUBCAPITOLCaracter" w:customStyle="1">
    <w:name w:val="TITLU SUBCAPITOL Caracter"/>
    <w:basedOn w:val="DefaultParagraphFont"/>
    <w:link w:val="TITLUSUBCAPITOL"/>
    <w:uiPriority w:val="99"/>
    <w:qFormat/>
    <w:rsid w:val="00ea1435"/>
    <w:rPr>
      <w:rFonts w:ascii="Calibri" w:hAnsi="Calibri" w:eastAsia="Times New Roman" w:cs="Arial"/>
      <w:b/>
      <w:sz w:val="24"/>
      <w:szCs w:val="24"/>
      <w:lang w:val="ro-RO"/>
    </w:rPr>
  </w:style>
  <w:style w:type="character" w:styleId="CaptiontabChar" w:customStyle="1">
    <w:name w:val="caption tab Char"/>
    <w:basedOn w:val="DefaultParagraphFont"/>
    <w:link w:val="captiontab"/>
    <w:uiPriority w:val="99"/>
    <w:qFormat/>
    <w:locked/>
    <w:rsid w:val="00ea1435"/>
    <w:rPr>
      <w:rFonts w:ascii="Calibri" w:hAnsi="Calibri" w:eastAsia="Times New Roman" w:cs="Times New Roman"/>
      <w:b/>
      <w:bCs/>
      <w:color w:val="000000"/>
      <w:sz w:val="20"/>
      <w:szCs w:val="20"/>
      <w:lang w:val="ro-RO" w:eastAsia="ro-RO"/>
    </w:rPr>
  </w:style>
  <w:style w:type="character" w:styleId="TabelChar" w:customStyle="1">
    <w:name w:val="tabel Char"/>
    <w:basedOn w:val="NoSpacingChar"/>
    <w:link w:val="tabel"/>
    <w:qFormat/>
    <w:locked/>
    <w:rsid w:val="00ea1435"/>
    <w:rPr>
      <w:rFonts w:ascii="Calibri" w:hAnsi="Calibri" w:eastAsia="Times New Roman" w:cs="Times New Roman"/>
      <w:color w:val="002060"/>
      <w:sz w:val="20"/>
      <w:szCs w:val="20"/>
      <w:lang w:val="ro-RO" w:eastAsia="ro-RO"/>
    </w:rPr>
  </w:style>
  <w:style w:type="character" w:styleId="TitlugrafChar" w:customStyle="1">
    <w:name w:val="titlu graf Char"/>
    <w:basedOn w:val="CaptionChar1"/>
    <w:link w:val="titlugraf"/>
    <w:qFormat/>
    <w:rsid w:val="00ea1435"/>
    <w:rPr>
      <w:rFonts w:ascii="Calibri" w:hAnsi="Calibri" w:eastAsia="Times New Roman" w:cs="Times New Roman"/>
      <w:b/>
      <w:bCs/>
      <w:color w:val="002060"/>
      <w:sz w:val="20"/>
      <w:szCs w:val="18"/>
      <w:lang w:val="ro-RO" w:eastAsia="ro-RO"/>
    </w:rPr>
  </w:style>
  <w:style w:type="character" w:styleId="SUBSUBCAPITOLCaracter" w:customStyle="1">
    <w:name w:val="SUB SUB CAPITOL Caracter"/>
    <w:basedOn w:val="DefaultParagraphFont"/>
    <w:link w:val="SUBSUBCAPITOL"/>
    <w:qFormat/>
    <w:rsid w:val="00ea1435"/>
    <w:rPr>
      <w:rFonts w:ascii="Calibri" w:hAnsi="Calibri" w:eastAsia="SimSun" w:cs="Arial"/>
      <w:b/>
      <w:i/>
      <w:color w:val="5B9BD5" w:themeColor="accent1"/>
      <w:szCs w:val="24"/>
      <w:lang w:val="ro-RO" w:eastAsia="ro-RO"/>
    </w:rPr>
  </w:style>
  <w:style w:type="character" w:styleId="1Char" w:customStyle="1">
    <w:name w:val="1.Char"/>
    <w:basedOn w:val="DefaultParagraphFont"/>
    <w:link w:val="1"/>
    <w:uiPriority w:val="99"/>
    <w:qFormat/>
    <w:locked/>
    <w:rsid w:val="00ea1435"/>
    <w:rPr>
      <w:rFonts w:ascii="Calibri" w:hAnsi="Calibri" w:eastAsia="Times New Roman" w:cs="Arial"/>
      <w:b/>
      <w:color w:val="570D31"/>
      <w:sz w:val="24"/>
      <w:szCs w:val="24"/>
    </w:rPr>
  </w:style>
  <w:style w:type="character" w:styleId="Strong">
    <w:name w:val="Strong"/>
    <w:basedOn w:val="DefaultParagraphFont"/>
    <w:uiPriority w:val="22"/>
    <w:qFormat/>
    <w:rsid w:val="00ea1435"/>
    <w:rPr>
      <w:rFonts w:cs="Times New Roman"/>
      <w:b/>
    </w:rPr>
  </w:style>
  <w:style w:type="character" w:styleId="Heading1Char2" w:customStyle="1">
    <w:name w:val="Heading 1 Char2"/>
    <w:basedOn w:val="DefaultParagraphFont"/>
    <w:uiPriority w:val="99"/>
    <w:qFormat/>
    <w:rsid w:val="00ea1435"/>
    <w:rPr>
      <w:rFonts w:ascii="Calibri" w:hAnsi="Calibri" w:eastAsia="Times New Roman" w:cs="Arial"/>
      <w:b/>
      <w:color w:val="570D31"/>
      <w:sz w:val="24"/>
      <w:szCs w:val="24"/>
    </w:rPr>
  </w:style>
  <w:style w:type="character" w:styleId="Cncategory" w:customStyle="1">
    <w:name w:val="cn_category"/>
    <w:basedOn w:val="DefaultParagraphFont"/>
    <w:uiPriority w:val="99"/>
    <w:qFormat/>
    <w:rsid w:val="00ea1435"/>
    <w:rPr>
      <w:rFonts w:cs="Times New Roman"/>
    </w:rPr>
  </w:style>
  <w:style w:type="character" w:styleId="FootnoteTextChar" w:customStyle="1">
    <w:name w:val="Footnote Text Char"/>
    <w:basedOn w:val="DefaultParagraphFont"/>
    <w:uiPriority w:val="99"/>
    <w:qFormat/>
    <w:rsid w:val="00ea1435"/>
    <w:rPr>
      <w:sz w:val="20"/>
      <w:szCs w:val="20"/>
    </w:rPr>
  </w:style>
  <w:style w:type="character" w:styleId="FootnoteTextChar3" w:customStyle="1">
    <w:name w:val="Footnote Text Char3"/>
    <w:basedOn w:val="DefaultParagraphFont"/>
    <w:link w:val="FootnoteText"/>
    <w:uiPriority w:val="99"/>
    <w:qFormat/>
    <w:rsid w:val="00ea1435"/>
    <w:rPr>
      <w:rFonts w:ascii="Calibri" w:hAnsi="Calibri" w:eastAsia="Times New Roman" w:cs="Times New Roman"/>
      <w:sz w:val="20"/>
      <w:szCs w:val="20"/>
    </w:rPr>
  </w:style>
  <w:style w:type="character" w:styleId="FootnoteTextChar1" w:customStyle="1">
    <w:name w:val="Footnote Text Char1"/>
    <w:basedOn w:val="DefaultParagraphFont"/>
    <w:uiPriority w:val="99"/>
    <w:qFormat/>
    <w:locked/>
    <w:rsid w:val="00ea1435"/>
    <w:rPr>
      <w:rFonts w:cs="Times New Roman"/>
      <w:sz w:val="20"/>
      <w:szCs w:val="20"/>
    </w:rPr>
  </w:style>
  <w:style w:type="character" w:styleId="FootnoteCharacters" w:customStyle="1">
    <w:name w:val="Footnote Characters"/>
    <w:qFormat/>
    <w:rsid w:val="00ea1435"/>
    <w:rPr/>
  </w:style>
  <w:style w:type="character" w:styleId="FootnoteAnchor">
    <w:name w:val="Footnote Anchor"/>
    <w:rPr>
      <w:rFonts w:cs="Times New Roman"/>
      <w:vertAlign w:val="superscript"/>
    </w:rPr>
  </w:style>
  <w:style w:type="character" w:styleId="Hps" w:customStyle="1">
    <w:name w:val="hps"/>
    <w:basedOn w:val="DefaultParagraphFont"/>
    <w:qFormat/>
    <w:rsid w:val="00ea1435"/>
    <w:rPr>
      <w:rFonts w:cs="Times New Roman"/>
    </w:rPr>
  </w:style>
  <w:style w:type="character" w:styleId="BodyTextIndentChar" w:customStyle="1">
    <w:name w:val="Body Text Indent Char"/>
    <w:basedOn w:val="DefaultParagraphFont"/>
    <w:link w:val="BodyTextIndent"/>
    <w:qFormat/>
    <w:rsid w:val="00ea1435"/>
    <w:rPr>
      <w:rFonts w:ascii="Times New Roman" w:hAnsi="Times New Roman" w:eastAsia="Times New Roman" w:cs="Times New Roman"/>
      <w:sz w:val="24"/>
      <w:szCs w:val="20"/>
      <w:lang w:val="en-GB" w:eastAsia="ro-RO"/>
    </w:rPr>
  </w:style>
  <w:style w:type="character" w:styleId="BodyText2Char" w:customStyle="1">
    <w:name w:val="Body Text 2 Char"/>
    <w:basedOn w:val="DefaultParagraphFont"/>
    <w:link w:val="BodyText2"/>
    <w:qFormat/>
    <w:rsid w:val="00ea1435"/>
    <w:rPr>
      <w:rFonts w:ascii="Times New Roman" w:hAnsi="Times New Roman" w:eastAsia="Times New Roman" w:cs="Times New Roman"/>
      <w:sz w:val="24"/>
      <w:szCs w:val="20"/>
      <w:lang w:val="ro-RO" w:eastAsia="ro-RO"/>
    </w:rPr>
  </w:style>
  <w:style w:type="character" w:styleId="BodyTextChar" w:customStyle="1">
    <w:name w:val="Body Text Char"/>
    <w:basedOn w:val="DefaultParagraphFont"/>
    <w:link w:val="BodyText"/>
    <w:qFormat/>
    <w:rsid w:val="00ea1435"/>
    <w:rPr>
      <w:rFonts w:ascii="Times New Roman" w:hAnsi="Times New Roman" w:eastAsia="Batang" w:cs="Times New Roman"/>
      <w:sz w:val="24"/>
      <w:szCs w:val="24"/>
      <w:lang w:val="ro-RO" w:eastAsia="ro-RO"/>
    </w:rPr>
  </w:style>
  <w:style w:type="character" w:styleId="TitleChar" w:customStyle="1">
    <w:name w:val="Title Char"/>
    <w:qFormat/>
    <w:locked/>
    <w:rsid w:val="00ea1435"/>
    <w:rPr>
      <w:rFonts w:ascii="Cambria" w:hAnsi="Cambria" w:eastAsia="SimSun"/>
      <w:color w:val="17365D"/>
      <w:spacing w:val="5"/>
      <w:kern w:val="2"/>
      <w:sz w:val="52"/>
    </w:rPr>
  </w:style>
  <w:style w:type="character" w:styleId="FollowedHyperlink">
    <w:name w:val="FollowedHyperlink"/>
    <w:basedOn w:val="DefaultParagraphFont"/>
    <w:qFormat/>
    <w:rsid w:val="00ea1435"/>
    <w:rPr>
      <w:rFonts w:ascii="Times New Roman" w:hAnsi="Times New Roman" w:cs="Times New Roman"/>
      <w:color w:val="800080"/>
      <w:u w:val="single"/>
    </w:rPr>
  </w:style>
  <w:style w:type="character" w:styleId="BodyTextChar1" w:customStyle="1">
    <w:name w:val="Body Text Char1"/>
    <w:basedOn w:val="DefaultParagraphFont"/>
    <w:uiPriority w:val="99"/>
    <w:semiHidden/>
    <w:qFormat/>
    <w:rsid w:val="00ea1435"/>
    <w:rPr>
      <w:rFonts w:cs="Times New Roman"/>
    </w:rPr>
  </w:style>
  <w:style w:type="character" w:styleId="BodyTextChar2" w:customStyle="1">
    <w:name w:val="Body Text Char2"/>
    <w:basedOn w:val="DefaultParagraphFont"/>
    <w:qFormat/>
    <w:rsid w:val="00ea1435"/>
    <w:rPr>
      <w:rFonts w:eastAsia="SimSun" w:cs="Times New Roman"/>
      <w:sz w:val="22"/>
      <w:szCs w:val="22"/>
      <w:lang w:val="ro-RO" w:eastAsia="ro-RO"/>
    </w:rPr>
  </w:style>
  <w:style w:type="character" w:styleId="SubtitleChar" w:customStyle="1">
    <w:name w:val="Subtitle Char"/>
    <w:basedOn w:val="DefaultParagraphFont"/>
    <w:link w:val="Subtitle"/>
    <w:qFormat/>
    <w:rsid w:val="00ea1435"/>
    <w:rPr>
      <w:rFonts w:ascii="Times New Roman" w:hAnsi="Times New Roman" w:eastAsia="Times New Roman" w:cs="Times New Roman"/>
      <w:b/>
      <w:bCs/>
      <w:sz w:val="24"/>
      <w:szCs w:val="24"/>
      <w:lang w:val="en-AU"/>
    </w:rPr>
  </w:style>
  <w:style w:type="character" w:styleId="BodyText3Char" w:customStyle="1">
    <w:name w:val="Body Text 3 Char"/>
    <w:basedOn w:val="DefaultParagraphFont"/>
    <w:link w:val="BodyText3"/>
    <w:qFormat/>
    <w:rsid w:val="00ea1435"/>
    <w:rPr>
      <w:rFonts w:ascii="Times New Roman" w:hAnsi="Times New Roman" w:eastAsia="Times New Roman" w:cs="Times New Roman"/>
      <w:sz w:val="16"/>
      <w:szCs w:val="16"/>
    </w:rPr>
  </w:style>
  <w:style w:type="character" w:styleId="BodyTextIndent2Char" w:customStyle="1">
    <w:name w:val="Body Text Indent 2 Char"/>
    <w:basedOn w:val="DefaultParagraphFont"/>
    <w:link w:val="BodyTextIndent2"/>
    <w:qFormat/>
    <w:rsid w:val="00ea1435"/>
    <w:rPr>
      <w:rFonts w:ascii="Times New Roman" w:hAnsi="Times New Roman" w:eastAsia="Times New Roman" w:cs="Times New Roman"/>
      <w:sz w:val="24"/>
      <w:szCs w:val="24"/>
    </w:rPr>
  </w:style>
  <w:style w:type="character" w:styleId="BodyTextIndent3Char" w:customStyle="1">
    <w:name w:val="Body Text Indent 3 Char"/>
    <w:basedOn w:val="DefaultParagraphFont"/>
    <w:link w:val="BodyTextIndent3"/>
    <w:qFormat/>
    <w:rsid w:val="00ea1435"/>
    <w:rPr>
      <w:rFonts w:ascii="Times New Roman" w:hAnsi="Times New Roman" w:eastAsia="Times New Roman" w:cs="Times New Roman"/>
      <w:sz w:val="16"/>
      <w:szCs w:val="16"/>
    </w:rPr>
  </w:style>
  <w:style w:type="character" w:styleId="PlainTextChar" w:customStyle="1">
    <w:name w:val="Plain Text Char"/>
    <w:basedOn w:val="DefaultParagraphFont"/>
    <w:link w:val="PlainText"/>
    <w:qFormat/>
    <w:rsid w:val="00ea1435"/>
    <w:rPr>
      <w:rFonts w:ascii="Times New Roman" w:hAnsi="Times New Roman" w:eastAsia="Times New Roman" w:cs="Times New Roman"/>
      <w:sz w:val="24"/>
      <w:szCs w:val="24"/>
    </w:rPr>
  </w:style>
  <w:style w:type="character" w:styleId="Corptext1" w:customStyle="1">
    <w:name w:val="Corp text1"/>
    <w:qFormat/>
    <w:rsid w:val="00ea1435"/>
    <w:rPr>
      <w:i/>
      <w:sz w:val="32"/>
      <w:lang w:val="en-US" w:eastAsia="en-US"/>
    </w:rPr>
  </w:style>
  <w:style w:type="character" w:styleId="TitluCaracter1" w:customStyle="1">
    <w:name w:val="Titlu Caracter1"/>
    <w:qFormat/>
    <w:rsid w:val="00ea1435"/>
    <w:rPr>
      <w:rFonts w:ascii="Cambria" w:hAnsi="Cambria"/>
      <w:color w:val="17365D"/>
      <w:spacing w:val="5"/>
      <w:kern w:val="2"/>
      <w:sz w:val="52"/>
      <w:lang w:val="en-AU"/>
    </w:rPr>
  </w:style>
  <w:style w:type="character" w:styleId="Applestylespan" w:customStyle="1">
    <w:name w:val="apple-style-span"/>
    <w:basedOn w:val="DefaultParagraphFont"/>
    <w:qFormat/>
    <w:rsid w:val="00ea1435"/>
    <w:rPr>
      <w:rFonts w:cs="Times New Roman"/>
    </w:rPr>
  </w:style>
  <w:style w:type="character" w:styleId="ZBottomofFormChar" w:customStyle="1">
    <w:name w:val="z-Bottom of Form Char"/>
    <w:basedOn w:val="DefaultParagraphFont"/>
    <w:link w:val="z-BottomofForm"/>
    <w:uiPriority w:val="99"/>
    <w:semiHidden/>
    <w:qFormat/>
    <w:rsid w:val="00ea1435"/>
    <w:rPr>
      <w:rFonts w:ascii="Arial" w:hAnsi="Arial" w:eastAsia="SimSun" w:cs="Arial"/>
      <w:vanish/>
      <w:sz w:val="16"/>
      <w:szCs w:val="16"/>
      <w:lang w:val="ro-RO" w:eastAsia="ro-RO"/>
    </w:rPr>
  </w:style>
  <w:style w:type="character" w:styleId="ZTopofFormChar" w:customStyle="1">
    <w:name w:val="z-Top of Form Char"/>
    <w:basedOn w:val="DefaultParagraphFont"/>
    <w:link w:val="z-TopofForm"/>
    <w:uiPriority w:val="99"/>
    <w:qFormat/>
    <w:rsid w:val="00ea1435"/>
    <w:rPr>
      <w:rFonts w:ascii="Arial" w:hAnsi="Arial" w:eastAsia="SimSun" w:cs="Arial"/>
      <w:vanish/>
      <w:sz w:val="16"/>
      <w:szCs w:val="16"/>
      <w:lang w:val="ro-RO" w:eastAsia="ro-RO"/>
    </w:rPr>
  </w:style>
  <w:style w:type="character" w:styleId="Appleconvertedspace" w:customStyle="1">
    <w:name w:val="apple-converted-space"/>
    <w:basedOn w:val="DefaultParagraphFont"/>
    <w:qFormat/>
    <w:rsid w:val="00ea1435"/>
    <w:rPr>
      <w:rFonts w:cs="Times New Roman"/>
    </w:rPr>
  </w:style>
  <w:style w:type="character" w:styleId="Heading5Char1" w:customStyle="1">
    <w:name w:val="Heading 5 Char1"/>
    <w:basedOn w:val="DefaultParagraphFont"/>
    <w:uiPriority w:val="99"/>
    <w:semiHidden/>
    <w:qFormat/>
    <w:rsid w:val="00ea1435"/>
    <w:rPr>
      <w:rFonts w:ascii="Cambria" w:hAnsi="Cambria" w:cs="Times New Roman"/>
      <w:color w:val="243F60"/>
    </w:rPr>
  </w:style>
  <w:style w:type="character" w:styleId="Heading6Char1" w:customStyle="1">
    <w:name w:val="Heading 6 Char1"/>
    <w:basedOn w:val="DefaultParagraphFont"/>
    <w:uiPriority w:val="99"/>
    <w:semiHidden/>
    <w:qFormat/>
    <w:rsid w:val="00ea1435"/>
    <w:rPr>
      <w:rFonts w:ascii="Cambria" w:hAnsi="Cambria" w:cs="Times New Roman"/>
      <w:i/>
      <w:iCs/>
      <w:color w:val="243F60"/>
    </w:rPr>
  </w:style>
  <w:style w:type="character" w:styleId="Heading7Char1" w:customStyle="1">
    <w:name w:val="Heading 7 Char1"/>
    <w:basedOn w:val="DefaultParagraphFont"/>
    <w:uiPriority w:val="99"/>
    <w:semiHidden/>
    <w:qFormat/>
    <w:rsid w:val="00ea1435"/>
    <w:rPr>
      <w:rFonts w:ascii="Cambria" w:hAnsi="Cambria" w:cs="Times New Roman"/>
      <w:i/>
      <w:iCs/>
      <w:color w:val="404040"/>
    </w:rPr>
  </w:style>
  <w:style w:type="character" w:styleId="Heading8Char1" w:customStyle="1">
    <w:name w:val="Heading 8 Char1"/>
    <w:basedOn w:val="DefaultParagraphFont"/>
    <w:uiPriority w:val="99"/>
    <w:semiHidden/>
    <w:qFormat/>
    <w:rsid w:val="00ea1435"/>
    <w:rPr>
      <w:rFonts w:ascii="Cambria" w:hAnsi="Cambria" w:cs="Times New Roman"/>
      <w:color w:val="404040"/>
      <w:sz w:val="20"/>
      <w:szCs w:val="20"/>
    </w:rPr>
  </w:style>
  <w:style w:type="character" w:styleId="Heading9Char1" w:customStyle="1">
    <w:name w:val="Heading 9 Char1"/>
    <w:basedOn w:val="DefaultParagraphFont"/>
    <w:uiPriority w:val="99"/>
    <w:semiHidden/>
    <w:qFormat/>
    <w:rsid w:val="00ea1435"/>
    <w:rPr>
      <w:rFonts w:ascii="Cambria" w:hAnsi="Cambria" w:cs="Times New Roman"/>
      <w:i/>
      <w:iCs/>
      <w:color w:val="404040"/>
      <w:sz w:val="20"/>
      <w:szCs w:val="20"/>
    </w:rPr>
  </w:style>
  <w:style w:type="character" w:styleId="TitleChar1" w:customStyle="1">
    <w:name w:val="Title Char1"/>
    <w:basedOn w:val="DefaultParagraphFont"/>
    <w:link w:val="Title"/>
    <w:qFormat/>
    <w:rsid w:val="00ea1435"/>
    <w:rPr>
      <w:rFonts w:ascii="Cambria" w:hAnsi="Cambria" w:eastAsia="SimSun" w:cs="Times New Roman"/>
      <w:color w:val="5B9BD5" w:themeColor="accent1"/>
      <w:spacing w:val="5"/>
      <w:kern w:val="2"/>
      <w:sz w:val="52"/>
      <w:szCs w:val="52"/>
    </w:rPr>
  </w:style>
  <w:style w:type="character" w:styleId="TitluCaracter2" w:customStyle="1">
    <w:name w:val="Titlu Caracter2"/>
    <w:basedOn w:val="DefaultParagraphFont"/>
    <w:uiPriority w:val="99"/>
    <w:qFormat/>
    <w:rsid w:val="00ea1435"/>
    <w:rPr>
      <w:rFonts w:ascii="Cambria" w:hAnsi="Cambria" w:cs="Times New Roman"/>
      <w:color w:val="17365D"/>
      <w:spacing w:val="5"/>
      <w:kern w:val="2"/>
      <w:sz w:val="52"/>
      <w:szCs w:val="52"/>
      <w:lang w:val="en-US" w:eastAsia="en-US"/>
    </w:rPr>
  </w:style>
  <w:style w:type="character" w:styleId="11Char" w:customStyle="1">
    <w:name w:val="1.1 Char"/>
    <w:basedOn w:val="DefaultParagraphFont"/>
    <w:uiPriority w:val="99"/>
    <w:qFormat/>
    <w:locked/>
    <w:rsid w:val="00ea1435"/>
    <w:rPr>
      <w:rFonts w:ascii="Calibri" w:hAnsi="Calibri" w:cs="Arial"/>
      <w:b/>
      <w:color w:val="570D31"/>
      <w:sz w:val="24"/>
      <w:szCs w:val="24"/>
      <w:lang w:eastAsia="en-US"/>
    </w:rPr>
  </w:style>
  <w:style w:type="character" w:styleId="SursaChar" w:customStyle="1">
    <w:name w:val="sursa Char"/>
    <w:basedOn w:val="DefaultParagraphFont"/>
    <w:link w:val="sursa"/>
    <w:uiPriority w:val="99"/>
    <w:qFormat/>
    <w:locked/>
    <w:rsid w:val="00ea1435"/>
    <w:rPr>
      <w:rFonts w:ascii="Calibri" w:hAnsi="Calibri" w:eastAsia="Times New Roman" w:cs="Times New Roman"/>
      <w:i/>
      <w:sz w:val="18"/>
      <w:szCs w:val="18"/>
      <w:lang w:val="ro-RO" w:eastAsia="ro-RO"/>
    </w:rPr>
  </w:style>
  <w:style w:type="character" w:styleId="CaptionChar2" w:customStyle="1">
    <w:name w:val="caption Char"/>
    <w:basedOn w:val="CaptionChar"/>
    <w:link w:val="Caption1"/>
    <w:qFormat/>
    <w:locked/>
    <w:rsid w:val="00ea1435"/>
    <w:rPr>
      <w:rFonts w:ascii="Calibri" w:hAnsi="Calibri" w:eastAsia="Times New Roman" w:cs="Times New Roman"/>
      <w:b/>
      <w:bCs/>
      <w:i w:val="false"/>
      <w:iCs w:val="false"/>
      <w:color w:val="570D31"/>
      <w:sz w:val="20"/>
      <w:szCs w:val="20"/>
      <w:lang w:val="ro-RO" w:eastAsia="ro-RO"/>
    </w:rPr>
  </w:style>
  <w:style w:type="character" w:styleId="Fcdd559f5e6c8b45b9b41fe7677ded2c5b4" w:customStyle="1">
    <w:name w:val="fcdd559f5e-6c8b-45b9-b41f-e7677ded2c5b-4"/>
    <w:basedOn w:val="DefaultParagraphFont"/>
    <w:uiPriority w:val="99"/>
    <w:qFormat/>
    <w:rsid w:val="00ea1435"/>
    <w:rPr>
      <w:rFonts w:ascii="Trebuchet MS" w:hAnsi="Trebuchet MS" w:cs="Times New Roman"/>
      <w:sz w:val="16"/>
      <w:szCs w:val="16"/>
    </w:rPr>
  </w:style>
  <w:style w:type="character" w:styleId="Preambul1" w:customStyle="1">
    <w:name w:val="preambul1"/>
    <w:uiPriority w:val="99"/>
    <w:qFormat/>
    <w:rsid w:val="00ea1435"/>
    <w:rPr>
      <w:i/>
      <w:color w:val="000000"/>
    </w:rPr>
  </w:style>
  <w:style w:type="character" w:styleId="PlaceholderText">
    <w:name w:val="Placeholder Text"/>
    <w:basedOn w:val="DefaultParagraphFont"/>
    <w:uiPriority w:val="99"/>
    <w:semiHidden/>
    <w:qFormat/>
    <w:rsid w:val="00ea1435"/>
    <w:rPr>
      <w:rFonts w:cs="Times New Roman"/>
      <w:color w:val="808080"/>
    </w:rPr>
  </w:style>
  <w:style w:type="character" w:styleId="IRAChar" w:customStyle="1">
    <w:name w:val="I.RA Char"/>
    <w:basedOn w:val="DefaultParagraphFont"/>
    <w:link w:val="IRA"/>
    <w:uiPriority w:val="99"/>
    <w:qFormat/>
    <w:locked/>
    <w:rsid w:val="00ea1435"/>
    <w:rPr>
      <w:rFonts w:ascii="Times New Roman" w:hAnsi="Times New Roman" w:cs="Times New Roman"/>
      <w:b/>
      <w:color w:val="570D31"/>
      <w:sz w:val="40"/>
      <w:szCs w:val="40"/>
    </w:rPr>
  </w:style>
  <w:style w:type="character" w:styleId="Titlu1Caracter1" w:customStyle="1">
    <w:name w:val="Titlu 1 Caracter1"/>
    <w:basedOn w:val="DefaultParagraphFont"/>
    <w:uiPriority w:val="99"/>
    <w:qFormat/>
    <w:rsid w:val="00ea1435"/>
    <w:rPr>
      <w:rFonts w:ascii="Cambria" w:hAnsi="Cambria" w:cs="Times New Roman"/>
      <w:b/>
      <w:bCs/>
      <w:color w:val="365F91"/>
      <w:sz w:val="28"/>
      <w:szCs w:val="28"/>
    </w:rPr>
  </w:style>
  <w:style w:type="character" w:styleId="TextnotdesubsolCaracter1" w:customStyle="1">
    <w:name w:val="Text notă de subsol Caracter1"/>
    <w:basedOn w:val="DefaultParagraphFont"/>
    <w:semiHidden/>
    <w:qFormat/>
    <w:rsid w:val="00ea1435"/>
    <w:rPr>
      <w:rFonts w:cs="Times New Roman"/>
      <w:sz w:val="20"/>
      <w:szCs w:val="20"/>
    </w:rPr>
  </w:style>
  <w:style w:type="character" w:styleId="AntetCaracter1" w:customStyle="1">
    <w:name w:val="Antet Caracter1"/>
    <w:basedOn w:val="DefaultParagraphFont"/>
    <w:qFormat/>
    <w:rsid w:val="00ea1435"/>
    <w:rPr>
      <w:rFonts w:cs="Times New Roman"/>
    </w:rPr>
  </w:style>
  <w:style w:type="character" w:styleId="CorptextCaracter1" w:customStyle="1">
    <w:name w:val="Corp text Caracter1"/>
    <w:basedOn w:val="DefaultParagraphFont"/>
    <w:uiPriority w:val="99"/>
    <w:semiHidden/>
    <w:qFormat/>
    <w:rsid w:val="00ea1435"/>
    <w:rPr>
      <w:rFonts w:cs="Times New Roman"/>
    </w:rPr>
  </w:style>
  <w:style w:type="character" w:styleId="Heading1Char1" w:customStyle="1">
    <w:name w:val="Heading 1 Char1"/>
    <w:basedOn w:val="DefaultParagraphFont"/>
    <w:uiPriority w:val="99"/>
    <w:qFormat/>
    <w:locked/>
    <w:rsid w:val="00ea1435"/>
    <w:rPr>
      <w:rFonts w:cs="Arial"/>
      <w:b/>
      <w:kern w:val="2"/>
      <w:sz w:val="26"/>
      <w:lang w:val="ro-RO"/>
    </w:rPr>
  </w:style>
  <w:style w:type="character" w:styleId="FootnoteTextChar2" w:customStyle="1">
    <w:name w:val="Footnote Text Char2"/>
    <w:basedOn w:val="DefaultParagraphFont"/>
    <w:uiPriority w:val="99"/>
    <w:semiHidden/>
    <w:qFormat/>
    <w:locked/>
    <w:rsid w:val="00ea1435"/>
    <w:rPr>
      <w:rFonts w:cs="Times New Roman"/>
      <w:lang w:val="en-US" w:eastAsia="en-US"/>
    </w:rPr>
  </w:style>
  <w:style w:type="character" w:styleId="NormalWebChar2" w:customStyle="1">
    <w:name w:val="Normal (Web) Char2"/>
    <w:basedOn w:val="DefaultParagraphFont"/>
    <w:link w:val="NormalWeb"/>
    <w:uiPriority w:val="99"/>
    <w:qFormat/>
    <w:locked/>
    <w:rsid w:val="00ea1435"/>
    <w:rPr>
      <w:rFonts w:ascii="Times New Roman" w:hAnsi="Times New Roman" w:eastAsia="Times New Roman" w:cs="Times New Roman"/>
      <w:sz w:val="24"/>
      <w:szCs w:val="24"/>
    </w:rPr>
  </w:style>
  <w:style w:type="character" w:styleId="Stil1CharChar" w:customStyle="1">
    <w:name w:val="Stil1 Char Char"/>
    <w:basedOn w:val="DefaultParagraphFont"/>
    <w:link w:val="Stil1Char"/>
    <w:uiPriority w:val="99"/>
    <w:qFormat/>
    <w:locked/>
    <w:rsid w:val="00ea1435"/>
    <w:rPr>
      <w:rFonts w:ascii="Book Antiqua" w:hAnsi="Book Antiqua" w:cs="Book Antiqua"/>
      <w:b/>
      <w:color w:val="FFB100"/>
      <w:sz w:val="18"/>
      <w:szCs w:val="18"/>
    </w:rPr>
  </w:style>
  <w:style w:type="character" w:styleId="Style91" w:customStyle="1">
    <w:name w:val="style91"/>
    <w:basedOn w:val="DefaultParagraphFont"/>
    <w:qFormat/>
    <w:rsid w:val="00ea1435"/>
    <w:rPr>
      <w:rFonts w:ascii="Arial" w:hAnsi="Arial" w:cs="Arial"/>
      <w:sz w:val="14"/>
      <w:szCs w:val="14"/>
    </w:rPr>
  </w:style>
  <w:style w:type="character" w:styleId="Yshortcuts" w:customStyle="1">
    <w:name w:val="yshortcuts"/>
    <w:basedOn w:val="DefaultParagraphFont"/>
    <w:uiPriority w:val="99"/>
    <w:qFormat/>
    <w:rsid w:val="00ea1435"/>
    <w:rPr>
      <w:rFonts w:cs="Times New Roman"/>
    </w:rPr>
  </w:style>
  <w:style w:type="character" w:styleId="Pagenumber">
    <w:name w:val="page number"/>
    <w:basedOn w:val="DefaultParagraphFont"/>
    <w:qFormat/>
    <w:rsid w:val="00ea1435"/>
    <w:rPr>
      <w:rFonts w:cs="Times New Roman"/>
    </w:rPr>
  </w:style>
  <w:style w:type="character" w:styleId="DocumentMapChar" w:customStyle="1">
    <w:name w:val="Document Map Char"/>
    <w:basedOn w:val="DefaultParagraphFont"/>
    <w:link w:val="DocumentMap"/>
    <w:uiPriority w:val="99"/>
    <w:qFormat/>
    <w:rsid w:val="00ea1435"/>
    <w:rPr>
      <w:rFonts w:ascii="Tahoma" w:hAnsi="Tahoma" w:eastAsia="Batang" w:cs="Tahoma"/>
      <w:sz w:val="20"/>
      <w:szCs w:val="20"/>
      <w:shd w:fill="000080" w:val="clear"/>
      <w:lang w:val="ro-RO"/>
    </w:rPr>
  </w:style>
  <w:style w:type="character" w:styleId="CharChar6" w:customStyle="1">
    <w:name w:val="Char Char6"/>
    <w:basedOn w:val="DefaultParagraphFont"/>
    <w:uiPriority w:val="99"/>
    <w:qFormat/>
    <w:rsid w:val="00ea1435"/>
    <w:rPr>
      <w:rFonts w:cs="Times New Roman"/>
      <w:sz w:val="24"/>
      <w:szCs w:val="24"/>
      <w:lang w:val="en-US" w:eastAsia="en-US"/>
    </w:rPr>
  </w:style>
  <w:style w:type="character" w:styleId="CharChar5" w:customStyle="1">
    <w:name w:val="Char Char5"/>
    <w:basedOn w:val="DefaultParagraphFont"/>
    <w:uiPriority w:val="99"/>
    <w:qFormat/>
    <w:rsid w:val="00ea1435"/>
    <w:rPr>
      <w:rFonts w:cs="Times New Roman"/>
      <w:sz w:val="24"/>
      <w:szCs w:val="24"/>
      <w:lang w:val="en-US" w:eastAsia="en-US"/>
    </w:rPr>
  </w:style>
  <w:style w:type="character" w:styleId="PlandocumentCaracter1" w:customStyle="1">
    <w:name w:val="Plan document Caracter1"/>
    <w:basedOn w:val="DefaultParagraphFont"/>
    <w:uiPriority w:val="99"/>
    <w:semiHidden/>
    <w:qFormat/>
    <w:rsid w:val="00ea1435"/>
    <w:rPr>
      <w:rFonts w:ascii="Tahoma" w:hAnsi="Tahoma" w:eastAsia="Batang" w:cs="Tahoma"/>
      <w:sz w:val="16"/>
      <w:szCs w:val="16"/>
      <w:lang w:val="en-US"/>
    </w:rPr>
  </w:style>
  <w:style w:type="character" w:styleId="ParteainferioaramacheteizCaracter1" w:customStyle="1">
    <w:name w:val="Partea inferioară a machetei-z Caracter1"/>
    <w:basedOn w:val="DefaultParagraphFont"/>
    <w:uiPriority w:val="99"/>
    <w:semiHidden/>
    <w:qFormat/>
    <w:rsid w:val="00ea1435"/>
    <w:rPr>
      <w:rFonts w:ascii="Arial" w:hAnsi="Arial" w:eastAsia="Batang" w:cs="Arial"/>
      <w:vanish/>
      <w:sz w:val="16"/>
      <w:szCs w:val="16"/>
      <w:lang w:val="en-US"/>
    </w:rPr>
  </w:style>
  <w:style w:type="character" w:styleId="EndnoteTextChar" w:customStyle="1">
    <w:name w:val="Endnote Text Char"/>
    <w:basedOn w:val="DefaultParagraphFont"/>
    <w:link w:val="EndnoteText"/>
    <w:qFormat/>
    <w:rsid w:val="00ea1435"/>
    <w:rPr>
      <w:rFonts w:ascii="Times New Roman" w:hAnsi="Times New Roman" w:eastAsia="Batang" w:cs="Times New Roman"/>
      <w:sz w:val="20"/>
      <w:szCs w:val="20"/>
      <w:lang w:val="ro-RO"/>
    </w:rPr>
  </w:style>
  <w:style w:type="character" w:styleId="EndnoteCharacters" w:customStyle="1">
    <w:name w:val="Endnote Characters"/>
    <w:qFormat/>
    <w:rsid w:val="00ea1435"/>
    <w:rPr/>
  </w:style>
  <w:style w:type="character" w:styleId="EndnoteAnchor">
    <w:name w:val="Endnote Anchor"/>
    <w:rPr>
      <w:rFonts w:cs="Times New Roman"/>
      <w:vertAlign w:val="superscript"/>
    </w:rPr>
  </w:style>
  <w:style w:type="character" w:styleId="Search9" w:customStyle="1">
    <w:name w:val="search9"/>
    <w:basedOn w:val="DefaultParagraphFont"/>
    <w:uiPriority w:val="99"/>
    <w:qFormat/>
    <w:rsid w:val="00ea1435"/>
    <w:rPr>
      <w:rFonts w:ascii="Arial" w:hAnsi="Arial" w:cs="Arial"/>
      <w:b/>
      <w:bCs/>
      <w:color w:val="0000FF"/>
      <w:sz w:val="15"/>
      <w:szCs w:val="15"/>
    </w:rPr>
  </w:style>
  <w:style w:type="character" w:styleId="Emphasis">
    <w:name w:val="Emphasis"/>
    <w:basedOn w:val="DefaultParagraphFont"/>
    <w:qFormat/>
    <w:rsid w:val="00ea1435"/>
    <w:rPr>
      <w:rFonts w:cs="Times New Roman"/>
      <w:b/>
      <w:bCs/>
    </w:rPr>
  </w:style>
  <w:style w:type="character" w:styleId="Longtext1" w:customStyle="1">
    <w:name w:val="long_text1"/>
    <w:basedOn w:val="DefaultParagraphFont"/>
    <w:qFormat/>
    <w:rsid w:val="00ea1435"/>
    <w:rPr>
      <w:rFonts w:cs="Times New Roman"/>
      <w:sz w:val="20"/>
      <w:szCs w:val="20"/>
    </w:rPr>
  </w:style>
  <w:style w:type="character" w:styleId="SubtleEmphasis">
    <w:name w:val="Subtle Emphasis"/>
    <w:basedOn w:val="DefaultParagraphFont"/>
    <w:uiPriority w:val="19"/>
    <w:qFormat/>
    <w:rsid w:val="00ea1435"/>
    <w:rPr>
      <w:rFonts w:cs="Times New Roman"/>
      <w:i/>
      <w:iCs/>
      <w:color w:val="808080"/>
    </w:rPr>
  </w:style>
  <w:style w:type="character" w:styleId="Style3Char1" w:customStyle="1">
    <w:name w:val="Style 3 Char1"/>
    <w:basedOn w:val="DefaultParagraphFont"/>
    <w:link w:val="Style3"/>
    <w:uiPriority w:val="99"/>
    <w:qFormat/>
    <w:locked/>
    <w:rsid w:val="00ea1435"/>
    <w:rPr>
      <w:rFonts w:ascii="Arial Narrow" w:hAnsi="Arial Narrow" w:eastAsia="Times New Roman" w:cs="RomHelvetica"/>
      <w:b/>
      <w:bCs/>
      <w:color w:val="000000"/>
      <w:szCs w:val="20"/>
      <w:lang w:val="ro-RO"/>
    </w:rPr>
  </w:style>
  <w:style w:type="character" w:styleId="IntenseQuoteChar" w:customStyle="1">
    <w:name w:val="Intense Quote Char"/>
    <w:basedOn w:val="DefaultParagraphFont"/>
    <w:link w:val="IntenseQuote"/>
    <w:uiPriority w:val="30"/>
    <w:qFormat/>
    <w:rsid w:val="00ea1435"/>
    <w:rPr>
      <w:rFonts w:ascii="Calibri" w:hAnsi="Calibri" w:eastAsia="Times New Roman" w:cs="Times New Roman"/>
      <w:b/>
      <w:bCs/>
      <w:i/>
      <w:iCs/>
      <w:color w:val="4F81BD"/>
    </w:rPr>
  </w:style>
  <w:style w:type="character" w:styleId="TitleChar2" w:customStyle="1">
    <w:name w:val="Title Char2"/>
    <w:basedOn w:val="DefaultParagraphFont"/>
    <w:uiPriority w:val="99"/>
    <w:qFormat/>
    <w:locked/>
    <w:rsid w:val="00ea1435"/>
    <w:rPr>
      <w:rFonts w:ascii="Cambria" w:hAnsi="Cambria" w:cs="Times New Roman"/>
      <w:color w:val="17365D"/>
      <w:spacing w:val="5"/>
      <w:kern w:val="2"/>
      <w:sz w:val="52"/>
      <w:szCs w:val="52"/>
      <w:lang w:val="en-US" w:eastAsia="en-US"/>
    </w:rPr>
  </w:style>
  <w:style w:type="character" w:styleId="SursaraportChar" w:customStyle="1">
    <w:name w:val="sursa raport Char"/>
    <w:basedOn w:val="SursarapChar"/>
    <w:link w:val="sursaraport"/>
    <w:uiPriority w:val="99"/>
    <w:qFormat/>
    <w:rsid w:val="00ea1435"/>
    <w:rPr>
      <w:rFonts w:ascii="Calibri" w:hAnsi="Calibri" w:eastAsia="Times New Roman" w:cs="Times New Roman"/>
      <w:i/>
      <w:sz w:val="18"/>
      <w:szCs w:val="18"/>
      <w:lang w:val="ro-RO"/>
    </w:rPr>
  </w:style>
  <w:style w:type="character" w:styleId="L5def" w:customStyle="1">
    <w:name w:val="l5def"/>
    <w:basedOn w:val="DefaultParagraphFont"/>
    <w:qFormat/>
    <w:rsid w:val="00ea1435"/>
    <w:rPr/>
  </w:style>
  <w:style w:type="character" w:styleId="1Char1" w:customStyle="1">
    <w:name w:val="1. Char"/>
    <w:basedOn w:val="DefaultParagraphFont"/>
    <w:link w:val="10"/>
    <w:uiPriority w:val="99"/>
    <w:qFormat/>
    <w:locked/>
    <w:rsid w:val="00ea1435"/>
    <w:rPr>
      <w:rFonts w:ascii="Calibri" w:hAnsi="Calibri" w:eastAsia="Times New Roman" w:cs="Arial"/>
      <w:b/>
      <w:color w:val="570D31"/>
      <w:sz w:val="24"/>
      <w:szCs w:val="24"/>
    </w:rPr>
  </w:style>
  <w:style w:type="character" w:styleId="111Char" w:customStyle="1">
    <w:name w:val="1.1.1 Char"/>
    <w:basedOn w:val="DefaultParagraphFont"/>
    <w:link w:val="111"/>
    <w:uiPriority w:val="99"/>
    <w:qFormat/>
    <w:locked/>
    <w:rsid w:val="00ea1435"/>
    <w:rPr>
      <w:rFonts w:ascii="Calibri" w:hAnsi="Calibri" w:eastAsia="SimSun" w:cs="Times New Roman"/>
      <w:b/>
      <w:bCs/>
      <w:i/>
      <w:color w:val="570D31"/>
      <w:sz w:val="24"/>
      <w:szCs w:val="24"/>
      <w:lang w:val="ro-RO" w:eastAsia="ro-RO"/>
    </w:rPr>
  </w:style>
  <w:style w:type="character" w:styleId="IRAChar1" w:customStyle="1">
    <w:name w:val="I. RA Char"/>
    <w:basedOn w:val="DefaultParagraphFont"/>
    <w:link w:val="IRA0"/>
    <w:uiPriority w:val="99"/>
    <w:qFormat/>
    <w:locked/>
    <w:rsid w:val="00ea1435"/>
    <w:rPr>
      <w:rFonts w:ascii="Times New Roman" w:hAnsi="Times New Roman"/>
      <w:b/>
      <w:color w:val="570D31"/>
      <w:sz w:val="40"/>
      <w:szCs w:val="40"/>
    </w:rPr>
  </w:style>
  <w:style w:type="character" w:styleId="SUBde4Caracter" w:customStyle="1">
    <w:name w:val="SUB de 4 Caracter"/>
    <w:basedOn w:val="SUBSUBCAPITOLCaracter"/>
    <w:link w:val="SUBde4"/>
    <w:qFormat/>
    <w:rsid w:val="00ea1435"/>
    <w:rPr>
      <w:rFonts w:ascii="Calibri" w:hAnsi="Calibri" w:eastAsia="SimSun" w:cs="Arial"/>
      <w:b/>
      <w:i w:val="false"/>
      <w:color w:val="5B9BD5" w:themeColor="accent1"/>
      <w:szCs w:val="24"/>
      <w:lang w:val="ro-RO" w:eastAsia="ro-RO"/>
    </w:rPr>
  </w:style>
  <w:style w:type="character" w:styleId="HeaderChar3" w:customStyle="1">
    <w:name w:val="Header Char3"/>
    <w:basedOn w:val="DefaultParagraphFont"/>
    <w:uiPriority w:val="99"/>
    <w:qFormat/>
    <w:locked/>
    <w:rsid w:val="00ea1435"/>
    <w:rPr>
      <w:rFonts w:ascii="Times New Roman" w:hAnsi="Times New Roman" w:cs="Times New Roman"/>
      <w:position w:val="0"/>
      <w:sz w:val="20"/>
      <w:sz w:val="20"/>
      <w:szCs w:val="20"/>
      <w:vertAlign w:val="baseline"/>
      <w:lang w:val="en-US"/>
    </w:rPr>
  </w:style>
  <w:style w:type="character" w:styleId="BodyTextChar6" w:customStyle="1">
    <w:name w:val="Body Text Char6"/>
    <w:basedOn w:val="DefaultParagraphFont"/>
    <w:qFormat/>
    <w:rsid w:val="00ea1435"/>
    <w:rPr>
      <w:i/>
      <w:sz w:val="32"/>
      <w:lang w:val="en-US" w:eastAsia="en-US" w:bidi="ar-SA"/>
    </w:rPr>
  </w:style>
  <w:style w:type="character" w:styleId="NormalWebChar2Char" w:customStyle="1">
    <w:name w:val="Normal (Web) Char2 Char"/>
    <w:basedOn w:val="DefaultParagraphFont"/>
    <w:uiPriority w:val="99"/>
    <w:qFormat/>
    <w:rsid w:val="00ea1435"/>
    <w:rPr>
      <w:sz w:val="24"/>
      <w:szCs w:val="24"/>
      <w:lang w:val="en-US" w:eastAsia="en-US" w:bidi="ar-SA"/>
    </w:rPr>
  </w:style>
  <w:style w:type="character" w:styleId="Ln2tpunct" w:customStyle="1">
    <w:name w:val="ln2tpunct"/>
    <w:basedOn w:val="DefaultParagraphFont"/>
    <w:qFormat/>
    <w:rsid w:val="00ea1435"/>
    <w:rPr/>
  </w:style>
  <w:style w:type="character" w:styleId="Tpa1" w:customStyle="1">
    <w:name w:val="tpa1"/>
    <w:basedOn w:val="DefaultParagraphFont"/>
    <w:qFormat/>
    <w:rsid w:val="00ea1435"/>
    <w:rPr/>
  </w:style>
  <w:style w:type="character" w:styleId="WW8Num2z0" w:customStyle="1">
    <w:name w:val="WW8Num2z0"/>
    <w:qFormat/>
    <w:rsid w:val="00ea1435"/>
    <w:rPr>
      <w:rFonts w:ascii="Symbol" w:hAnsi="Symbol" w:cs="StarSymbol"/>
      <w:sz w:val="18"/>
      <w:szCs w:val="18"/>
    </w:rPr>
  </w:style>
  <w:style w:type="character" w:styleId="WWAbsatzStandardschriftart" w:customStyle="1">
    <w:name w:val="WW-Absatz-Standardschriftart"/>
    <w:qFormat/>
    <w:rsid w:val="00ea1435"/>
    <w:rPr/>
  </w:style>
  <w:style w:type="character" w:styleId="WWWW8Num2z0" w:customStyle="1">
    <w:name w:val="WW-WW8Num2z0"/>
    <w:qFormat/>
    <w:rsid w:val="00ea1435"/>
    <w:rPr>
      <w:rFonts w:ascii="Symbol" w:hAnsi="Symbol" w:cs="StarSymbol"/>
      <w:sz w:val="18"/>
      <w:szCs w:val="18"/>
    </w:rPr>
  </w:style>
  <w:style w:type="character" w:styleId="WWAbsatzStandardschriftart1" w:customStyle="1">
    <w:name w:val="WW-Absatz-Standardschriftart1"/>
    <w:qFormat/>
    <w:rsid w:val="00ea1435"/>
    <w:rPr/>
  </w:style>
  <w:style w:type="character" w:styleId="WWWW8Num2z01" w:customStyle="1">
    <w:name w:val="WW-WW8Num2z01"/>
    <w:qFormat/>
    <w:rsid w:val="00ea1435"/>
    <w:rPr>
      <w:rFonts w:ascii="Symbol" w:hAnsi="Symbol" w:cs="StarSymbol"/>
      <w:sz w:val="18"/>
      <w:szCs w:val="18"/>
    </w:rPr>
  </w:style>
  <w:style w:type="character" w:styleId="WWAbsatzStandardschriftart11" w:customStyle="1">
    <w:name w:val="WW-Absatz-Standardschriftart11"/>
    <w:qFormat/>
    <w:rsid w:val="00ea1435"/>
    <w:rPr/>
  </w:style>
  <w:style w:type="character" w:styleId="WWAbsatzStandardschriftart111" w:customStyle="1">
    <w:name w:val="WW-Absatz-Standardschriftart111"/>
    <w:qFormat/>
    <w:rsid w:val="00ea1435"/>
    <w:rPr/>
  </w:style>
  <w:style w:type="character" w:styleId="WWAbsatzStandardschriftart1111" w:customStyle="1">
    <w:name w:val="WW-Absatz-Standardschriftart1111"/>
    <w:qFormat/>
    <w:rsid w:val="00ea1435"/>
    <w:rPr/>
  </w:style>
  <w:style w:type="character" w:styleId="WWAbsatzStandardschriftart11111" w:customStyle="1">
    <w:name w:val="WW-Absatz-Standardschriftart11111"/>
    <w:qFormat/>
    <w:rsid w:val="00ea1435"/>
    <w:rPr/>
  </w:style>
  <w:style w:type="character" w:styleId="WWAbsatzStandardschriftart111111" w:customStyle="1">
    <w:name w:val="WW-Absatz-Standardschriftart111111"/>
    <w:qFormat/>
    <w:rsid w:val="00ea1435"/>
    <w:rPr/>
  </w:style>
  <w:style w:type="character" w:styleId="WWAbsatzStandardschriftart1111111" w:customStyle="1">
    <w:name w:val="WW-Absatz-Standardschriftart1111111"/>
    <w:qFormat/>
    <w:rsid w:val="00ea1435"/>
    <w:rPr/>
  </w:style>
  <w:style w:type="character" w:styleId="WWAbsatzStandardschriftart11111111" w:customStyle="1">
    <w:name w:val="WW-Absatz-Standardschriftart11111111"/>
    <w:qFormat/>
    <w:rsid w:val="00ea1435"/>
    <w:rPr/>
  </w:style>
  <w:style w:type="character" w:styleId="WW8Num1z0" w:customStyle="1">
    <w:name w:val="WW8Num1z0"/>
    <w:qFormat/>
    <w:rsid w:val="00ea1435"/>
    <w:rPr>
      <w:rFonts w:ascii="Symbol" w:hAnsi="Symbol"/>
    </w:rPr>
  </w:style>
  <w:style w:type="character" w:styleId="WWWW8Num2z011" w:customStyle="1">
    <w:name w:val="WW-WW8Num2z011"/>
    <w:qFormat/>
    <w:rsid w:val="00ea1435"/>
    <w:rPr>
      <w:rFonts w:ascii="Symbol" w:hAnsi="Symbol"/>
    </w:rPr>
  </w:style>
  <w:style w:type="character" w:styleId="WW8Num4z0" w:customStyle="1">
    <w:name w:val="WW8Num4z0"/>
    <w:qFormat/>
    <w:rsid w:val="00ea1435"/>
    <w:rPr>
      <w:rFonts w:ascii="Wingdings" w:hAnsi="Wingdings"/>
    </w:rPr>
  </w:style>
  <w:style w:type="character" w:styleId="WW8Num4z1" w:customStyle="1">
    <w:name w:val="WW8Num4z1"/>
    <w:qFormat/>
    <w:rsid w:val="00ea1435"/>
    <w:rPr>
      <w:rFonts w:ascii="Courier New" w:hAnsi="Courier New"/>
    </w:rPr>
  </w:style>
  <w:style w:type="character" w:styleId="WW8Num4z3" w:customStyle="1">
    <w:name w:val="WW8Num4z3"/>
    <w:qFormat/>
    <w:rsid w:val="00ea1435"/>
    <w:rPr>
      <w:rFonts w:ascii="Symbol" w:hAnsi="Symbol"/>
    </w:rPr>
  </w:style>
  <w:style w:type="character" w:styleId="WW8Num5z0" w:customStyle="1">
    <w:name w:val="WW8Num5z0"/>
    <w:qFormat/>
    <w:rsid w:val="00ea1435"/>
    <w:rPr>
      <w:rFonts w:ascii="Wingdings" w:hAnsi="Wingdings"/>
    </w:rPr>
  </w:style>
  <w:style w:type="character" w:styleId="WW8Num5z1" w:customStyle="1">
    <w:name w:val="WW8Num5z1"/>
    <w:qFormat/>
    <w:rsid w:val="00ea1435"/>
    <w:rPr>
      <w:rFonts w:ascii="Courier New" w:hAnsi="Courier New"/>
    </w:rPr>
  </w:style>
  <w:style w:type="character" w:styleId="WW8Num5z3" w:customStyle="1">
    <w:name w:val="WW8Num5z3"/>
    <w:qFormat/>
    <w:rsid w:val="00ea1435"/>
    <w:rPr>
      <w:rFonts w:ascii="Symbol" w:hAnsi="Symbol"/>
    </w:rPr>
  </w:style>
  <w:style w:type="character" w:styleId="WW8Num7z0" w:customStyle="1">
    <w:name w:val="WW8Num7z0"/>
    <w:qFormat/>
    <w:rsid w:val="00ea1435"/>
    <w:rPr>
      <w:rFonts w:ascii="Wingdings" w:hAnsi="Wingdings"/>
      <w:sz w:val="16"/>
    </w:rPr>
  </w:style>
  <w:style w:type="character" w:styleId="WW8Num7z1" w:customStyle="1">
    <w:name w:val="WW8Num7z1"/>
    <w:qFormat/>
    <w:rsid w:val="00ea1435"/>
    <w:rPr>
      <w:rFonts w:ascii="Courier New" w:hAnsi="Courier New"/>
    </w:rPr>
  </w:style>
  <w:style w:type="character" w:styleId="WW8Num7z2" w:customStyle="1">
    <w:name w:val="WW8Num7z2"/>
    <w:qFormat/>
    <w:rsid w:val="00ea1435"/>
    <w:rPr>
      <w:rFonts w:ascii="Wingdings" w:hAnsi="Wingdings"/>
    </w:rPr>
  </w:style>
  <w:style w:type="character" w:styleId="WW8Num7z3" w:customStyle="1">
    <w:name w:val="WW8Num7z3"/>
    <w:qFormat/>
    <w:rsid w:val="00ea1435"/>
    <w:rPr>
      <w:rFonts w:ascii="Symbol" w:hAnsi="Symbol"/>
    </w:rPr>
  </w:style>
  <w:style w:type="character" w:styleId="WW8Num8z0" w:customStyle="1">
    <w:name w:val="WW8Num8z0"/>
    <w:qFormat/>
    <w:rsid w:val="00ea1435"/>
    <w:rPr>
      <w:rFonts w:ascii="Wingdings" w:hAnsi="Wingdings"/>
    </w:rPr>
  </w:style>
  <w:style w:type="character" w:styleId="WW8Num8z1" w:customStyle="1">
    <w:name w:val="WW8Num8z1"/>
    <w:qFormat/>
    <w:rsid w:val="00ea1435"/>
    <w:rPr>
      <w:rFonts w:ascii="Courier New" w:hAnsi="Courier New"/>
    </w:rPr>
  </w:style>
  <w:style w:type="character" w:styleId="WW8Num8z3" w:customStyle="1">
    <w:name w:val="WW8Num8z3"/>
    <w:qFormat/>
    <w:rsid w:val="00ea1435"/>
    <w:rPr>
      <w:rFonts w:ascii="Symbol" w:hAnsi="Symbol"/>
    </w:rPr>
  </w:style>
  <w:style w:type="character" w:styleId="WW8NumSt1z0" w:customStyle="1">
    <w:name w:val="WW8NumSt1z0"/>
    <w:qFormat/>
    <w:rsid w:val="00ea1435"/>
    <w:rPr>
      <w:rFonts w:ascii="Symbol" w:hAnsi="Symbol"/>
    </w:rPr>
  </w:style>
  <w:style w:type="character" w:styleId="WW8NumSt2z0" w:customStyle="1">
    <w:name w:val="WW8NumSt2z0"/>
    <w:qFormat/>
    <w:rsid w:val="00ea1435"/>
    <w:rPr>
      <w:rFonts w:ascii="Wingdings" w:hAnsi="Wingdings"/>
      <w:b w:val="false"/>
      <w:i w:val="false"/>
      <w:sz w:val="24"/>
      <w:u w:val="none"/>
    </w:rPr>
  </w:style>
  <w:style w:type="character" w:styleId="WW8NumSt3z0" w:customStyle="1">
    <w:name w:val="WW8NumSt3z0"/>
    <w:qFormat/>
    <w:rsid w:val="00ea1435"/>
    <w:rPr>
      <w:rFonts w:ascii="Wingdings" w:hAnsi="Wingdings"/>
      <w:b/>
      <w:i w:val="false"/>
      <w:sz w:val="28"/>
      <w:u w:val="none"/>
    </w:rPr>
  </w:style>
  <w:style w:type="character" w:styleId="WW8NumSt4z0" w:customStyle="1">
    <w:name w:val="WW8NumSt4z0"/>
    <w:qFormat/>
    <w:rsid w:val="00ea1435"/>
    <w:rPr>
      <w:rFonts w:ascii="Wingdings" w:hAnsi="Wingdings"/>
      <w:b/>
      <w:i w:val="false"/>
      <w:sz w:val="28"/>
      <w:u w:val="none"/>
    </w:rPr>
  </w:style>
  <w:style w:type="character" w:styleId="WWFontdeparagrafimplicit" w:customStyle="1">
    <w:name w:val="WW-Font de paragraf implicit"/>
    <w:qFormat/>
    <w:rsid w:val="00ea1435"/>
    <w:rPr/>
  </w:style>
  <w:style w:type="character" w:styleId="Bullets" w:customStyle="1">
    <w:name w:val="Bullets"/>
    <w:qFormat/>
    <w:rsid w:val="00ea1435"/>
    <w:rPr>
      <w:rFonts w:ascii="StarSymbol" w:hAnsi="StarSymbol" w:eastAsia="StarSymbol" w:cs="StarSymbol"/>
      <w:sz w:val="18"/>
      <w:szCs w:val="18"/>
    </w:rPr>
  </w:style>
  <w:style w:type="character" w:styleId="WWBullets" w:customStyle="1">
    <w:name w:val="WW-Bullets"/>
    <w:qFormat/>
    <w:rsid w:val="00ea1435"/>
    <w:rPr>
      <w:rFonts w:ascii="StarSymbol" w:hAnsi="StarSymbol" w:eastAsia="StarSymbol" w:cs="StarSymbol"/>
      <w:sz w:val="18"/>
      <w:szCs w:val="18"/>
    </w:rPr>
  </w:style>
  <w:style w:type="character" w:styleId="WWBullets1" w:customStyle="1">
    <w:name w:val="WW-Bullets1"/>
    <w:qFormat/>
    <w:rsid w:val="00ea1435"/>
    <w:rPr>
      <w:rFonts w:ascii="StarSymbol" w:hAnsi="StarSymbol" w:eastAsia="StarSymbol" w:cs="StarSymbol"/>
      <w:sz w:val="18"/>
      <w:szCs w:val="18"/>
    </w:rPr>
  </w:style>
  <w:style w:type="character" w:styleId="WWBullets11" w:customStyle="1">
    <w:name w:val="WW-Bullets11"/>
    <w:qFormat/>
    <w:rsid w:val="00ea1435"/>
    <w:rPr>
      <w:rFonts w:ascii="StarSymbol" w:hAnsi="StarSymbol" w:eastAsia="StarSymbol" w:cs="StarSymbol"/>
      <w:sz w:val="18"/>
      <w:szCs w:val="18"/>
    </w:rPr>
  </w:style>
  <w:style w:type="character" w:styleId="BodyText1CharCharCharCharCharChar" w:customStyle="1">
    <w:name w:val="Body Text1 Char Char Char Char Char Char"/>
    <w:basedOn w:val="DefaultParagraphFont"/>
    <w:qFormat/>
    <w:rsid w:val="00ea1435"/>
    <w:rPr>
      <w:i/>
      <w:sz w:val="32"/>
      <w:lang w:val="en-US" w:eastAsia="en-US" w:bidi="ar-SA"/>
    </w:rPr>
  </w:style>
  <w:style w:type="character" w:styleId="WWWW8Num1z0" w:customStyle="1">
    <w:name w:val="WW-WW8Num1z0"/>
    <w:qFormat/>
    <w:rsid w:val="00ea1435"/>
    <w:rPr>
      <w:rFonts w:ascii="Symbol" w:hAnsi="Symbol" w:cs="StarSymbol"/>
      <w:sz w:val="18"/>
      <w:szCs w:val="18"/>
    </w:rPr>
  </w:style>
  <w:style w:type="character" w:styleId="WWWW8Num1z01" w:customStyle="1">
    <w:name w:val="WW-WW8Num1z01"/>
    <w:qFormat/>
    <w:rsid w:val="00ea1435"/>
    <w:rPr>
      <w:rFonts w:ascii="Symbol" w:hAnsi="Symbol" w:cs="StarSymbol"/>
      <w:sz w:val="18"/>
      <w:szCs w:val="18"/>
    </w:rPr>
  </w:style>
  <w:style w:type="character" w:styleId="WWWW8Num1z011" w:customStyle="1">
    <w:name w:val="WW-WW8Num1z011"/>
    <w:qFormat/>
    <w:rsid w:val="00ea1435"/>
    <w:rPr>
      <w:rFonts w:ascii="Symbol" w:hAnsi="Symbol" w:cs="StarSymbol"/>
      <w:sz w:val="18"/>
      <w:szCs w:val="18"/>
    </w:rPr>
  </w:style>
  <w:style w:type="character" w:styleId="WWWW8Num1z0111" w:customStyle="1">
    <w:name w:val="WW-WW8Num1z0111"/>
    <w:qFormat/>
    <w:rsid w:val="00ea1435"/>
    <w:rPr>
      <w:rFonts w:ascii="Symbol" w:hAnsi="Symbol" w:cs="StarSymbol"/>
      <w:sz w:val="18"/>
      <w:szCs w:val="18"/>
    </w:rPr>
  </w:style>
  <w:style w:type="character" w:styleId="WWWW8Num2z0111" w:customStyle="1">
    <w:name w:val="WW-WW8Num2z0111"/>
    <w:qFormat/>
    <w:rsid w:val="00ea1435"/>
    <w:rPr>
      <w:rFonts w:ascii="Symbol" w:hAnsi="Symbol" w:cs="StarSymbol"/>
      <w:sz w:val="18"/>
      <w:szCs w:val="18"/>
    </w:rPr>
  </w:style>
  <w:style w:type="character" w:styleId="WWAbsatzStandardschriftart111111111" w:customStyle="1">
    <w:name w:val="WW-Absatz-Standardschriftart111111111"/>
    <w:qFormat/>
    <w:rsid w:val="00ea1435"/>
    <w:rPr/>
  </w:style>
  <w:style w:type="character" w:styleId="WWWW8Num2z01111" w:customStyle="1">
    <w:name w:val="WW-WW8Num2z01111"/>
    <w:qFormat/>
    <w:rsid w:val="00ea1435"/>
    <w:rPr>
      <w:rFonts w:ascii="Symbol" w:hAnsi="Symbol" w:cs="StarSymbol"/>
      <w:sz w:val="18"/>
      <w:szCs w:val="18"/>
    </w:rPr>
  </w:style>
  <w:style w:type="character" w:styleId="WWAbsatzStandardschriftart1111111111" w:customStyle="1">
    <w:name w:val="WW-Absatz-Standardschriftart1111111111"/>
    <w:qFormat/>
    <w:rsid w:val="00ea1435"/>
    <w:rPr/>
  </w:style>
  <w:style w:type="character" w:styleId="WWWW8Num2z011111" w:customStyle="1">
    <w:name w:val="WW-WW8Num2z011111"/>
    <w:qFormat/>
    <w:rsid w:val="00ea1435"/>
    <w:rPr>
      <w:rFonts w:ascii="Symbol" w:hAnsi="Symbol" w:cs="StarSymbol"/>
      <w:sz w:val="18"/>
      <w:szCs w:val="18"/>
    </w:rPr>
  </w:style>
  <w:style w:type="character" w:styleId="WWAbsatzStandardschriftart11111111111" w:customStyle="1">
    <w:name w:val="WW-Absatz-Standardschriftart11111111111"/>
    <w:qFormat/>
    <w:rsid w:val="00ea1435"/>
    <w:rPr/>
  </w:style>
  <w:style w:type="character" w:styleId="WWAbsatzStandardschriftart111111111111" w:customStyle="1">
    <w:name w:val="WW-Absatz-Standardschriftart111111111111"/>
    <w:qFormat/>
    <w:rsid w:val="00ea1435"/>
    <w:rPr/>
  </w:style>
  <w:style w:type="character" w:styleId="WWAbsatzStandardschriftart1111111111111" w:customStyle="1">
    <w:name w:val="WW-Absatz-Standardschriftart1111111111111"/>
    <w:qFormat/>
    <w:rsid w:val="00ea1435"/>
    <w:rPr/>
  </w:style>
  <w:style w:type="character" w:styleId="WWAbsatzStandardschriftart11111111111111" w:customStyle="1">
    <w:name w:val="WW-Absatz-Standardschriftart11111111111111"/>
    <w:qFormat/>
    <w:rsid w:val="00ea1435"/>
    <w:rPr/>
  </w:style>
  <w:style w:type="character" w:styleId="WWAbsatzStandardschriftart111111111111111" w:customStyle="1">
    <w:name w:val="WW-Absatz-Standardschriftart111111111111111"/>
    <w:qFormat/>
    <w:rsid w:val="00ea1435"/>
    <w:rPr/>
  </w:style>
  <w:style w:type="character" w:styleId="WWAbsatzStandardschriftart1111111111111111" w:customStyle="1">
    <w:name w:val="WW-Absatz-Standardschriftart1111111111111111"/>
    <w:qFormat/>
    <w:rsid w:val="00ea1435"/>
    <w:rPr/>
  </w:style>
  <w:style w:type="character" w:styleId="WWAbsatzStandardschriftart11111111111111111" w:customStyle="1">
    <w:name w:val="WW-Absatz-Standardschriftart11111111111111111"/>
    <w:qFormat/>
    <w:rsid w:val="00ea1435"/>
    <w:rPr/>
  </w:style>
  <w:style w:type="character" w:styleId="WWWW8Num1z01111" w:customStyle="1">
    <w:name w:val="WW-WW8Num1z01111"/>
    <w:qFormat/>
    <w:rsid w:val="00ea1435"/>
    <w:rPr>
      <w:rFonts w:ascii="Symbol" w:hAnsi="Symbol"/>
    </w:rPr>
  </w:style>
  <w:style w:type="character" w:styleId="WWWW8Num2z0111111" w:customStyle="1">
    <w:name w:val="WW-WW8Num2z0111111"/>
    <w:qFormat/>
    <w:rsid w:val="00ea1435"/>
    <w:rPr>
      <w:rFonts w:ascii="Symbol" w:hAnsi="Symbol"/>
    </w:rPr>
  </w:style>
  <w:style w:type="character" w:styleId="WWBullets111" w:customStyle="1">
    <w:name w:val="WW-Bullets111"/>
    <w:qFormat/>
    <w:rsid w:val="00ea1435"/>
    <w:rPr>
      <w:rFonts w:ascii="StarSymbol" w:hAnsi="StarSymbol" w:eastAsia="StarSymbol" w:cs="StarSymbol"/>
      <w:sz w:val="18"/>
      <w:szCs w:val="18"/>
    </w:rPr>
  </w:style>
  <w:style w:type="character" w:styleId="WWBullets1111" w:customStyle="1">
    <w:name w:val="WW-Bullets1111"/>
    <w:qFormat/>
    <w:rsid w:val="00ea1435"/>
    <w:rPr>
      <w:rFonts w:ascii="StarSymbol" w:hAnsi="StarSymbol" w:eastAsia="StarSymbol" w:cs="StarSymbol"/>
      <w:sz w:val="18"/>
      <w:szCs w:val="18"/>
    </w:rPr>
  </w:style>
  <w:style w:type="character" w:styleId="WWBullets11111" w:customStyle="1">
    <w:name w:val="WW-Bullets11111"/>
    <w:qFormat/>
    <w:rsid w:val="00ea1435"/>
    <w:rPr>
      <w:rFonts w:ascii="StarSymbol" w:hAnsi="StarSymbol" w:eastAsia="StarSymbol" w:cs="StarSymbol"/>
      <w:sz w:val="18"/>
      <w:szCs w:val="18"/>
    </w:rPr>
  </w:style>
  <w:style w:type="character" w:styleId="WWBullets111111" w:customStyle="1">
    <w:name w:val="WW-Bullets111111"/>
    <w:qFormat/>
    <w:rsid w:val="00ea1435"/>
    <w:rPr>
      <w:rFonts w:ascii="StarSymbol" w:hAnsi="StarSymbol" w:eastAsia="StarSymbol" w:cs="StarSymbol"/>
      <w:sz w:val="18"/>
      <w:szCs w:val="18"/>
    </w:rPr>
  </w:style>
  <w:style w:type="character" w:styleId="WWBullets1111111" w:customStyle="1">
    <w:name w:val="WW-Bullets1111111"/>
    <w:qFormat/>
    <w:rsid w:val="00ea1435"/>
    <w:rPr>
      <w:rFonts w:ascii="StarSymbol" w:hAnsi="StarSymbol" w:eastAsia="StarSymbol" w:cs="StarSymbol"/>
      <w:sz w:val="18"/>
      <w:szCs w:val="18"/>
    </w:rPr>
  </w:style>
  <w:style w:type="character" w:styleId="WWBullets11111111" w:customStyle="1">
    <w:name w:val="WW-Bullets11111111"/>
    <w:qFormat/>
    <w:rsid w:val="00ea1435"/>
    <w:rPr>
      <w:rFonts w:ascii="StarSymbol" w:hAnsi="StarSymbol" w:eastAsia="StarSymbol" w:cs="StarSymbol"/>
      <w:sz w:val="18"/>
      <w:szCs w:val="18"/>
    </w:rPr>
  </w:style>
  <w:style w:type="character" w:styleId="WWBullets111111111" w:customStyle="1">
    <w:name w:val="WW-Bullets111111111"/>
    <w:qFormat/>
    <w:rsid w:val="00ea1435"/>
    <w:rPr>
      <w:rFonts w:ascii="StarSymbol" w:hAnsi="StarSymbol" w:eastAsia="StarSymbol" w:cs="StarSymbol"/>
      <w:sz w:val="18"/>
      <w:szCs w:val="18"/>
    </w:rPr>
  </w:style>
  <w:style w:type="character" w:styleId="WWBullets1111111111" w:customStyle="1">
    <w:name w:val="WW-Bullets1111111111"/>
    <w:qFormat/>
    <w:rsid w:val="00ea1435"/>
    <w:rPr>
      <w:rFonts w:ascii="StarSymbol" w:hAnsi="StarSymbol" w:eastAsia="StarSymbol" w:cs="StarSymbol"/>
      <w:sz w:val="18"/>
      <w:szCs w:val="18"/>
    </w:rPr>
  </w:style>
  <w:style w:type="character" w:styleId="WWBullets11111111111" w:customStyle="1">
    <w:name w:val="WW-Bullets11111111111"/>
    <w:qFormat/>
    <w:rsid w:val="00ea1435"/>
    <w:rPr>
      <w:rFonts w:ascii="StarSymbol" w:hAnsi="StarSymbol" w:eastAsia="StarSymbol" w:cs="StarSymbol"/>
      <w:sz w:val="18"/>
      <w:szCs w:val="18"/>
    </w:rPr>
  </w:style>
  <w:style w:type="character" w:styleId="WWWW8Num2z01111111" w:customStyle="1">
    <w:name w:val="WW-WW8Num2z01111111"/>
    <w:qFormat/>
    <w:rsid w:val="00ea1435"/>
    <w:rPr>
      <w:rFonts w:ascii="Symbol" w:hAnsi="Symbol" w:cs="StarSymbol"/>
      <w:sz w:val="18"/>
      <w:szCs w:val="18"/>
    </w:rPr>
  </w:style>
  <w:style w:type="character" w:styleId="WWWW8Num2z011111111" w:customStyle="1">
    <w:name w:val="WW-WW8Num2z011111111"/>
    <w:qFormat/>
    <w:rsid w:val="00ea1435"/>
    <w:rPr>
      <w:rFonts w:ascii="Symbol" w:hAnsi="Symbol" w:cs="StarSymbol"/>
      <w:sz w:val="18"/>
      <w:szCs w:val="18"/>
    </w:rPr>
  </w:style>
  <w:style w:type="character" w:styleId="WWWW8Num2z0111111111" w:customStyle="1">
    <w:name w:val="WW-WW8Num2z0111111111"/>
    <w:qFormat/>
    <w:rsid w:val="00ea1435"/>
    <w:rPr>
      <w:rFonts w:ascii="Symbol" w:hAnsi="Symbol" w:cs="StarSymbol"/>
      <w:sz w:val="18"/>
      <w:szCs w:val="18"/>
    </w:rPr>
  </w:style>
  <w:style w:type="character" w:styleId="WWWW8Num2z01111111111" w:customStyle="1">
    <w:name w:val="WW-WW8Num2z01111111111"/>
    <w:qFormat/>
    <w:rsid w:val="00ea1435"/>
    <w:rPr>
      <w:rFonts w:ascii="Symbol" w:hAnsi="Symbol"/>
    </w:rPr>
  </w:style>
  <w:style w:type="character" w:styleId="BodyTextCharChar" w:customStyle="1">
    <w:name w:val="Body Text Char Char"/>
    <w:basedOn w:val="DefaultParagraphFont"/>
    <w:qFormat/>
    <w:rsid w:val="00ea1435"/>
    <w:rPr>
      <w:i/>
      <w:sz w:val="32"/>
      <w:lang w:val="en-US" w:eastAsia="en-US" w:bidi="ar-SA"/>
    </w:rPr>
  </w:style>
  <w:style w:type="character" w:styleId="WWWW8Num2z011111111111" w:customStyle="1">
    <w:name w:val="WW-WW8Num2z011111111111"/>
    <w:qFormat/>
    <w:rsid w:val="00ea1435"/>
    <w:rPr>
      <w:rFonts w:ascii="Symbol" w:hAnsi="Symbol" w:cs="StarSymbol"/>
      <w:sz w:val="18"/>
      <w:szCs w:val="18"/>
    </w:rPr>
  </w:style>
  <w:style w:type="character" w:styleId="WWAbsatzStandardschriftart111111111111111111" w:customStyle="1">
    <w:name w:val="WW-Absatz-Standardschriftart111111111111111111"/>
    <w:qFormat/>
    <w:rsid w:val="00ea1435"/>
    <w:rPr/>
  </w:style>
  <w:style w:type="character" w:styleId="WWWW8Num2z0111111111111" w:customStyle="1">
    <w:name w:val="WW-WW8Num2z0111111111111"/>
    <w:qFormat/>
    <w:rsid w:val="00ea1435"/>
    <w:rPr>
      <w:rFonts w:ascii="Symbol" w:hAnsi="Symbol"/>
    </w:rPr>
  </w:style>
  <w:style w:type="character" w:styleId="WWBullets111111111111" w:customStyle="1">
    <w:name w:val="WW-Bullets111111111111"/>
    <w:qFormat/>
    <w:rsid w:val="00ea1435"/>
    <w:rPr>
      <w:rFonts w:ascii="StarSymbol" w:hAnsi="StarSymbol" w:eastAsia="StarSymbol" w:cs="StarSymbol"/>
      <w:sz w:val="18"/>
      <w:szCs w:val="18"/>
    </w:rPr>
  </w:style>
  <w:style w:type="character" w:styleId="BodyText1CharCharCharCharChar1Char1Ch" w:customStyle="1">
    <w:name w:val="Body Text1 Char Char Char Char Char1 Char1 Ch"/>
    <w:basedOn w:val="DefaultParagraphFont"/>
    <w:qFormat/>
    <w:rsid w:val="00ea1435"/>
    <w:rPr>
      <w:i/>
      <w:sz w:val="32"/>
      <w:lang w:val="en-US" w:eastAsia="en-US" w:bidi="ar-SA"/>
    </w:rPr>
  </w:style>
  <w:style w:type="character" w:styleId="NormalWebCharChar1CharCharChar" w:customStyle="1">
    <w:name w:val="Normal (Web) Char Char1 Char Char Char"/>
    <w:basedOn w:val="DefaultParagraphFont"/>
    <w:qFormat/>
    <w:rsid w:val="00ea1435"/>
    <w:rPr>
      <w:sz w:val="24"/>
      <w:szCs w:val="24"/>
      <w:lang w:val="en-US" w:eastAsia="en-US" w:bidi="ar-SA"/>
    </w:rPr>
  </w:style>
  <w:style w:type="character" w:styleId="NumberingSymbols" w:customStyle="1">
    <w:name w:val="Numbering Symbols"/>
    <w:qFormat/>
    <w:rsid w:val="00ea1435"/>
    <w:rPr/>
  </w:style>
  <w:style w:type="character" w:styleId="WWDefaultParagraphFont" w:customStyle="1">
    <w:name w:val="WW-Default Paragraph Font"/>
    <w:qFormat/>
    <w:rsid w:val="00ea1435"/>
    <w:rPr/>
  </w:style>
  <w:style w:type="character" w:styleId="AbsatzStandardschriftart" w:customStyle="1">
    <w:name w:val="Absatz-Standardschriftart"/>
    <w:qFormat/>
    <w:rsid w:val="00ea1435"/>
    <w:rPr/>
  </w:style>
  <w:style w:type="character" w:styleId="WWDefaultParagraphFont1" w:customStyle="1">
    <w:name w:val="WW-Default Paragraph Font1"/>
    <w:qFormat/>
    <w:rsid w:val="00ea1435"/>
    <w:rPr/>
  </w:style>
  <w:style w:type="character" w:styleId="WWDefaultParagraphFont2" w:customStyle="1">
    <w:name w:val="WW-Default Paragraph Font2"/>
    <w:qFormat/>
    <w:rsid w:val="00ea1435"/>
    <w:rPr/>
  </w:style>
  <w:style w:type="character" w:styleId="WWAbsatzStandardschriftart1111111111111111111" w:customStyle="1">
    <w:name w:val="WW-Absatz-Standardschriftart1111111111111111111"/>
    <w:qFormat/>
    <w:rsid w:val="00ea1435"/>
    <w:rPr/>
  </w:style>
  <w:style w:type="character" w:styleId="WWAbsatzStandardschriftart11111111111111111111" w:customStyle="1">
    <w:name w:val="WW-Absatz-Standardschriftart11111111111111111111"/>
    <w:qFormat/>
    <w:rsid w:val="00ea1435"/>
    <w:rPr/>
  </w:style>
  <w:style w:type="character" w:styleId="WWAbsatzStandardschriftart111111111111111111111" w:customStyle="1">
    <w:name w:val="WW-Absatz-Standardschriftart111111111111111111111"/>
    <w:qFormat/>
    <w:rsid w:val="00ea1435"/>
    <w:rPr/>
  </w:style>
  <w:style w:type="character" w:styleId="WWWW8Num1z011111" w:customStyle="1">
    <w:name w:val="WW-WW8Num1z011111"/>
    <w:qFormat/>
    <w:rsid w:val="00ea1435"/>
    <w:rPr>
      <w:rFonts w:ascii="Symbol" w:hAnsi="Symbol"/>
    </w:rPr>
  </w:style>
  <w:style w:type="character" w:styleId="WWBullets1111111111111" w:customStyle="1">
    <w:name w:val="WW-Bullets1111111111111"/>
    <w:qFormat/>
    <w:rsid w:val="00ea1435"/>
    <w:rPr>
      <w:rFonts w:ascii="StarSymbol" w:hAnsi="StarSymbol" w:eastAsia="StarSymbol" w:cs="StarSymbol"/>
      <w:sz w:val="18"/>
      <w:szCs w:val="18"/>
    </w:rPr>
  </w:style>
  <w:style w:type="character" w:styleId="WWBullets11111111111111" w:customStyle="1">
    <w:name w:val="WW-Bullets11111111111111"/>
    <w:qFormat/>
    <w:rsid w:val="00ea1435"/>
    <w:rPr>
      <w:rFonts w:ascii="StarSymbol" w:hAnsi="StarSymbol" w:eastAsia="StarSymbol" w:cs="StarSymbol"/>
      <w:sz w:val="18"/>
      <w:szCs w:val="18"/>
    </w:rPr>
  </w:style>
  <w:style w:type="character" w:styleId="WWBullets111111111111111" w:customStyle="1">
    <w:name w:val="WW-Bullets111111111111111"/>
    <w:qFormat/>
    <w:rsid w:val="00ea1435"/>
    <w:rPr>
      <w:rFonts w:ascii="StarSymbol" w:hAnsi="StarSymbol" w:eastAsia="StarSymbol" w:cs="StarSymbol"/>
      <w:sz w:val="18"/>
      <w:szCs w:val="18"/>
    </w:rPr>
  </w:style>
  <w:style w:type="character" w:styleId="WWBullets1111111111111111" w:customStyle="1">
    <w:name w:val="WW-Bullets1111111111111111"/>
    <w:qFormat/>
    <w:rsid w:val="00ea1435"/>
    <w:rPr>
      <w:rFonts w:ascii="StarSymbol" w:hAnsi="StarSymbol" w:eastAsia="StarSymbol" w:cs="StarSymbol"/>
      <w:sz w:val="18"/>
      <w:szCs w:val="18"/>
    </w:rPr>
  </w:style>
  <w:style w:type="character" w:styleId="WWBullets11111111111111111" w:customStyle="1">
    <w:name w:val="WW-Bullets11111111111111111"/>
    <w:qFormat/>
    <w:rsid w:val="00ea1435"/>
    <w:rPr>
      <w:rFonts w:ascii="StarSymbol" w:hAnsi="StarSymbol" w:eastAsia="StarSymbol" w:cs="StarSymbol"/>
      <w:sz w:val="18"/>
      <w:szCs w:val="18"/>
    </w:rPr>
  </w:style>
  <w:style w:type="character" w:styleId="WW8Num4z2" w:customStyle="1">
    <w:name w:val="WW8Num4z2"/>
    <w:qFormat/>
    <w:rsid w:val="00ea1435"/>
    <w:rPr>
      <w:rFonts w:ascii="Wingdings" w:hAnsi="Wingdings"/>
    </w:rPr>
  </w:style>
  <w:style w:type="character" w:styleId="WWWW8Num4z0" w:customStyle="1">
    <w:name w:val="WW-WW8Num4z0"/>
    <w:qFormat/>
    <w:rsid w:val="00ea1435"/>
    <w:rPr>
      <w:rFonts w:ascii="Wingdings" w:hAnsi="Wingdings"/>
    </w:rPr>
  </w:style>
  <w:style w:type="character" w:styleId="WWWW8Num4z1" w:customStyle="1">
    <w:name w:val="WW-WW8Num4z1"/>
    <w:qFormat/>
    <w:rsid w:val="00ea1435"/>
    <w:rPr>
      <w:rFonts w:ascii="Courier New" w:hAnsi="Courier New"/>
    </w:rPr>
  </w:style>
  <w:style w:type="character" w:styleId="WWWW8Num4z3" w:customStyle="1">
    <w:name w:val="WW-WW8Num4z3"/>
    <w:qFormat/>
    <w:rsid w:val="00ea1435"/>
    <w:rPr>
      <w:rFonts w:ascii="Symbol" w:hAnsi="Symbol"/>
    </w:rPr>
  </w:style>
  <w:style w:type="character" w:styleId="BodyTextChar4" w:customStyle="1">
    <w:name w:val="Body Text Char4"/>
    <w:basedOn w:val="DefaultParagraphFont"/>
    <w:qFormat/>
    <w:rsid w:val="00ea1435"/>
    <w:rPr>
      <w:i/>
      <w:sz w:val="32"/>
      <w:lang w:val="en-US" w:eastAsia="en-US" w:bidi="ar-SA"/>
    </w:rPr>
  </w:style>
  <w:style w:type="character" w:styleId="BodyTextChar4Char" w:customStyle="1">
    <w:name w:val="Body Text Char4 Char"/>
    <w:basedOn w:val="DefaultParagraphFont"/>
    <w:qFormat/>
    <w:rsid w:val="00ea1435"/>
    <w:rPr>
      <w:i/>
      <w:sz w:val="32"/>
      <w:lang w:val="en-US" w:eastAsia="en-US" w:bidi="ar-SA"/>
    </w:rPr>
  </w:style>
  <w:style w:type="character" w:styleId="NormalWebCharCharCharCharCharCharCharCh" w:customStyle="1">
    <w:name w:val="Normal (Web) Char Char Char Char Char Char Char Ch"/>
    <w:basedOn w:val="DefaultParagraphFont"/>
    <w:qFormat/>
    <w:rsid w:val="00ea1435"/>
    <w:rPr>
      <w:sz w:val="24"/>
      <w:szCs w:val="24"/>
      <w:lang w:val="en-US" w:eastAsia="en-US" w:bidi="ar-SA"/>
    </w:rPr>
  </w:style>
  <w:style w:type="character" w:styleId="BodyTextChar3CharChar" w:customStyle="1">
    <w:name w:val="Body Text Char3 Char Char"/>
    <w:basedOn w:val="DefaultParagraphFont"/>
    <w:qFormat/>
    <w:rsid w:val="00ea1435"/>
    <w:rPr>
      <w:i/>
      <w:sz w:val="32"/>
      <w:lang w:val="en-US" w:eastAsia="en-US" w:bidi="ar-SA"/>
    </w:rPr>
  </w:style>
  <w:style w:type="character" w:styleId="Normalnegrumare1" w:customStyle="1">
    <w:name w:val="normalnegrumare1"/>
    <w:basedOn w:val="DefaultParagraphFont"/>
    <w:qFormat/>
    <w:rsid w:val="00ea1435"/>
    <w:rPr>
      <w:rFonts w:ascii="Arial" w:hAnsi="Arial" w:cs="Arial"/>
      <w:strike w:val="false"/>
      <w:dstrike w:val="false"/>
      <w:color w:val="000000"/>
      <w:sz w:val="18"/>
      <w:szCs w:val="18"/>
      <w:u w:val="none"/>
      <w:effect w:val="none"/>
    </w:rPr>
  </w:style>
  <w:style w:type="character" w:styleId="BodyTextChar5" w:customStyle="1">
    <w:name w:val="Body Text Char5"/>
    <w:basedOn w:val="DefaultParagraphFont"/>
    <w:qFormat/>
    <w:rsid w:val="00ea1435"/>
    <w:rPr>
      <w:i/>
      <w:sz w:val="32"/>
      <w:lang w:val="en-US" w:eastAsia="en-US" w:bidi="ar-SA"/>
    </w:rPr>
  </w:style>
  <w:style w:type="character" w:styleId="HTMLTypewriter3" w:customStyle="1">
    <w:name w:val="HTML Typewriter3"/>
    <w:basedOn w:val="DefaultParagraphFont"/>
    <w:qFormat/>
    <w:rsid w:val="00ea1435"/>
    <w:rPr>
      <w:rFonts w:ascii="Courier New" w:hAnsi="Courier New" w:eastAsia="Times New Roman" w:cs="Courier New"/>
      <w:sz w:val="20"/>
      <w:szCs w:val="20"/>
    </w:rPr>
  </w:style>
  <w:style w:type="character" w:styleId="Char1Char" w:customStyle="1">
    <w:name w:val="Char1 Char"/>
    <w:basedOn w:val="DefaultParagraphFont"/>
    <w:qFormat/>
    <w:rsid w:val="00ea1435"/>
    <w:rPr>
      <w:color w:val="003366"/>
      <w:sz w:val="24"/>
      <w:szCs w:val="24"/>
      <w:lang w:val="en-US" w:eastAsia="en-US" w:bidi="ar-SA"/>
    </w:rPr>
  </w:style>
  <w:style w:type="character" w:styleId="BodyTextChar7" w:customStyle="1">
    <w:name w:val="Body Text Char7"/>
    <w:basedOn w:val="DefaultParagraphFont"/>
    <w:qFormat/>
    <w:rsid w:val="00ea1435"/>
    <w:rPr>
      <w:i/>
      <w:sz w:val="32"/>
      <w:lang w:val="en-US" w:eastAsia="en-US" w:bidi="ar-SA"/>
    </w:rPr>
  </w:style>
  <w:style w:type="character" w:styleId="BodyText1CharCharCharCharChar4CharChar1" w:customStyle="1">
    <w:name w:val="Body Text1 Char Char Char Char Char4 Char Char1"/>
    <w:basedOn w:val="DefaultParagraphFont"/>
    <w:qFormat/>
    <w:rsid w:val="00ea1435"/>
    <w:rPr>
      <w:i/>
      <w:sz w:val="32"/>
      <w:lang w:val="en-US" w:eastAsia="en-US" w:bidi="ar-SA"/>
    </w:rPr>
  </w:style>
  <w:style w:type="character" w:styleId="NormalWebCharCharCharCharCharCharCharChar" w:customStyle="1">
    <w:name w:val="Normal (Web) Char Char Char Char Char Char Char Char"/>
    <w:basedOn w:val="DefaultParagraphFont"/>
    <w:qFormat/>
    <w:rsid w:val="00ea1435"/>
    <w:rPr>
      <w:sz w:val="24"/>
      <w:szCs w:val="24"/>
      <w:lang w:val="en-US" w:eastAsia="en-US" w:bidi="ar-SA"/>
    </w:rPr>
  </w:style>
  <w:style w:type="character" w:styleId="NormalWebCharCharChar1CharChar2CharCharCharChar" w:customStyle="1">
    <w:name w:val="Normal (Web) Char Char Char1 Char Char2 Char Char Char Char"/>
    <w:basedOn w:val="DefaultParagraphFont"/>
    <w:qFormat/>
    <w:rsid w:val="00ea1435"/>
    <w:rPr>
      <w:sz w:val="24"/>
      <w:szCs w:val="24"/>
      <w:lang w:val="en-US" w:eastAsia="en-US" w:bidi="ar-SA"/>
    </w:rPr>
  </w:style>
  <w:style w:type="character" w:styleId="NormalWebChar2Char1" w:customStyle="1">
    <w:name w:val="Normal (Web) Char2 Char1"/>
    <w:basedOn w:val="DefaultParagraphFont"/>
    <w:qFormat/>
    <w:rsid w:val="00ea1435"/>
    <w:rPr>
      <w:sz w:val="24"/>
      <w:szCs w:val="24"/>
      <w:lang w:val="en-US" w:eastAsia="en-US" w:bidi="ar-SA"/>
    </w:rPr>
  </w:style>
  <w:style w:type="character" w:styleId="NormalWebCharChar3" w:customStyle="1">
    <w:name w:val="Normal (Web) Char Char3"/>
    <w:basedOn w:val="DefaultParagraphFont"/>
    <w:qFormat/>
    <w:rsid w:val="00ea1435"/>
    <w:rPr>
      <w:sz w:val="24"/>
      <w:szCs w:val="24"/>
      <w:lang w:val="en-US" w:eastAsia="en-US" w:bidi="ar-SA"/>
    </w:rPr>
  </w:style>
  <w:style w:type="character" w:styleId="MessageHeaderChar" w:customStyle="1">
    <w:name w:val="Message Header Char"/>
    <w:basedOn w:val="DefaultParagraphFont"/>
    <w:link w:val="MessageHeader"/>
    <w:qFormat/>
    <w:rsid w:val="00ea1435"/>
    <w:rPr>
      <w:rFonts w:ascii="Arial" w:hAnsi="Arial" w:eastAsia="Times New Roman" w:cs="Times New Roman"/>
      <w:spacing w:val="-5"/>
      <w:sz w:val="26"/>
      <w:szCs w:val="20"/>
    </w:rPr>
  </w:style>
  <w:style w:type="character" w:styleId="MessageHeaderLabel" w:customStyle="1">
    <w:name w:val="Message Header Label"/>
    <w:qFormat/>
    <w:rsid w:val="00ea1435"/>
    <w:rPr>
      <w:rFonts w:ascii="Arial Black" w:hAnsi="Arial Black"/>
      <w:sz w:val="18"/>
    </w:rPr>
  </w:style>
  <w:style w:type="character" w:styleId="WW8Num1z1" w:customStyle="1">
    <w:name w:val="WW8Num1z1"/>
    <w:qFormat/>
    <w:rsid w:val="00ea1435"/>
    <w:rPr>
      <w:rFonts w:ascii="Courier New" w:hAnsi="Courier New"/>
    </w:rPr>
  </w:style>
  <w:style w:type="character" w:styleId="WW8Num1z2" w:customStyle="1">
    <w:name w:val="WW8Num1z2"/>
    <w:qFormat/>
    <w:rsid w:val="00ea1435"/>
    <w:rPr>
      <w:rFonts w:ascii="Wingdings" w:hAnsi="Wingdings"/>
    </w:rPr>
  </w:style>
  <w:style w:type="character" w:styleId="WW8Num3z0" w:customStyle="1">
    <w:name w:val="WW8Num3z0"/>
    <w:qFormat/>
    <w:rsid w:val="00ea1435"/>
    <w:rPr>
      <w:rFonts w:ascii="Symbol" w:hAnsi="Symbol"/>
    </w:rPr>
  </w:style>
  <w:style w:type="character" w:styleId="WW8Num3z1" w:customStyle="1">
    <w:name w:val="WW8Num3z1"/>
    <w:qFormat/>
    <w:rsid w:val="00ea1435"/>
    <w:rPr>
      <w:rFonts w:ascii="Courier New" w:hAnsi="Courier New"/>
    </w:rPr>
  </w:style>
  <w:style w:type="character" w:styleId="WW8Num3z2" w:customStyle="1">
    <w:name w:val="WW8Num3z2"/>
    <w:qFormat/>
    <w:rsid w:val="00ea1435"/>
    <w:rPr>
      <w:rFonts w:ascii="Wingdings" w:hAnsi="Wingdings"/>
    </w:rPr>
  </w:style>
  <w:style w:type="character" w:styleId="WW8Num5z2" w:customStyle="1">
    <w:name w:val="WW8Num5z2"/>
    <w:qFormat/>
    <w:rsid w:val="00ea1435"/>
    <w:rPr>
      <w:rFonts w:ascii="Wingdings" w:hAnsi="Wingdings"/>
    </w:rPr>
  </w:style>
  <w:style w:type="character" w:styleId="WW8Num6z0" w:customStyle="1">
    <w:name w:val="WW8Num6z0"/>
    <w:qFormat/>
    <w:rsid w:val="00ea1435"/>
    <w:rPr>
      <w:rFonts w:ascii="Symbol" w:hAnsi="Symbol"/>
    </w:rPr>
  </w:style>
  <w:style w:type="character" w:styleId="WW8Num6z1" w:customStyle="1">
    <w:name w:val="WW8Num6z1"/>
    <w:qFormat/>
    <w:rsid w:val="00ea1435"/>
    <w:rPr>
      <w:rFonts w:ascii="Courier New" w:hAnsi="Courier New"/>
    </w:rPr>
  </w:style>
  <w:style w:type="character" w:styleId="WW8Num6z2" w:customStyle="1">
    <w:name w:val="WW8Num6z2"/>
    <w:qFormat/>
    <w:rsid w:val="00ea1435"/>
    <w:rPr>
      <w:rFonts w:ascii="Wingdings" w:hAnsi="Wingdings"/>
    </w:rPr>
  </w:style>
  <w:style w:type="character" w:styleId="WW8Num9z0" w:customStyle="1">
    <w:name w:val="WW8Num9z0"/>
    <w:qFormat/>
    <w:rsid w:val="00ea1435"/>
    <w:rPr>
      <w:rFonts w:ascii="Symbol" w:hAnsi="Symbol"/>
    </w:rPr>
  </w:style>
  <w:style w:type="character" w:styleId="WW8Num9z1" w:customStyle="1">
    <w:name w:val="WW8Num9z1"/>
    <w:qFormat/>
    <w:rsid w:val="00ea1435"/>
    <w:rPr>
      <w:rFonts w:ascii="Courier New" w:hAnsi="Courier New"/>
    </w:rPr>
  </w:style>
  <w:style w:type="character" w:styleId="WW8Num9z2" w:customStyle="1">
    <w:name w:val="WW8Num9z2"/>
    <w:qFormat/>
    <w:rsid w:val="00ea1435"/>
    <w:rPr>
      <w:rFonts w:ascii="Wingdings" w:hAnsi="Wingdings"/>
    </w:rPr>
  </w:style>
  <w:style w:type="character" w:styleId="WW8Num12z0" w:customStyle="1">
    <w:name w:val="WW8Num12z0"/>
    <w:qFormat/>
    <w:rsid w:val="00ea1435"/>
    <w:rPr>
      <w:rFonts w:ascii="Wingdings" w:hAnsi="Wingdings"/>
    </w:rPr>
  </w:style>
  <w:style w:type="character" w:styleId="WW8Num12z1" w:customStyle="1">
    <w:name w:val="WW8Num12z1"/>
    <w:qFormat/>
    <w:rsid w:val="00ea1435"/>
    <w:rPr>
      <w:rFonts w:ascii="Courier New" w:hAnsi="Courier New"/>
    </w:rPr>
  </w:style>
  <w:style w:type="character" w:styleId="WW8Num12z3" w:customStyle="1">
    <w:name w:val="WW8Num12z3"/>
    <w:qFormat/>
    <w:rsid w:val="00ea1435"/>
    <w:rPr>
      <w:rFonts w:ascii="Symbol" w:hAnsi="Symbol"/>
    </w:rPr>
  </w:style>
  <w:style w:type="character" w:styleId="WW8Num13z0" w:customStyle="1">
    <w:name w:val="WW8Num13z0"/>
    <w:qFormat/>
    <w:rsid w:val="00ea1435"/>
    <w:rPr>
      <w:rFonts w:ascii="Wingdings" w:hAnsi="Wingdings"/>
    </w:rPr>
  </w:style>
  <w:style w:type="character" w:styleId="WW8Num13z1" w:customStyle="1">
    <w:name w:val="WW8Num13z1"/>
    <w:qFormat/>
    <w:rsid w:val="00ea1435"/>
    <w:rPr>
      <w:rFonts w:ascii="Courier New" w:hAnsi="Courier New"/>
    </w:rPr>
  </w:style>
  <w:style w:type="character" w:styleId="WW8Num13z3" w:customStyle="1">
    <w:name w:val="WW8Num13z3"/>
    <w:qFormat/>
    <w:rsid w:val="00ea1435"/>
    <w:rPr>
      <w:rFonts w:ascii="Symbol" w:hAnsi="Symbol"/>
    </w:rPr>
  </w:style>
  <w:style w:type="character" w:styleId="WW8Num14z0" w:customStyle="1">
    <w:name w:val="WW8Num14z0"/>
    <w:qFormat/>
    <w:rsid w:val="00ea1435"/>
    <w:rPr>
      <w:rFonts w:ascii="Symbol" w:hAnsi="Symbol"/>
    </w:rPr>
  </w:style>
  <w:style w:type="character" w:styleId="WW8Num14z1" w:customStyle="1">
    <w:name w:val="WW8Num14z1"/>
    <w:qFormat/>
    <w:rsid w:val="00ea1435"/>
    <w:rPr>
      <w:rFonts w:ascii="Courier New" w:hAnsi="Courier New"/>
    </w:rPr>
  </w:style>
  <w:style w:type="character" w:styleId="WW8Num14z2" w:customStyle="1">
    <w:name w:val="WW8Num14z2"/>
    <w:qFormat/>
    <w:rsid w:val="00ea1435"/>
    <w:rPr>
      <w:rFonts w:ascii="Wingdings" w:hAnsi="Wingdings"/>
    </w:rPr>
  </w:style>
  <w:style w:type="character" w:styleId="WW8Num15z0" w:customStyle="1">
    <w:name w:val="WW8Num15z0"/>
    <w:qFormat/>
    <w:rsid w:val="00ea1435"/>
    <w:rPr>
      <w:rFonts w:ascii="Symbol" w:hAnsi="Symbol"/>
    </w:rPr>
  </w:style>
  <w:style w:type="character" w:styleId="WW8Num15z1" w:customStyle="1">
    <w:name w:val="WW8Num15z1"/>
    <w:qFormat/>
    <w:rsid w:val="00ea1435"/>
    <w:rPr>
      <w:rFonts w:ascii="Courier New" w:hAnsi="Courier New"/>
    </w:rPr>
  </w:style>
  <w:style w:type="character" w:styleId="WW8Num15z2" w:customStyle="1">
    <w:name w:val="WW8Num15z2"/>
    <w:qFormat/>
    <w:rsid w:val="00ea1435"/>
    <w:rPr>
      <w:rFonts w:ascii="Wingdings" w:hAnsi="Wingdings"/>
    </w:rPr>
  </w:style>
  <w:style w:type="character" w:styleId="WW8Num16z0" w:customStyle="1">
    <w:name w:val="WW8Num16z0"/>
    <w:qFormat/>
    <w:rsid w:val="00ea1435"/>
    <w:rPr>
      <w:rFonts w:ascii="Wingdings" w:hAnsi="Wingdings"/>
    </w:rPr>
  </w:style>
  <w:style w:type="character" w:styleId="WW8Num16z1" w:customStyle="1">
    <w:name w:val="WW8Num16z1"/>
    <w:qFormat/>
    <w:rsid w:val="00ea1435"/>
    <w:rPr>
      <w:rFonts w:ascii="Courier New" w:hAnsi="Courier New"/>
    </w:rPr>
  </w:style>
  <w:style w:type="character" w:styleId="WW8Num16z3" w:customStyle="1">
    <w:name w:val="WW8Num16z3"/>
    <w:qFormat/>
    <w:rsid w:val="00ea1435"/>
    <w:rPr>
      <w:rFonts w:ascii="Symbol" w:hAnsi="Symbol"/>
    </w:rPr>
  </w:style>
  <w:style w:type="character" w:styleId="WW8Num17z0" w:customStyle="1">
    <w:name w:val="WW8Num17z0"/>
    <w:qFormat/>
    <w:rsid w:val="00ea1435"/>
    <w:rPr>
      <w:rFonts w:ascii="Wingdings" w:hAnsi="Wingdings"/>
    </w:rPr>
  </w:style>
  <w:style w:type="character" w:styleId="WW8Num17z1" w:customStyle="1">
    <w:name w:val="WW8Num17z1"/>
    <w:qFormat/>
    <w:rsid w:val="00ea1435"/>
    <w:rPr>
      <w:rFonts w:ascii="Courier New" w:hAnsi="Courier New" w:cs="Courier New"/>
    </w:rPr>
  </w:style>
  <w:style w:type="character" w:styleId="WW8Num17z3" w:customStyle="1">
    <w:name w:val="WW8Num17z3"/>
    <w:qFormat/>
    <w:rsid w:val="00ea1435"/>
    <w:rPr>
      <w:rFonts w:ascii="Symbol" w:hAnsi="Symbol"/>
    </w:rPr>
  </w:style>
  <w:style w:type="character" w:styleId="WW8Num18z0" w:customStyle="1">
    <w:name w:val="WW8Num18z0"/>
    <w:qFormat/>
    <w:rsid w:val="00ea1435"/>
    <w:rPr>
      <w:rFonts w:ascii="Symbol" w:hAnsi="Symbol"/>
    </w:rPr>
  </w:style>
  <w:style w:type="character" w:styleId="WW8Num18z1" w:customStyle="1">
    <w:name w:val="WW8Num18z1"/>
    <w:qFormat/>
    <w:rsid w:val="00ea1435"/>
    <w:rPr>
      <w:rFonts w:ascii="Courier New" w:hAnsi="Courier New"/>
    </w:rPr>
  </w:style>
  <w:style w:type="character" w:styleId="WW8Num18z2" w:customStyle="1">
    <w:name w:val="WW8Num18z2"/>
    <w:qFormat/>
    <w:rsid w:val="00ea1435"/>
    <w:rPr>
      <w:rFonts w:ascii="Wingdings" w:hAnsi="Wingdings"/>
    </w:rPr>
  </w:style>
  <w:style w:type="character" w:styleId="WW8Num20z0" w:customStyle="1">
    <w:name w:val="WW8Num20z0"/>
    <w:qFormat/>
    <w:rsid w:val="00ea1435"/>
    <w:rPr>
      <w:rFonts w:ascii="Symbol" w:hAnsi="Symbol"/>
    </w:rPr>
  </w:style>
  <w:style w:type="character" w:styleId="WW8Num20z1" w:customStyle="1">
    <w:name w:val="WW8Num20z1"/>
    <w:qFormat/>
    <w:rsid w:val="00ea1435"/>
    <w:rPr>
      <w:rFonts w:ascii="Courier New" w:hAnsi="Courier New"/>
    </w:rPr>
  </w:style>
  <w:style w:type="character" w:styleId="WW8Num20z2" w:customStyle="1">
    <w:name w:val="WW8Num20z2"/>
    <w:qFormat/>
    <w:rsid w:val="00ea1435"/>
    <w:rPr>
      <w:rFonts w:ascii="Wingdings" w:hAnsi="Wingdings"/>
    </w:rPr>
  </w:style>
  <w:style w:type="character" w:styleId="WW8Num21z0" w:customStyle="1">
    <w:name w:val="WW8Num21z0"/>
    <w:qFormat/>
    <w:rsid w:val="00ea1435"/>
    <w:rPr>
      <w:rFonts w:ascii="Symbol" w:hAnsi="Symbol"/>
    </w:rPr>
  </w:style>
  <w:style w:type="character" w:styleId="WW8Num21z1" w:customStyle="1">
    <w:name w:val="WW8Num21z1"/>
    <w:qFormat/>
    <w:rsid w:val="00ea1435"/>
    <w:rPr>
      <w:rFonts w:ascii="Courier New" w:hAnsi="Courier New"/>
    </w:rPr>
  </w:style>
  <w:style w:type="character" w:styleId="WW8Num21z2" w:customStyle="1">
    <w:name w:val="WW8Num21z2"/>
    <w:qFormat/>
    <w:rsid w:val="00ea1435"/>
    <w:rPr>
      <w:rFonts w:ascii="Wingdings" w:hAnsi="Wingdings"/>
    </w:rPr>
  </w:style>
  <w:style w:type="character" w:styleId="WW8Num25z0" w:customStyle="1">
    <w:name w:val="WW8Num25z0"/>
    <w:qFormat/>
    <w:rsid w:val="00ea1435"/>
    <w:rPr>
      <w:rFonts w:ascii="Symbol" w:hAnsi="Symbol"/>
    </w:rPr>
  </w:style>
  <w:style w:type="character" w:styleId="WW8Num25z1" w:customStyle="1">
    <w:name w:val="WW8Num25z1"/>
    <w:qFormat/>
    <w:rsid w:val="00ea1435"/>
    <w:rPr>
      <w:rFonts w:ascii="Wingdings" w:hAnsi="Wingdings"/>
    </w:rPr>
  </w:style>
  <w:style w:type="character" w:styleId="WW8Num25z4" w:customStyle="1">
    <w:name w:val="WW8Num25z4"/>
    <w:qFormat/>
    <w:rsid w:val="00ea1435"/>
    <w:rPr>
      <w:rFonts w:ascii="Courier New" w:hAnsi="Courier New"/>
    </w:rPr>
  </w:style>
  <w:style w:type="character" w:styleId="WW8Num26z0" w:customStyle="1">
    <w:name w:val="WW8Num26z0"/>
    <w:qFormat/>
    <w:rsid w:val="00ea1435"/>
    <w:rPr>
      <w:rFonts w:ascii="Symbol" w:hAnsi="Symbol"/>
    </w:rPr>
  </w:style>
  <w:style w:type="character" w:styleId="WW8Num26z1" w:customStyle="1">
    <w:name w:val="WW8Num26z1"/>
    <w:qFormat/>
    <w:rsid w:val="00ea1435"/>
    <w:rPr>
      <w:rFonts w:ascii="Courier New" w:hAnsi="Courier New"/>
    </w:rPr>
  </w:style>
  <w:style w:type="character" w:styleId="WW8Num26z2" w:customStyle="1">
    <w:name w:val="WW8Num26z2"/>
    <w:qFormat/>
    <w:rsid w:val="00ea1435"/>
    <w:rPr>
      <w:rFonts w:ascii="Wingdings" w:hAnsi="Wingdings"/>
    </w:rPr>
  </w:style>
  <w:style w:type="character" w:styleId="WW8Num27z0" w:customStyle="1">
    <w:name w:val="WW8Num27z0"/>
    <w:qFormat/>
    <w:rsid w:val="00ea1435"/>
    <w:rPr>
      <w:rFonts w:ascii="Symbol" w:hAnsi="Symbol"/>
    </w:rPr>
  </w:style>
  <w:style w:type="character" w:styleId="WW8Num27z1" w:customStyle="1">
    <w:name w:val="WW8Num27z1"/>
    <w:qFormat/>
    <w:rsid w:val="00ea1435"/>
    <w:rPr>
      <w:rFonts w:ascii="Courier New" w:hAnsi="Courier New"/>
    </w:rPr>
  </w:style>
  <w:style w:type="character" w:styleId="WW8Num27z2" w:customStyle="1">
    <w:name w:val="WW8Num27z2"/>
    <w:qFormat/>
    <w:rsid w:val="00ea1435"/>
    <w:rPr>
      <w:rFonts w:ascii="Wingdings" w:hAnsi="Wingdings"/>
    </w:rPr>
  </w:style>
  <w:style w:type="character" w:styleId="WW8Num29z1" w:customStyle="1">
    <w:name w:val="WW8Num29z1"/>
    <w:qFormat/>
    <w:rsid w:val="00ea1435"/>
    <w:rPr>
      <w:rFonts w:ascii="Times New Roman" w:hAnsi="Times New Roman" w:eastAsia="Times New Roman" w:cs="Times New Roman"/>
    </w:rPr>
  </w:style>
  <w:style w:type="character" w:styleId="WW8Num31z0" w:customStyle="1">
    <w:name w:val="WW8Num31z0"/>
    <w:qFormat/>
    <w:rsid w:val="00ea1435"/>
    <w:rPr>
      <w:rFonts w:ascii="Times New Roman" w:hAnsi="Times New Roman"/>
    </w:rPr>
  </w:style>
  <w:style w:type="character" w:styleId="WW8Num32z0" w:customStyle="1">
    <w:name w:val="WW8Num32z0"/>
    <w:qFormat/>
    <w:rsid w:val="00ea1435"/>
    <w:rPr>
      <w:rFonts w:ascii="Symbol" w:hAnsi="Symbol"/>
    </w:rPr>
  </w:style>
  <w:style w:type="character" w:styleId="WW8Num32z1" w:customStyle="1">
    <w:name w:val="WW8Num32z1"/>
    <w:qFormat/>
    <w:rsid w:val="00ea1435"/>
    <w:rPr>
      <w:rFonts w:ascii="Courier New" w:hAnsi="Courier New"/>
    </w:rPr>
  </w:style>
  <w:style w:type="character" w:styleId="WW8Num32z2" w:customStyle="1">
    <w:name w:val="WW8Num32z2"/>
    <w:qFormat/>
    <w:rsid w:val="00ea1435"/>
    <w:rPr>
      <w:rFonts w:ascii="Wingdings" w:hAnsi="Wingdings"/>
    </w:rPr>
  </w:style>
  <w:style w:type="character" w:styleId="NormalWebChar1CharChar2" w:customStyle="1">
    <w:name w:val="Normal (Web) Char1 Char Char2"/>
    <w:basedOn w:val="DefaultParagraphFont"/>
    <w:qFormat/>
    <w:rsid w:val="00ea1435"/>
    <w:rPr>
      <w:sz w:val="24"/>
      <w:szCs w:val="24"/>
      <w:lang w:val="en-US" w:eastAsia="en-US" w:bidi="ar-SA"/>
    </w:rPr>
  </w:style>
  <w:style w:type="character" w:styleId="Ln2articol1" w:customStyle="1">
    <w:name w:val="ln2articol1"/>
    <w:basedOn w:val="DefaultParagraphFont"/>
    <w:qFormat/>
    <w:rsid w:val="00ea1435"/>
    <w:rPr>
      <w:b/>
      <w:bCs/>
      <w:color w:val="0000AF"/>
    </w:rPr>
  </w:style>
  <w:style w:type="character" w:styleId="Ln2tarticol" w:customStyle="1">
    <w:name w:val="ln2tarticol"/>
    <w:basedOn w:val="DefaultParagraphFont"/>
    <w:qFormat/>
    <w:rsid w:val="00ea1435"/>
    <w:rPr/>
  </w:style>
  <w:style w:type="character" w:styleId="Ln2punct1" w:customStyle="1">
    <w:name w:val="ln2punct1"/>
    <w:basedOn w:val="DefaultParagraphFont"/>
    <w:qFormat/>
    <w:rsid w:val="00ea1435"/>
    <w:rPr>
      <w:b/>
      <w:bCs/>
      <w:color w:val="008F00"/>
    </w:rPr>
  </w:style>
  <w:style w:type="character" w:styleId="Ln2paragraf1" w:customStyle="1">
    <w:name w:val="ln2paragraf1"/>
    <w:basedOn w:val="DefaultParagraphFont"/>
    <w:qFormat/>
    <w:rsid w:val="00ea1435"/>
    <w:rPr>
      <w:b/>
      <w:bCs/>
    </w:rPr>
  </w:style>
  <w:style w:type="character" w:styleId="Ln2tparagraf" w:customStyle="1">
    <w:name w:val="ln2tparagraf"/>
    <w:basedOn w:val="DefaultParagraphFont"/>
    <w:qFormat/>
    <w:rsid w:val="00ea1435"/>
    <w:rPr/>
  </w:style>
  <w:style w:type="character" w:styleId="Ln2alineat1" w:customStyle="1">
    <w:name w:val="ln2alineat1"/>
    <w:basedOn w:val="DefaultParagraphFont"/>
    <w:qFormat/>
    <w:rsid w:val="00ea1435"/>
    <w:rPr>
      <w:b/>
      <w:bCs/>
      <w:color w:val="74929F"/>
    </w:rPr>
  </w:style>
  <w:style w:type="character" w:styleId="Ln2talineat" w:customStyle="1">
    <w:name w:val="ln2talineat"/>
    <w:basedOn w:val="DefaultParagraphFont"/>
    <w:qFormat/>
    <w:rsid w:val="00ea1435"/>
    <w:rPr/>
  </w:style>
  <w:style w:type="character" w:styleId="Ln2tpreambul" w:customStyle="1">
    <w:name w:val="ln2tpreambul"/>
    <w:basedOn w:val="DefaultParagraphFont"/>
    <w:qFormat/>
    <w:rsid w:val="00ea1435"/>
    <w:rPr/>
  </w:style>
  <w:style w:type="character" w:styleId="TextcomentariuCaracter" w:customStyle="1">
    <w:name w:val="Text comentariu Caracter"/>
    <w:basedOn w:val="DefaultParagraphFont"/>
    <w:qFormat/>
    <w:rsid w:val="00ea1435"/>
    <w:rPr>
      <w:lang w:eastAsia="en-US"/>
    </w:rPr>
  </w:style>
  <w:style w:type="character" w:styleId="Texte0Car" w:customStyle="1">
    <w:name w:val="Texte 0 Car"/>
    <w:basedOn w:val="DefaultParagraphFont"/>
    <w:link w:val="Texte0"/>
    <w:qFormat/>
    <w:rsid w:val="00ea1435"/>
    <w:rPr>
      <w:rFonts w:ascii="TimesNewRoman" w:hAnsi="TimesNewRoman" w:eastAsia="Times New Roman" w:cs="TimesNewRoman"/>
      <w:lang w:val="en-GB" w:eastAsia="fr-FR"/>
    </w:rPr>
  </w:style>
  <w:style w:type="character" w:styleId="Def1" w:customStyle="1">
    <w:name w:val="def1"/>
    <w:basedOn w:val="DefaultParagraphFont"/>
    <w:qFormat/>
    <w:rsid w:val="00ea1435"/>
    <w:rPr>
      <w:rFonts w:ascii="Arial" w:hAnsi="Arial" w:cs="Arial"/>
      <w:b w:val="false"/>
      <w:bCs w:val="false"/>
      <w:strike w:val="false"/>
      <w:dstrike w:val="false"/>
      <w:color w:val="000000"/>
      <w:u w:val="none"/>
      <w:effect w:val="none"/>
    </w:rPr>
  </w:style>
  <w:style w:type="character" w:styleId="CharacterStyle1" w:customStyle="1">
    <w:name w:val="Character Style 1"/>
    <w:qFormat/>
    <w:rsid w:val="00ea1435"/>
    <w:rPr>
      <w:sz w:val="24"/>
      <w:szCs w:val="24"/>
    </w:rPr>
  </w:style>
  <w:style w:type="character" w:styleId="Ln2tpreambul1" w:customStyle="1">
    <w:name w:val="ln2tpreambul1"/>
    <w:basedOn w:val="DefaultParagraphFont"/>
    <w:qFormat/>
    <w:rsid w:val="00ea1435"/>
    <w:rPr>
      <w:i/>
      <w:iCs/>
    </w:rPr>
  </w:style>
  <w:style w:type="character" w:styleId="Value" w:customStyle="1">
    <w:name w:val="value"/>
    <w:basedOn w:val="DefaultParagraphFont"/>
    <w:qFormat/>
    <w:rsid w:val="00ea1435"/>
    <w:rPr/>
  </w:style>
  <w:style w:type="character" w:styleId="ManualNumPar1Char" w:customStyle="1">
    <w:name w:val="Manual NumPar 1 Char"/>
    <w:basedOn w:val="DefaultParagraphFont"/>
    <w:qFormat/>
    <w:rsid w:val="00ea1435"/>
    <w:rPr>
      <w:rFonts w:cs="Times New Roman"/>
      <w:sz w:val="24"/>
      <w:lang w:val="en-GB" w:eastAsia="zh-CN" w:bidi="ar-SA"/>
    </w:rPr>
  </w:style>
  <w:style w:type="character" w:styleId="Ln2tlinie" w:customStyle="1">
    <w:name w:val="ln2tlinie"/>
    <w:basedOn w:val="DefaultParagraphFont"/>
    <w:qFormat/>
    <w:rsid w:val="00ea1435"/>
    <w:rPr>
      <w:rFonts w:cs="Times New Roman"/>
    </w:rPr>
  </w:style>
  <w:style w:type="character" w:styleId="SectionTitleChar" w:customStyle="1">
    <w:name w:val="SectionTitle Char"/>
    <w:basedOn w:val="DefaultParagraphFont"/>
    <w:qFormat/>
    <w:rsid w:val="00ea1435"/>
    <w:rPr>
      <w:rFonts w:cs="Times New Roman"/>
      <w:b/>
      <w:smallCaps/>
      <w:sz w:val="28"/>
      <w:lang w:val="en-GB" w:eastAsia="zh-CN" w:bidi="ar-SA"/>
    </w:rPr>
  </w:style>
  <w:style w:type="character" w:styleId="Point0Char" w:customStyle="1">
    <w:name w:val="Point 0 Char"/>
    <w:basedOn w:val="DefaultParagraphFont"/>
    <w:qFormat/>
    <w:rsid w:val="00ea1435"/>
    <w:rPr>
      <w:rFonts w:cs="Times New Roman"/>
      <w:sz w:val="24"/>
      <w:lang w:val="en-GB" w:eastAsia="zh-CN" w:bidi="ar-SA"/>
    </w:rPr>
  </w:style>
  <w:style w:type="character" w:styleId="Point1CaracterCaracter" w:customStyle="1">
    <w:name w:val="Point 1 Caracter Caracter"/>
    <w:basedOn w:val="DefaultParagraphFont"/>
    <w:link w:val="Point1Caracter"/>
    <w:qFormat/>
    <w:locked/>
    <w:rsid w:val="00ea1435"/>
    <w:rPr>
      <w:rFonts w:ascii="Times New Roman" w:hAnsi="Times New Roman" w:eastAsia="SimSun" w:cs="Times New Roman"/>
      <w:sz w:val="24"/>
      <w:szCs w:val="24"/>
      <w:lang w:val="en-GB" w:eastAsia="zh-CN"/>
    </w:rPr>
  </w:style>
  <w:style w:type="character" w:styleId="HTMLCite">
    <w:name w:val="HTML Cite"/>
    <w:basedOn w:val="DefaultParagraphFont"/>
    <w:qFormat/>
    <w:rsid w:val="00ea1435"/>
    <w:rPr>
      <w:rFonts w:cs="Times New Roman"/>
      <w:color w:val="008000"/>
    </w:rPr>
  </w:style>
  <w:style w:type="character" w:styleId="Hw" w:customStyle="1">
    <w:name w:val="hw"/>
    <w:basedOn w:val="DefaultParagraphFont"/>
    <w:qFormat/>
    <w:rsid w:val="00ea1435"/>
    <w:rPr>
      <w:rFonts w:cs="Times New Roman"/>
    </w:rPr>
  </w:style>
  <w:style w:type="character" w:styleId="DatedadoptionChar" w:customStyle="1">
    <w:name w:val="Date d'adoption Char"/>
    <w:basedOn w:val="DefaultParagraphFont"/>
    <w:link w:val="Datedadoption"/>
    <w:qFormat/>
    <w:locked/>
    <w:rsid w:val="00ea1435"/>
    <w:rPr>
      <w:rFonts w:ascii="Times New Roman" w:hAnsi="Times New Roman" w:eastAsia="Times New Roman" w:cs="Times New Roman"/>
      <w:b/>
      <w:sz w:val="24"/>
      <w:szCs w:val="20"/>
      <w:lang w:val="en-GB"/>
    </w:rPr>
  </w:style>
  <w:style w:type="character" w:styleId="Ln2litera1" w:customStyle="1">
    <w:name w:val="ln2litera1"/>
    <w:basedOn w:val="DefaultParagraphFont"/>
    <w:qFormat/>
    <w:rsid w:val="00ea1435"/>
    <w:rPr>
      <w:b/>
      <w:bCs/>
      <w:color w:val="00008F"/>
    </w:rPr>
  </w:style>
  <w:style w:type="character" w:styleId="Actalineat" w:customStyle="1">
    <w:name w:val="act_alineat"/>
    <w:basedOn w:val="DefaultParagraphFont"/>
    <w:qFormat/>
    <w:rsid w:val="00ea1435"/>
    <w:rPr/>
  </w:style>
  <w:style w:type="character" w:styleId="Acttalineat" w:customStyle="1">
    <w:name w:val="act_talineat"/>
    <w:basedOn w:val="DefaultParagraphFont"/>
    <w:qFormat/>
    <w:rsid w:val="00ea1435"/>
    <w:rPr/>
  </w:style>
  <w:style w:type="character" w:styleId="Ln2tlitera" w:customStyle="1">
    <w:name w:val="ln2tlitera"/>
    <w:basedOn w:val="DefaultParagraphFont"/>
    <w:qFormat/>
    <w:rsid w:val="00ea1435"/>
    <w:rPr/>
  </w:style>
  <w:style w:type="character" w:styleId="Point1Char" w:customStyle="1">
    <w:name w:val="Point 1 Char"/>
    <w:basedOn w:val="DefaultParagraphFont"/>
    <w:link w:val="Point1"/>
    <w:qFormat/>
    <w:rsid w:val="00ea1435"/>
    <w:rPr>
      <w:rFonts w:ascii="Times New Roman" w:hAnsi="Times New Roman" w:eastAsia="Times New Roman" w:cs="Times New Roman"/>
      <w:sz w:val="24"/>
      <w:szCs w:val="20"/>
      <w:lang w:val="en-GB"/>
    </w:rPr>
  </w:style>
  <w:style w:type="character" w:styleId="EmailStyle4942" w:customStyle="1">
    <w:name w:val="EmailStyle4942"/>
    <w:basedOn w:val="DefaultParagraphFont"/>
    <w:semiHidden/>
    <w:qFormat/>
    <w:rsid w:val="00ea1435"/>
    <w:rPr>
      <w:rFonts w:ascii="Arial" w:hAnsi="Arial" w:cs="Arial"/>
      <w:color w:val="000080"/>
      <w:sz w:val="20"/>
      <w:szCs w:val="20"/>
    </w:rPr>
  </w:style>
  <w:style w:type="character" w:styleId="FontStyle23" w:customStyle="1">
    <w:name w:val="Font Style23"/>
    <w:basedOn w:val="DefaultParagraphFont"/>
    <w:qFormat/>
    <w:rsid w:val="00ea1435"/>
    <w:rPr>
      <w:rFonts w:ascii="Times New Roman" w:hAnsi="Times New Roman" w:cs="Times New Roman"/>
      <w:sz w:val="22"/>
      <w:szCs w:val="22"/>
    </w:rPr>
  </w:style>
  <w:style w:type="character" w:styleId="Style9" w:customStyle="1">
    <w:name w:val="style9"/>
    <w:basedOn w:val="DefaultParagraphFont"/>
    <w:qFormat/>
    <w:rsid w:val="00ea1435"/>
    <w:rPr/>
  </w:style>
  <w:style w:type="character" w:styleId="WW8Num2z1" w:customStyle="1">
    <w:name w:val="WW8Num2z1"/>
    <w:qFormat/>
    <w:rsid w:val="00ea1435"/>
    <w:rPr>
      <w:rFonts w:ascii="Wingdings" w:hAnsi="Wingdings"/>
      <w:b/>
      <w:color w:val="auto"/>
    </w:rPr>
  </w:style>
  <w:style w:type="character" w:styleId="DefaultParagraphFont1" w:customStyle="1">
    <w:name w:val="Default Paragraph Font1"/>
    <w:qFormat/>
    <w:rsid w:val="00ea1435"/>
    <w:rPr/>
  </w:style>
  <w:style w:type="character" w:styleId="DateChar" w:customStyle="1">
    <w:name w:val="Date Char"/>
    <w:basedOn w:val="DefaultParagraphFont"/>
    <w:link w:val="Date"/>
    <w:qFormat/>
    <w:rsid w:val="00ea1435"/>
    <w:rPr>
      <w:rFonts w:ascii="Arial" w:hAnsi="Arial" w:eastAsia="SC STKaiti" w:cs="Times New Roman"/>
      <w:sz w:val="16"/>
      <w:szCs w:val="24"/>
      <w:lang w:val="en-GB" w:eastAsia="zh-CN"/>
    </w:rPr>
  </w:style>
  <w:style w:type="character" w:styleId="NormalWebCaracter1" w:customStyle="1">
    <w:name w:val="Normal (Web) Caracter1"/>
    <w:basedOn w:val="DefaultParagraphFont"/>
    <w:semiHidden/>
    <w:qFormat/>
    <w:locked/>
    <w:rsid w:val="00ea1435"/>
    <w:rPr>
      <w:rFonts w:ascii="Tahoma" w:hAnsi="Tahoma" w:cs="Tahoma"/>
      <w:sz w:val="16"/>
      <w:szCs w:val="16"/>
      <w:lang w:val="en-US" w:eastAsia="en-US"/>
    </w:rPr>
  </w:style>
  <w:style w:type="character" w:styleId="Titlu8Caracter1" w:customStyle="1">
    <w:name w:val="Titlu 8 Caracter1"/>
    <w:basedOn w:val="DefaultParagraphFont"/>
    <w:semiHidden/>
    <w:qFormat/>
    <w:rsid w:val="00ea1435"/>
    <w:rPr>
      <w:rFonts w:ascii="Cambria" w:hAnsi="Cambria" w:eastAsia="Times New Roman" w:cs="Times New Roman"/>
      <w:color w:val="404040"/>
      <w:lang w:val="en-US" w:eastAsia="en-US"/>
    </w:rPr>
  </w:style>
  <w:style w:type="character" w:styleId="Titlu9Caracter1" w:customStyle="1">
    <w:name w:val="Titlu 9 Caracter1"/>
    <w:basedOn w:val="DefaultParagraphFont"/>
    <w:uiPriority w:val="9"/>
    <w:semiHidden/>
    <w:qFormat/>
    <w:rsid w:val="00ea1435"/>
    <w:rPr>
      <w:rFonts w:ascii="Cambria" w:hAnsi="Cambria" w:eastAsia="Times New Roman" w:cs="Times New Roman"/>
      <w:i/>
      <w:iCs/>
      <w:color w:val="404040"/>
      <w:lang w:val="en-US" w:eastAsia="en-US"/>
    </w:rPr>
  </w:style>
  <w:style w:type="character" w:styleId="TextnBalonCaracter1" w:customStyle="1">
    <w:name w:val="Text în Balon Caracter1"/>
    <w:basedOn w:val="DefaultParagraphFont"/>
    <w:semiHidden/>
    <w:qFormat/>
    <w:rsid w:val="00ea1435"/>
    <w:rPr>
      <w:rFonts w:ascii="Tahoma" w:hAnsi="Tahoma" w:cs="Tahoma"/>
      <w:sz w:val="16"/>
      <w:szCs w:val="16"/>
      <w:lang w:val="en-US" w:eastAsia="en-US"/>
    </w:rPr>
  </w:style>
  <w:style w:type="character" w:styleId="Indentcorptext2Caracter1" w:customStyle="1">
    <w:name w:val="Indent corp text 2 Caracter1"/>
    <w:basedOn w:val="DefaultParagraphFont"/>
    <w:semiHidden/>
    <w:qFormat/>
    <w:rsid w:val="00ea1435"/>
    <w:rPr>
      <w:rFonts w:ascii="Times New Roman" w:hAnsi="Times New Roman" w:eastAsia="Times New Roman"/>
      <w:sz w:val="24"/>
      <w:szCs w:val="24"/>
      <w:lang w:val="en-US" w:eastAsia="en-US"/>
    </w:rPr>
  </w:style>
  <w:style w:type="character" w:styleId="IndentcorptextCaracter1" w:customStyle="1">
    <w:name w:val="Indent corp text Caracter1"/>
    <w:basedOn w:val="DefaultParagraphFont"/>
    <w:semiHidden/>
    <w:qFormat/>
    <w:rsid w:val="00ea1435"/>
    <w:rPr>
      <w:rFonts w:ascii="Times New Roman" w:hAnsi="Times New Roman" w:eastAsia="Times New Roman"/>
      <w:sz w:val="24"/>
      <w:szCs w:val="24"/>
      <w:lang w:val="en-US" w:eastAsia="en-US"/>
    </w:rPr>
  </w:style>
  <w:style w:type="character" w:styleId="Corptext2Caracter1" w:customStyle="1">
    <w:name w:val="Corp text 2 Caracter1"/>
    <w:basedOn w:val="DefaultParagraphFont"/>
    <w:semiHidden/>
    <w:qFormat/>
    <w:rsid w:val="00ea1435"/>
    <w:rPr>
      <w:rFonts w:ascii="Times New Roman" w:hAnsi="Times New Roman" w:eastAsia="Times New Roman"/>
      <w:sz w:val="24"/>
      <w:szCs w:val="24"/>
      <w:lang w:val="en-US" w:eastAsia="en-US"/>
    </w:rPr>
  </w:style>
  <w:style w:type="character" w:styleId="SubsolCaracter1" w:customStyle="1">
    <w:name w:val="Subsol Caracter1"/>
    <w:basedOn w:val="DefaultParagraphFont"/>
    <w:uiPriority w:val="99"/>
    <w:semiHidden/>
    <w:qFormat/>
    <w:rsid w:val="00ea1435"/>
    <w:rPr>
      <w:rFonts w:ascii="Times New Roman" w:hAnsi="Times New Roman" w:eastAsia="Times New Roman"/>
      <w:lang w:val="en-US" w:eastAsia="en-US"/>
    </w:rPr>
  </w:style>
  <w:style w:type="character" w:styleId="Corptext3Caracter1" w:customStyle="1">
    <w:name w:val="Corp text 3 Caracter1"/>
    <w:basedOn w:val="DefaultParagraphFont"/>
    <w:uiPriority w:val="99"/>
    <w:semiHidden/>
    <w:qFormat/>
    <w:rsid w:val="00ea1435"/>
    <w:rPr>
      <w:rFonts w:ascii="Times New Roman" w:hAnsi="Times New Roman" w:eastAsia="Times New Roman"/>
      <w:sz w:val="16"/>
      <w:szCs w:val="16"/>
      <w:lang w:val="en-US" w:eastAsia="en-US"/>
    </w:rPr>
  </w:style>
  <w:style w:type="character" w:styleId="SubtitluCaracter1" w:customStyle="1">
    <w:name w:val="Subtitlu Caracter1"/>
    <w:basedOn w:val="DefaultParagraphFont"/>
    <w:qFormat/>
    <w:rsid w:val="00ea1435"/>
    <w:rPr>
      <w:rFonts w:ascii="Cambria" w:hAnsi="Cambria" w:eastAsia="Times New Roman" w:cs="Times New Roman"/>
      <w:sz w:val="24"/>
      <w:szCs w:val="24"/>
      <w:lang w:val="en-US" w:eastAsia="en-US"/>
    </w:rPr>
  </w:style>
  <w:style w:type="character" w:styleId="Indentcorptext3Caracter1" w:customStyle="1">
    <w:name w:val="Indent corp text 3 Caracter1"/>
    <w:basedOn w:val="DefaultParagraphFont"/>
    <w:semiHidden/>
    <w:qFormat/>
    <w:rsid w:val="00ea1435"/>
    <w:rPr>
      <w:rFonts w:ascii="Times New Roman" w:hAnsi="Times New Roman" w:eastAsia="Times New Roman"/>
      <w:sz w:val="16"/>
      <w:szCs w:val="16"/>
      <w:lang w:val="en-US" w:eastAsia="en-US"/>
    </w:rPr>
  </w:style>
  <w:style w:type="character" w:styleId="EmailStyle5562" w:customStyle="1">
    <w:name w:val="EmailStyle5562"/>
    <w:basedOn w:val="DefaultParagraphFont"/>
    <w:semiHidden/>
    <w:qFormat/>
    <w:rsid w:val="00ea1435"/>
    <w:rPr>
      <w:rFonts w:ascii="Arial" w:hAnsi="Arial" w:cs="Arial"/>
      <w:color w:val="000080"/>
      <w:sz w:val="20"/>
      <w:szCs w:val="20"/>
    </w:rPr>
  </w:style>
  <w:style w:type="character" w:styleId="SubiectComentariuCaracter1" w:customStyle="1">
    <w:name w:val="Subiect Comentariu Caracter1"/>
    <w:basedOn w:val="CommentTextChar"/>
    <w:semiHidden/>
    <w:qFormat/>
    <w:rsid w:val="00ea1435"/>
    <w:rPr>
      <w:rFonts w:ascii="Times New Roman" w:hAnsi="Times New Roman" w:eastAsia="Times New Roman" w:cs="Times New Roman"/>
      <w:b/>
      <w:bCs/>
      <w:sz w:val="20"/>
      <w:szCs w:val="20"/>
      <w:lang w:val="en-US" w:eastAsia="en-US"/>
    </w:rPr>
  </w:style>
  <w:style w:type="character" w:styleId="WW8Num2z2" w:customStyle="1">
    <w:name w:val="WW8Num2z2"/>
    <w:qFormat/>
    <w:rsid w:val="00ea1435"/>
    <w:rPr>
      <w:rFonts w:ascii="Wingdings" w:hAnsi="Wingdings"/>
    </w:rPr>
  </w:style>
  <w:style w:type="character" w:styleId="WW8Num2z3" w:customStyle="1">
    <w:name w:val="WW8Num2z3"/>
    <w:qFormat/>
    <w:rsid w:val="00ea1435"/>
    <w:rPr>
      <w:rFonts w:ascii="Symbol" w:hAnsi="Symbol"/>
    </w:rPr>
  </w:style>
  <w:style w:type="character" w:styleId="WW8Num3z3" w:customStyle="1">
    <w:name w:val="WW8Num3z3"/>
    <w:qFormat/>
    <w:rsid w:val="00ea1435"/>
    <w:rPr>
      <w:rFonts w:ascii="Symbol" w:hAnsi="Symbol"/>
    </w:rPr>
  </w:style>
  <w:style w:type="character" w:styleId="WW8Num5z4" w:customStyle="1">
    <w:name w:val="WW8Num5z4"/>
    <w:qFormat/>
    <w:rsid w:val="00ea1435"/>
    <w:rPr>
      <w:rFonts w:ascii="Courier New" w:hAnsi="Courier New" w:cs="Courier New"/>
    </w:rPr>
  </w:style>
  <w:style w:type="character" w:styleId="WW8Num8z2" w:customStyle="1">
    <w:name w:val="WW8Num8z2"/>
    <w:qFormat/>
    <w:rsid w:val="00ea1435"/>
    <w:rPr>
      <w:rFonts w:ascii="Wingdings" w:hAnsi="Wingdings"/>
    </w:rPr>
  </w:style>
  <w:style w:type="character" w:styleId="WW8Num10z0" w:customStyle="1">
    <w:name w:val="WW8Num10z0"/>
    <w:qFormat/>
    <w:rsid w:val="00ea1435"/>
    <w:rPr>
      <w:rFonts w:ascii="Wingdings" w:hAnsi="Wingdings"/>
    </w:rPr>
  </w:style>
  <w:style w:type="character" w:styleId="WW8Num10z1" w:customStyle="1">
    <w:name w:val="WW8Num10z1"/>
    <w:qFormat/>
    <w:rsid w:val="00ea1435"/>
    <w:rPr>
      <w:rFonts w:ascii="Courier New" w:hAnsi="Courier New" w:cs="Courier New"/>
    </w:rPr>
  </w:style>
  <w:style w:type="character" w:styleId="WW8Num10z3" w:customStyle="1">
    <w:name w:val="WW8Num10z3"/>
    <w:qFormat/>
    <w:rsid w:val="00ea1435"/>
    <w:rPr>
      <w:rFonts w:ascii="Symbol" w:hAnsi="Symbol"/>
    </w:rPr>
  </w:style>
  <w:style w:type="character" w:styleId="WW8Num11z0" w:customStyle="1">
    <w:name w:val="WW8Num11z0"/>
    <w:qFormat/>
    <w:rsid w:val="00ea1435"/>
    <w:rPr>
      <w:rFonts w:ascii="Wingdings" w:hAnsi="Wingdings"/>
    </w:rPr>
  </w:style>
  <w:style w:type="character" w:styleId="WW8Num11z1" w:customStyle="1">
    <w:name w:val="WW8Num11z1"/>
    <w:qFormat/>
    <w:rsid w:val="00ea1435"/>
    <w:rPr>
      <w:rFonts w:ascii="Symbol" w:hAnsi="Symbol"/>
    </w:rPr>
  </w:style>
  <w:style w:type="character" w:styleId="WW8Num11z4" w:customStyle="1">
    <w:name w:val="WW8Num11z4"/>
    <w:qFormat/>
    <w:rsid w:val="00ea1435"/>
    <w:rPr>
      <w:rFonts w:ascii="Courier New" w:hAnsi="Courier New" w:cs="Courier New"/>
    </w:rPr>
  </w:style>
  <w:style w:type="character" w:styleId="WW8Num12z2" w:customStyle="1">
    <w:name w:val="WW8Num12z2"/>
    <w:qFormat/>
    <w:rsid w:val="00ea1435"/>
    <w:rPr>
      <w:rFonts w:ascii="Wingdings" w:hAnsi="Wingdings"/>
    </w:rPr>
  </w:style>
  <w:style w:type="character" w:styleId="WW8Num14z3" w:customStyle="1">
    <w:name w:val="WW8Num14z3"/>
    <w:qFormat/>
    <w:rsid w:val="00ea1435"/>
    <w:rPr>
      <w:rFonts w:ascii="Symbol" w:hAnsi="Symbol"/>
    </w:rPr>
  </w:style>
  <w:style w:type="character" w:styleId="WW8Num17z2" w:customStyle="1">
    <w:name w:val="WW8Num17z2"/>
    <w:qFormat/>
    <w:rsid w:val="00ea1435"/>
    <w:rPr>
      <w:rFonts w:ascii="Wingdings" w:hAnsi="Wingdings"/>
    </w:rPr>
  </w:style>
  <w:style w:type="character" w:styleId="WW8Num19z0" w:customStyle="1">
    <w:name w:val="WW8Num19z0"/>
    <w:qFormat/>
    <w:rsid w:val="00ea1435"/>
    <w:rPr>
      <w:rFonts w:ascii="Wingdings" w:hAnsi="Wingdings"/>
    </w:rPr>
  </w:style>
  <w:style w:type="character" w:styleId="WW8Num19z1" w:customStyle="1">
    <w:name w:val="WW8Num19z1"/>
    <w:qFormat/>
    <w:rsid w:val="00ea1435"/>
    <w:rPr>
      <w:rFonts w:ascii="Courier New" w:hAnsi="Courier New" w:cs="Courier New"/>
    </w:rPr>
  </w:style>
  <w:style w:type="character" w:styleId="WW8Num19z3" w:customStyle="1">
    <w:name w:val="WW8Num19z3"/>
    <w:qFormat/>
    <w:rsid w:val="00ea1435"/>
    <w:rPr>
      <w:rFonts w:ascii="Symbol" w:hAnsi="Symbol"/>
    </w:rPr>
  </w:style>
  <w:style w:type="character" w:styleId="WW8Num20z3" w:customStyle="1">
    <w:name w:val="WW8Num20z3"/>
    <w:qFormat/>
    <w:rsid w:val="00ea1435"/>
    <w:rPr>
      <w:rFonts w:ascii="Symbol" w:hAnsi="Symbol"/>
    </w:rPr>
  </w:style>
  <w:style w:type="character" w:styleId="WW8Num21z3" w:customStyle="1">
    <w:name w:val="WW8Num21z3"/>
    <w:qFormat/>
    <w:rsid w:val="00ea1435"/>
    <w:rPr>
      <w:rFonts w:ascii="Symbol" w:hAnsi="Symbol"/>
    </w:rPr>
  </w:style>
  <w:style w:type="character" w:styleId="WW8Num22z0" w:customStyle="1">
    <w:name w:val="WW8Num22z0"/>
    <w:qFormat/>
    <w:rsid w:val="00ea1435"/>
    <w:rPr>
      <w:rFonts w:ascii="Wingdings" w:hAnsi="Wingdings"/>
    </w:rPr>
  </w:style>
  <w:style w:type="character" w:styleId="WW8Num22z4" w:customStyle="1">
    <w:name w:val="WW8Num22z4"/>
    <w:qFormat/>
    <w:rsid w:val="00ea1435"/>
    <w:rPr>
      <w:rFonts w:ascii="Symbol" w:hAnsi="Symbol"/>
    </w:rPr>
  </w:style>
  <w:style w:type="character" w:styleId="WW8Num22z7" w:customStyle="1">
    <w:name w:val="WW8Num22z7"/>
    <w:qFormat/>
    <w:rsid w:val="00ea1435"/>
    <w:rPr>
      <w:rFonts w:ascii="Courier New" w:hAnsi="Courier New" w:cs="Courier New"/>
    </w:rPr>
  </w:style>
  <w:style w:type="character" w:styleId="WW8Num23z0" w:customStyle="1">
    <w:name w:val="WW8Num23z0"/>
    <w:qFormat/>
    <w:rsid w:val="00ea1435"/>
    <w:rPr>
      <w:rFonts w:ascii="Wingdings" w:hAnsi="Wingdings"/>
    </w:rPr>
  </w:style>
  <w:style w:type="character" w:styleId="WW8Num23z1" w:customStyle="1">
    <w:name w:val="WW8Num23z1"/>
    <w:qFormat/>
    <w:rsid w:val="00ea1435"/>
    <w:rPr>
      <w:rFonts w:ascii="Courier New" w:hAnsi="Courier New" w:cs="Courier New"/>
    </w:rPr>
  </w:style>
  <w:style w:type="character" w:styleId="WW8Num23z3" w:customStyle="1">
    <w:name w:val="WW8Num23z3"/>
    <w:qFormat/>
    <w:rsid w:val="00ea1435"/>
    <w:rPr>
      <w:rFonts w:ascii="Symbol" w:hAnsi="Symbol"/>
    </w:rPr>
  </w:style>
  <w:style w:type="character" w:styleId="WW8Num24z0" w:customStyle="1">
    <w:name w:val="WW8Num24z0"/>
    <w:qFormat/>
    <w:rsid w:val="00ea1435"/>
    <w:rPr>
      <w:rFonts w:ascii="Symbol" w:hAnsi="Symbol"/>
    </w:rPr>
  </w:style>
  <w:style w:type="character" w:styleId="WW8Num24z1" w:customStyle="1">
    <w:name w:val="WW8Num24z1"/>
    <w:qFormat/>
    <w:rsid w:val="00ea1435"/>
    <w:rPr>
      <w:rFonts w:ascii="Wingdings" w:hAnsi="Wingdings"/>
    </w:rPr>
  </w:style>
  <w:style w:type="character" w:styleId="WW8Num24z3" w:customStyle="1">
    <w:name w:val="WW8Num24z3"/>
    <w:qFormat/>
    <w:rsid w:val="00ea1435"/>
    <w:rPr>
      <w:b/>
      <w:bCs w:val="false"/>
      <w:i/>
      <w:iCs w:val="false"/>
      <w:sz w:val="28"/>
      <w:szCs w:val="28"/>
      <w:u w:val="single"/>
    </w:rPr>
  </w:style>
  <w:style w:type="character" w:styleId="WW8Num24z7" w:customStyle="1">
    <w:name w:val="WW8Num24z7"/>
    <w:qFormat/>
    <w:rsid w:val="00ea1435"/>
    <w:rPr>
      <w:rFonts w:ascii="Courier New" w:hAnsi="Courier New" w:cs="Courier New"/>
    </w:rPr>
  </w:style>
  <w:style w:type="character" w:styleId="WW8Num25z3" w:customStyle="1">
    <w:name w:val="WW8Num25z3"/>
    <w:qFormat/>
    <w:rsid w:val="00ea1435"/>
    <w:rPr>
      <w:rFonts w:ascii="Symbol" w:hAnsi="Symbol"/>
    </w:rPr>
  </w:style>
  <w:style w:type="character" w:styleId="WW8Num29z0" w:customStyle="1">
    <w:name w:val="WW8Num29z0"/>
    <w:qFormat/>
    <w:rsid w:val="00ea1435"/>
    <w:rPr>
      <w:b/>
      <w:bCs w:val="false"/>
      <w:i/>
      <w:iCs w:val="false"/>
      <w:u w:val="single"/>
    </w:rPr>
  </w:style>
  <w:style w:type="character" w:styleId="WW8Num30z0" w:customStyle="1">
    <w:name w:val="WW8Num30z0"/>
    <w:qFormat/>
    <w:rsid w:val="00ea1435"/>
    <w:rPr>
      <w:rFonts w:ascii="Wingdings" w:hAnsi="Wingdings"/>
    </w:rPr>
  </w:style>
  <w:style w:type="character" w:styleId="WW8Num30z1" w:customStyle="1">
    <w:name w:val="WW8Num30z1"/>
    <w:qFormat/>
    <w:rsid w:val="00ea1435"/>
    <w:rPr>
      <w:rFonts w:ascii="Arial" w:hAnsi="Arial" w:eastAsia="Times New Roman" w:cs="Arial"/>
    </w:rPr>
  </w:style>
  <w:style w:type="character" w:styleId="WW8Num30z3" w:customStyle="1">
    <w:name w:val="WW8Num30z3"/>
    <w:qFormat/>
    <w:rsid w:val="00ea1435"/>
    <w:rPr>
      <w:rFonts w:ascii="Symbol" w:hAnsi="Symbol"/>
    </w:rPr>
  </w:style>
  <w:style w:type="character" w:styleId="WW8Num30z4" w:customStyle="1">
    <w:name w:val="WW8Num30z4"/>
    <w:qFormat/>
    <w:rsid w:val="00ea1435"/>
    <w:rPr>
      <w:rFonts w:ascii="Courier New" w:hAnsi="Courier New" w:cs="Courier New"/>
    </w:rPr>
  </w:style>
  <w:style w:type="character" w:styleId="WW8Num32z3" w:customStyle="1">
    <w:name w:val="WW8Num32z3"/>
    <w:qFormat/>
    <w:rsid w:val="00ea1435"/>
    <w:rPr>
      <w:rFonts w:ascii="Symbol" w:hAnsi="Symbol"/>
    </w:rPr>
  </w:style>
  <w:style w:type="character" w:styleId="WW8Num33z0" w:customStyle="1">
    <w:name w:val="WW8Num33z0"/>
    <w:qFormat/>
    <w:rsid w:val="00ea1435"/>
    <w:rPr>
      <w:rFonts w:ascii="Wingdings" w:hAnsi="Wingdings"/>
    </w:rPr>
  </w:style>
  <w:style w:type="character" w:styleId="WW8Num33z1" w:customStyle="1">
    <w:name w:val="WW8Num33z1"/>
    <w:qFormat/>
    <w:rsid w:val="00ea1435"/>
    <w:rPr>
      <w:rFonts w:ascii="Courier New" w:hAnsi="Courier New" w:cs="Courier New"/>
    </w:rPr>
  </w:style>
  <w:style w:type="character" w:styleId="WW8Num33z3" w:customStyle="1">
    <w:name w:val="WW8Num33z3"/>
    <w:qFormat/>
    <w:rsid w:val="00ea1435"/>
    <w:rPr>
      <w:rFonts w:ascii="Symbol" w:hAnsi="Symbol"/>
    </w:rPr>
  </w:style>
  <w:style w:type="character" w:styleId="WW8Num37z0" w:customStyle="1">
    <w:name w:val="WW8Num37z0"/>
    <w:qFormat/>
    <w:rsid w:val="00ea1435"/>
    <w:rPr>
      <w:rFonts w:ascii="Times New Roman" w:hAnsi="Times New Roman" w:eastAsia="Calibri" w:cs="Times New Roman"/>
    </w:rPr>
  </w:style>
  <w:style w:type="character" w:styleId="WW8Num37z1" w:customStyle="1">
    <w:name w:val="WW8Num37z1"/>
    <w:qFormat/>
    <w:rsid w:val="00ea1435"/>
    <w:rPr>
      <w:rFonts w:ascii="Courier New" w:hAnsi="Courier New" w:cs="Courier New"/>
    </w:rPr>
  </w:style>
  <w:style w:type="character" w:styleId="WW8Num37z2" w:customStyle="1">
    <w:name w:val="WW8Num37z2"/>
    <w:qFormat/>
    <w:rsid w:val="00ea1435"/>
    <w:rPr>
      <w:rFonts w:ascii="Wingdings" w:hAnsi="Wingdings"/>
    </w:rPr>
  </w:style>
  <w:style w:type="character" w:styleId="WW8Num37z3" w:customStyle="1">
    <w:name w:val="WW8Num37z3"/>
    <w:qFormat/>
    <w:rsid w:val="00ea1435"/>
    <w:rPr>
      <w:rFonts w:ascii="Symbol" w:hAnsi="Symbol"/>
    </w:rPr>
  </w:style>
  <w:style w:type="character" w:styleId="WW8Num39z0" w:customStyle="1">
    <w:name w:val="WW8Num39z0"/>
    <w:qFormat/>
    <w:rsid w:val="00ea1435"/>
    <w:rPr>
      <w:rFonts w:ascii="StarSymbol" w:hAnsi="StarSymbol" w:eastAsia="StarSymbol" w:cs="StarSymbol"/>
      <w:sz w:val="18"/>
      <w:szCs w:val="18"/>
    </w:rPr>
  </w:style>
  <w:style w:type="character" w:styleId="Fontdeparagrafimplicit1" w:customStyle="1">
    <w:name w:val="Font de paragraf implicit1"/>
    <w:qFormat/>
    <w:rsid w:val="00ea1435"/>
    <w:rPr/>
  </w:style>
  <w:style w:type="character" w:styleId="Subparatext" w:customStyle="1">
    <w:name w:val="subparatext"/>
    <w:basedOn w:val="Fontdeparagrafimplicit1"/>
    <w:qFormat/>
    <w:rsid w:val="00ea1435"/>
    <w:rPr/>
  </w:style>
  <w:style w:type="character" w:styleId="Manualdeftext" w:customStyle="1">
    <w:name w:val="manualdeftext"/>
    <w:basedOn w:val="Fontdeparagrafimplicit1"/>
    <w:qFormat/>
    <w:rsid w:val="00ea1435"/>
    <w:rPr/>
  </w:style>
  <w:style w:type="character" w:styleId="Referincomentariu1" w:customStyle="1">
    <w:name w:val="Referință comentariu1"/>
    <w:basedOn w:val="Fontdeparagrafimplicit1"/>
    <w:qFormat/>
    <w:rsid w:val="00ea1435"/>
    <w:rPr>
      <w:sz w:val="16"/>
      <w:szCs w:val="16"/>
    </w:rPr>
  </w:style>
  <w:style w:type="character" w:styleId="WWEndnoteCharacters" w:customStyle="1">
    <w:name w:val="WW-Endnote Characters"/>
    <w:qFormat/>
    <w:rsid w:val="00ea1435"/>
    <w:rPr/>
  </w:style>
  <w:style w:type="character" w:styleId="Linenumber">
    <w:name w:val="line number"/>
    <w:basedOn w:val="DefaultParagraphFont"/>
    <w:qFormat/>
    <w:rsid w:val="00ea1435"/>
    <w:rPr/>
  </w:style>
  <w:style w:type="character" w:styleId="Tpa" w:customStyle="1">
    <w:name w:val="tpa"/>
    <w:basedOn w:val="DefaultParagraphFont"/>
    <w:qFormat/>
    <w:rsid w:val="00ea1435"/>
    <w:rPr/>
  </w:style>
  <w:style w:type="character" w:styleId="QuoteChar" w:customStyle="1">
    <w:name w:val="Quote Char"/>
    <w:basedOn w:val="DefaultParagraphFont"/>
    <w:link w:val="Quote"/>
    <w:uiPriority w:val="29"/>
    <w:qFormat/>
    <w:rsid w:val="00ea1435"/>
    <w:rPr>
      <w:rFonts w:ascii="Sylfaen" w:hAnsi="Sylfaen" w:eastAsia="Cambria" w:cs="Tahoma"/>
      <w:b/>
      <w:i/>
      <w:szCs w:val="48"/>
      <w:lang w:bidi="en-US"/>
    </w:rPr>
  </w:style>
  <w:style w:type="character" w:styleId="IntenseEmphasis">
    <w:name w:val="Intense Emphasis"/>
    <w:uiPriority w:val="21"/>
    <w:qFormat/>
    <w:rsid w:val="00ea1435"/>
    <w:rPr>
      <w:b/>
      <w:i/>
      <w:color w:val="AC66BB"/>
      <w:spacing w:val="10"/>
    </w:rPr>
  </w:style>
  <w:style w:type="character" w:styleId="SubtleReference">
    <w:name w:val="Subtle Reference"/>
    <w:uiPriority w:val="31"/>
    <w:qFormat/>
    <w:rsid w:val="00ea1435"/>
    <w:rPr>
      <w:b/>
    </w:rPr>
  </w:style>
  <w:style w:type="character" w:styleId="IntenseReference">
    <w:name w:val="Intense Reference"/>
    <w:uiPriority w:val="32"/>
    <w:qFormat/>
    <w:rsid w:val="00ea1435"/>
    <w:rPr>
      <w:b/>
      <w:bCs/>
      <w:smallCaps/>
      <w:spacing w:val="5"/>
      <w:sz w:val="22"/>
      <w:szCs w:val="22"/>
      <w:u w:val="single"/>
    </w:rPr>
  </w:style>
  <w:style w:type="character" w:styleId="BookTitle">
    <w:name w:val="Book Title"/>
    <w:uiPriority w:val="33"/>
    <w:qFormat/>
    <w:rsid w:val="00ea1435"/>
    <w:rPr>
      <w:rFonts w:ascii="Calibri" w:hAnsi="Calibri" w:eastAsia="Times New Roman" w:cs="Times New Roman"/>
      <w:i/>
      <w:iCs/>
      <w:sz w:val="20"/>
      <w:szCs w:val="20"/>
    </w:rPr>
  </w:style>
  <w:style w:type="character" w:styleId="PreformatatHTMLCaracter1" w:customStyle="1">
    <w:name w:val="Preformatat HTML Caracter1"/>
    <w:basedOn w:val="DefaultParagraphFont"/>
    <w:uiPriority w:val="99"/>
    <w:semiHidden/>
    <w:qFormat/>
    <w:rsid w:val="00ea1435"/>
    <w:rPr>
      <w:rFonts w:ascii="Consolas" w:hAnsi="Consolas" w:eastAsia="Times New Roman" w:cs="Times New Roman"/>
      <w:sz w:val="20"/>
      <w:szCs w:val="20"/>
      <w:lang w:val="en-US"/>
    </w:rPr>
  </w:style>
  <w:style w:type="character" w:styleId="HeaderChar1CharCharCharCharCharChar" w:customStyle="1">
    <w:name w:val="Header Char1 Char Char Char Char Char Char"/>
    <w:basedOn w:val="DefaultParagraphFont"/>
    <w:qFormat/>
    <w:rsid w:val="00ea1435"/>
    <w:rPr>
      <w:lang w:val="ro-RO" w:eastAsia="en-US" w:bidi="ar-SA"/>
    </w:rPr>
  </w:style>
  <w:style w:type="character" w:styleId="EmailStyle8132" w:customStyle="1">
    <w:name w:val="EmailStyle8132"/>
    <w:basedOn w:val="DefaultParagraphFont"/>
    <w:semiHidden/>
    <w:qFormat/>
    <w:rsid w:val="00ea1435"/>
    <w:rPr>
      <w:rFonts w:ascii="Arial" w:hAnsi="Arial" w:cs="Arial"/>
      <w:color w:val="000080"/>
      <w:sz w:val="20"/>
      <w:szCs w:val="20"/>
    </w:rPr>
  </w:style>
  <w:style w:type="character" w:styleId="EmailStyle8302" w:customStyle="1">
    <w:name w:val="EmailStyle8302"/>
    <w:basedOn w:val="DefaultParagraphFont"/>
    <w:semiHidden/>
    <w:qFormat/>
    <w:rsid w:val="00ea1435"/>
    <w:rPr>
      <w:rFonts w:ascii="Arial" w:hAnsi="Arial" w:cs="Arial"/>
      <w:color w:val="000080"/>
      <w:sz w:val="20"/>
      <w:szCs w:val="20"/>
    </w:rPr>
  </w:style>
  <w:style w:type="character" w:styleId="Accentuareintens1" w:customStyle="1">
    <w:name w:val="Accentuare intensă1"/>
    <w:uiPriority w:val="21"/>
    <w:qFormat/>
    <w:rsid w:val="00ea1435"/>
    <w:rPr>
      <w:b/>
      <w:i/>
      <w:color w:val="AC66BB"/>
      <w:spacing w:val="10"/>
    </w:rPr>
  </w:style>
  <w:style w:type="character" w:styleId="Titlulcrii1" w:customStyle="1">
    <w:name w:val="Titlul cărții1"/>
    <w:uiPriority w:val="33"/>
    <w:qFormat/>
    <w:rsid w:val="00ea1435"/>
    <w:rPr>
      <w:rFonts w:ascii="Calibri" w:hAnsi="Calibri" w:eastAsia="Times New Roman" w:cs="Times New Roman"/>
      <w:i/>
      <w:iCs/>
      <w:sz w:val="20"/>
      <w:szCs w:val="20"/>
    </w:rPr>
  </w:style>
  <w:style w:type="character" w:styleId="CitatCaracter1" w:customStyle="1">
    <w:name w:val="Citat Caracter1"/>
    <w:basedOn w:val="DefaultParagraphFont"/>
    <w:uiPriority w:val="29"/>
    <w:qFormat/>
    <w:rsid w:val="00ea1435"/>
    <w:rPr>
      <w:i/>
      <w:iCs/>
      <w:color w:val="000000"/>
      <w:lang w:eastAsia="en-US"/>
    </w:rPr>
  </w:style>
  <w:style w:type="character" w:styleId="CitatintensCaracter1" w:customStyle="1">
    <w:name w:val="Citat intens Caracter1"/>
    <w:basedOn w:val="DefaultParagraphFont"/>
    <w:uiPriority w:val="30"/>
    <w:qFormat/>
    <w:rsid w:val="00ea1435"/>
    <w:rPr>
      <w:b/>
      <w:bCs/>
      <w:i/>
      <w:iCs/>
      <w:color w:val="4F81BD"/>
      <w:lang w:eastAsia="en-US"/>
    </w:rPr>
  </w:style>
  <w:style w:type="character" w:styleId="BoldItalic" w:customStyle="1">
    <w:name w:val="Bold Italic"/>
    <w:qFormat/>
    <w:rsid w:val="00ea1435"/>
    <w:rPr>
      <w:b/>
      <w:bCs w:val="false"/>
      <w:i/>
      <w:iCs w:val="false"/>
    </w:rPr>
  </w:style>
  <w:style w:type="character" w:styleId="BoldItalicUnderline" w:customStyle="1">
    <w:name w:val="Bold Italic Underline"/>
    <w:qFormat/>
    <w:rsid w:val="00ea1435"/>
    <w:rPr>
      <w:b/>
      <w:bCs w:val="false"/>
      <w:i/>
      <w:iCs w:val="false"/>
      <w:u w:val="single"/>
    </w:rPr>
  </w:style>
  <w:style w:type="character" w:styleId="Yiv531866883xrs8" w:customStyle="1">
    <w:name w:val="yiv531866883xr_s8"/>
    <w:basedOn w:val="DefaultParagraphFont"/>
    <w:qFormat/>
    <w:rsid w:val="00ea1435"/>
    <w:rPr/>
  </w:style>
  <w:style w:type="character" w:styleId="Yiv531866883xrtl" w:customStyle="1">
    <w:name w:val="yiv531866883xr_tl"/>
    <w:basedOn w:val="DefaultParagraphFont"/>
    <w:qFormat/>
    <w:rsid w:val="00ea1435"/>
    <w:rPr/>
  </w:style>
  <w:style w:type="character" w:styleId="Yiv531866883xrs14" w:customStyle="1">
    <w:name w:val="yiv531866883xr_s14"/>
    <w:basedOn w:val="DefaultParagraphFont"/>
    <w:qFormat/>
    <w:rsid w:val="00ea1435"/>
    <w:rPr/>
  </w:style>
  <w:style w:type="character" w:styleId="Yiv531866883xrs15" w:customStyle="1">
    <w:name w:val="yiv531866883xr_s15"/>
    <w:basedOn w:val="DefaultParagraphFont"/>
    <w:qFormat/>
    <w:rsid w:val="00ea1435"/>
    <w:rPr/>
  </w:style>
  <w:style w:type="character" w:styleId="Yiv531866883xrs16" w:customStyle="1">
    <w:name w:val="yiv531866883xr_s16"/>
    <w:basedOn w:val="DefaultParagraphFont"/>
    <w:qFormat/>
    <w:rsid w:val="00ea1435"/>
    <w:rPr/>
  </w:style>
  <w:style w:type="character" w:styleId="Btn" w:customStyle="1">
    <w:name w:val="btn"/>
    <w:basedOn w:val="DefaultParagraphFont"/>
    <w:qFormat/>
    <w:rsid w:val="00ea1435"/>
    <w:rPr/>
  </w:style>
  <w:style w:type="character" w:styleId="Char4CharCharCharChar" w:customStyle="1">
    <w:name w:val="Char4 Char Char Char Char"/>
    <w:basedOn w:val="DefaultParagraphFont"/>
    <w:qFormat/>
    <w:locked/>
    <w:rsid w:val="00ea1435"/>
    <w:rPr>
      <w:lang w:val="en-US" w:eastAsia="en-US"/>
    </w:rPr>
  </w:style>
  <w:style w:type="character" w:styleId="Atn" w:customStyle="1">
    <w:name w:val="atn"/>
    <w:basedOn w:val="DefaultParagraphFont"/>
    <w:qFormat/>
    <w:rsid w:val="00ea1435"/>
    <w:rPr/>
  </w:style>
  <w:style w:type="character" w:styleId="EmailStyle15462" w:customStyle="1">
    <w:name w:val="EmailStyle15462"/>
    <w:basedOn w:val="DefaultParagraphFont"/>
    <w:semiHidden/>
    <w:qFormat/>
    <w:rsid w:val="00ea1435"/>
    <w:rPr>
      <w:rFonts w:ascii="Arial" w:hAnsi="Arial" w:cs="Arial"/>
      <w:color w:val="000080"/>
      <w:sz w:val="20"/>
      <w:szCs w:val="20"/>
    </w:rPr>
  </w:style>
  <w:style w:type="character" w:styleId="EmailStyle15632" w:customStyle="1">
    <w:name w:val="EmailStyle15632"/>
    <w:basedOn w:val="DefaultParagraphFont"/>
    <w:semiHidden/>
    <w:qFormat/>
    <w:rsid w:val="00ea1435"/>
    <w:rPr>
      <w:rFonts w:ascii="Arial" w:hAnsi="Arial" w:cs="Arial"/>
      <w:color w:val="000080"/>
      <w:sz w:val="20"/>
      <w:szCs w:val="20"/>
    </w:rPr>
  </w:style>
  <w:style w:type="character" w:styleId="FrspaiereCaracter1" w:customStyle="1">
    <w:name w:val="Fără spațiere Caracter1"/>
    <w:basedOn w:val="DefaultParagraphFont"/>
    <w:uiPriority w:val="1"/>
    <w:qFormat/>
    <w:rsid w:val="00ea1435"/>
    <w:rPr>
      <w:rFonts w:ascii="Times New Roman" w:hAnsi="Times New Roman" w:eastAsia="Times New Roman"/>
      <w:sz w:val="24"/>
      <w:szCs w:val="24"/>
      <w:lang w:val="en-US" w:eastAsia="en-US" w:bidi="ar-SA"/>
    </w:rPr>
  </w:style>
  <w:style w:type="character" w:styleId="WW8Num34z0" w:customStyle="1">
    <w:name w:val="WW8Num34z0"/>
    <w:qFormat/>
    <w:rsid w:val="00ea1435"/>
    <w:rPr>
      <w:i w:val="false"/>
    </w:rPr>
  </w:style>
  <w:style w:type="character" w:styleId="WW8Num38z0" w:customStyle="1">
    <w:name w:val="WW8Num38z0"/>
    <w:qFormat/>
    <w:rsid w:val="00ea1435"/>
    <w:rPr>
      <w:color w:val="auto"/>
    </w:rPr>
  </w:style>
  <w:style w:type="character" w:styleId="WW8Num35z1" w:customStyle="1">
    <w:name w:val="WW8Num35z1"/>
    <w:qFormat/>
    <w:rsid w:val="00ea1435"/>
    <w:rPr>
      <w:rFonts w:ascii="Times New Roman" w:hAnsi="Times New Roman" w:eastAsia="Times New Roman" w:cs="Times New Roman"/>
    </w:rPr>
  </w:style>
  <w:style w:type="character" w:styleId="WW8Num41z0" w:customStyle="1">
    <w:name w:val="WW8Num41z0"/>
    <w:qFormat/>
    <w:rsid w:val="00ea1435"/>
    <w:rPr>
      <w:b/>
    </w:rPr>
  </w:style>
  <w:style w:type="character" w:styleId="WW8Num43z0" w:customStyle="1">
    <w:name w:val="WW8Num43z0"/>
    <w:qFormat/>
    <w:rsid w:val="00ea1435"/>
    <w:rPr>
      <w:b w:val="false"/>
    </w:rPr>
  </w:style>
  <w:style w:type="character" w:styleId="WW8Num43z1" w:customStyle="1">
    <w:name w:val="WW8Num43z1"/>
    <w:qFormat/>
    <w:rsid w:val="00ea1435"/>
    <w:rPr>
      <w:b/>
    </w:rPr>
  </w:style>
  <w:style w:type="character" w:styleId="WW8Num46z0" w:customStyle="1">
    <w:name w:val="WW8Num46z0"/>
    <w:qFormat/>
    <w:rsid w:val="00ea1435"/>
    <w:rPr>
      <w:i w:val="false"/>
      <w:szCs w:val="24"/>
    </w:rPr>
  </w:style>
  <w:style w:type="character" w:styleId="WW8Num49z0" w:customStyle="1">
    <w:name w:val="WW8Num49z0"/>
    <w:qFormat/>
    <w:rsid w:val="00ea1435"/>
    <w:rPr>
      <w:b/>
    </w:rPr>
  </w:style>
  <w:style w:type="character" w:styleId="WW8Num54z0" w:customStyle="1">
    <w:name w:val="WW8Num54z0"/>
    <w:qFormat/>
    <w:rsid w:val="00ea1435"/>
    <w:rPr>
      <w:b w:val="false"/>
    </w:rPr>
  </w:style>
  <w:style w:type="character" w:styleId="FontStyle40" w:customStyle="1">
    <w:name w:val="Font Style40"/>
    <w:basedOn w:val="DefaultParagraphFont"/>
    <w:qFormat/>
    <w:rsid w:val="00ea1435"/>
    <w:rPr>
      <w:rFonts w:ascii="Times New Roman" w:hAnsi="Times New Roman" w:cs="Times New Roman"/>
      <w:spacing w:val="10"/>
      <w:sz w:val="18"/>
      <w:szCs w:val="18"/>
    </w:rPr>
  </w:style>
  <w:style w:type="character" w:styleId="FontStyle30" w:customStyle="1">
    <w:name w:val="Font Style30"/>
    <w:basedOn w:val="DefaultParagraphFont"/>
    <w:qFormat/>
    <w:rsid w:val="00ea1435"/>
    <w:rPr>
      <w:rFonts w:ascii="Times New Roman" w:hAnsi="Times New Roman" w:cs="Times New Roman"/>
      <w:b/>
      <w:bCs/>
      <w:spacing w:val="10"/>
      <w:sz w:val="18"/>
      <w:szCs w:val="18"/>
    </w:rPr>
  </w:style>
  <w:style w:type="character" w:styleId="EmailStyle19842" w:customStyle="1">
    <w:name w:val="EmailStyle19842"/>
    <w:basedOn w:val="DefaultParagraphFont"/>
    <w:semiHidden/>
    <w:qFormat/>
    <w:rsid w:val="00ea1435"/>
    <w:rPr>
      <w:rFonts w:ascii="Arial" w:hAnsi="Arial" w:cs="Arial"/>
      <w:color w:val="000080"/>
      <w:sz w:val="20"/>
      <w:szCs w:val="20"/>
    </w:rPr>
  </w:style>
  <w:style w:type="character" w:styleId="EmailStyle19852" w:customStyle="1">
    <w:name w:val="EmailStyle19852"/>
    <w:basedOn w:val="DefaultParagraphFont"/>
    <w:semiHidden/>
    <w:qFormat/>
    <w:rsid w:val="00ea1435"/>
    <w:rPr>
      <w:rFonts w:ascii="Arial" w:hAnsi="Arial" w:cs="Arial"/>
      <w:color w:val="000080"/>
      <w:sz w:val="20"/>
      <w:szCs w:val="20"/>
    </w:rPr>
  </w:style>
  <w:style w:type="character" w:styleId="EmailStyle19862" w:customStyle="1">
    <w:name w:val="EmailStyle19862"/>
    <w:basedOn w:val="DefaultParagraphFont"/>
    <w:semiHidden/>
    <w:qFormat/>
    <w:rsid w:val="00ea1435"/>
    <w:rPr>
      <w:rFonts w:ascii="Arial" w:hAnsi="Arial" w:cs="Arial"/>
      <w:color w:val="000080"/>
      <w:sz w:val="20"/>
      <w:szCs w:val="20"/>
    </w:rPr>
  </w:style>
  <w:style w:type="character" w:styleId="EmailStyle19872" w:customStyle="1">
    <w:name w:val="EmailStyle19872"/>
    <w:basedOn w:val="DefaultParagraphFont"/>
    <w:semiHidden/>
    <w:qFormat/>
    <w:rsid w:val="00ea1435"/>
    <w:rPr>
      <w:rFonts w:ascii="Arial" w:hAnsi="Arial" w:cs="Arial"/>
      <w:color w:val="000080"/>
      <w:sz w:val="20"/>
      <w:szCs w:val="20"/>
    </w:rPr>
  </w:style>
  <w:style w:type="character" w:styleId="WWAbsatzStandardschriftart1111111111111111111111" w:customStyle="1">
    <w:name w:val="WW-Absatz-Standardschriftart1111111111111111111111"/>
    <w:qFormat/>
    <w:rsid w:val="00ea1435"/>
    <w:rPr/>
  </w:style>
  <w:style w:type="character" w:styleId="WWAbsatzStandardschriftart11111111111111111111111" w:customStyle="1">
    <w:name w:val="WW-Absatz-Standardschriftart11111111111111111111111"/>
    <w:qFormat/>
    <w:rsid w:val="00ea1435"/>
    <w:rPr/>
  </w:style>
  <w:style w:type="character" w:styleId="WWAbsatzStandardschriftart111111111111111111111111" w:customStyle="1">
    <w:name w:val="WW-Absatz-Standardschriftart111111111111111111111111"/>
    <w:qFormat/>
    <w:rsid w:val="00ea1435"/>
    <w:rPr/>
  </w:style>
  <w:style w:type="character" w:styleId="WWAbsatzStandardschriftart1111111111111111111111111" w:customStyle="1">
    <w:name w:val="WW-Absatz-Standardschriftart1111111111111111111111111"/>
    <w:qFormat/>
    <w:rsid w:val="00ea1435"/>
    <w:rPr/>
  </w:style>
  <w:style w:type="character" w:styleId="WWAbsatzStandardschriftart11111111111111111111111111" w:customStyle="1">
    <w:name w:val="WW-Absatz-Standardschriftart11111111111111111111111111"/>
    <w:qFormat/>
    <w:rsid w:val="00ea1435"/>
    <w:rPr/>
  </w:style>
  <w:style w:type="character" w:styleId="WWAbsatzStandardschriftart111111111111111111111111111" w:customStyle="1">
    <w:name w:val="WW-Absatz-Standardschriftart111111111111111111111111111"/>
    <w:qFormat/>
    <w:rsid w:val="00ea1435"/>
    <w:rPr/>
  </w:style>
  <w:style w:type="character" w:styleId="WWAbsatzStandardschriftart1111111111111111111111111111" w:customStyle="1">
    <w:name w:val="WW-Absatz-Standardschriftart1111111111111111111111111111"/>
    <w:qFormat/>
    <w:rsid w:val="00ea1435"/>
    <w:rPr/>
  </w:style>
  <w:style w:type="character" w:styleId="WWAbsatzStandardschriftart11111111111111111111111111111" w:customStyle="1">
    <w:name w:val="WW-Absatz-Standardschriftart11111111111111111111111111111"/>
    <w:qFormat/>
    <w:rsid w:val="00ea1435"/>
    <w:rPr/>
  </w:style>
  <w:style w:type="character" w:styleId="WWAbsatzStandardschriftart111111111111111111111111111111" w:customStyle="1">
    <w:name w:val="WW-Absatz-Standardschriftart111111111111111111111111111111"/>
    <w:qFormat/>
    <w:rsid w:val="00ea1435"/>
    <w:rPr/>
  </w:style>
  <w:style w:type="character" w:styleId="WWAbsatzStandardschriftart1111111111111111111111111111111" w:customStyle="1">
    <w:name w:val="WW-Absatz-Standardschriftart1111111111111111111111111111111"/>
    <w:qFormat/>
    <w:rsid w:val="00ea1435"/>
    <w:rPr/>
  </w:style>
  <w:style w:type="character" w:styleId="WWAbsatzStandardschriftart11111111111111111111111111111111" w:customStyle="1">
    <w:name w:val="WW-Absatz-Standardschriftart11111111111111111111111111111111"/>
    <w:qFormat/>
    <w:rsid w:val="00ea1435"/>
    <w:rPr/>
  </w:style>
  <w:style w:type="character" w:styleId="WWAbsatzStandardschriftart111111111111111111111111111111111" w:customStyle="1">
    <w:name w:val="WW-Absatz-Standardschriftart111111111111111111111111111111111"/>
    <w:qFormat/>
    <w:rsid w:val="00ea1435"/>
    <w:rPr/>
  </w:style>
  <w:style w:type="character" w:styleId="WWAbsatzStandardschriftart1111111111111111111111111111111111" w:customStyle="1">
    <w:name w:val="WW-Absatz-Standardschriftart1111111111111111111111111111111111"/>
    <w:qFormat/>
    <w:rsid w:val="00ea1435"/>
    <w:rPr/>
  </w:style>
  <w:style w:type="character" w:styleId="WWAbsatzStandardschriftart11111111111111111111111111111111111" w:customStyle="1">
    <w:name w:val="WW-Absatz-Standardschriftart11111111111111111111111111111111111"/>
    <w:qFormat/>
    <w:rsid w:val="00ea1435"/>
    <w:rPr/>
  </w:style>
  <w:style w:type="character" w:styleId="WWAbsatzStandardschriftart111111111111111111111111111111111111" w:customStyle="1">
    <w:name w:val="WW-Absatz-Standardschriftart111111111111111111111111111111111111"/>
    <w:qFormat/>
    <w:rsid w:val="00ea1435"/>
    <w:rPr/>
  </w:style>
  <w:style w:type="character" w:styleId="WWAbsatzStandardschriftart1111111111111111111111111111111111111" w:customStyle="1">
    <w:name w:val="WW-Absatz-Standardschriftart1111111111111111111111111111111111111"/>
    <w:qFormat/>
    <w:rsid w:val="00ea1435"/>
    <w:rPr/>
  </w:style>
  <w:style w:type="character" w:styleId="WWAbsatzStandardschriftart11111111111111111111111111111111111111" w:customStyle="1">
    <w:name w:val="WW-Absatz-Standardschriftart11111111111111111111111111111111111111"/>
    <w:qFormat/>
    <w:rsid w:val="00ea1435"/>
    <w:rPr/>
  </w:style>
  <w:style w:type="character" w:styleId="WWAbsatzStandardschriftart111111111111111111111111111111111111111" w:customStyle="1">
    <w:name w:val="WW-Absatz-Standardschriftart111111111111111111111111111111111111111"/>
    <w:qFormat/>
    <w:rsid w:val="00ea1435"/>
    <w:rPr/>
  </w:style>
  <w:style w:type="character" w:styleId="WWAbsatzStandardschriftart1111111111111111111111111111111111111111" w:customStyle="1">
    <w:name w:val="WW-Absatz-Standardschriftart1111111111111111111111111111111111111111"/>
    <w:qFormat/>
    <w:rsid w:val="00ea1435"/>
    <w:rPr/>
  </w:style>
  <w:style w:type="character" w:styleId="WWAbsatzStandardschriftart11111111111111111111111111111111111111111" w:customStyle="1">
    <w:name w:val="WW-Absatz-Standardschriftart11111111111111111111111111111111111111111"/>
    <w:qFormat/>
    <w:rsid w:val="00ea1435"/>
    <w:rPr/>
  </w:style>
  <w:style w:type="character" w:styleId="WWAbsatzStandardschriftart111111111111111111111111111111111111111111" w:customStyle="1">
    <w:name w:val="WW-Absatz-Standardschriftart111111111111111111111111111111111111111111"/>
    <w:qFormat/>
    <w:rsid w:val="00ea1435"/>
    <w:rPr/>
  </w:style>
  <w:style w:type="character" w:styleId="WWAbsatzStandardschriftart1111111111111111111111111111111111111111111" w:customStyle="1">
    <w:name w:val="WW-Absatz-Standardschriftart1111111111111111111111111111111111111111111"/>
    <w:qFormat/>
    <w:rsid w:val="00ea1435"/>
    <w:rPr/>
  </w:style>
  <w:style w:type="character" w:styleId="WWAbsatzStandardschriftart11111111111111111111111111111111111111111111" w:customStyle="1">
    <w:name w:val="WW-Absatz-Standardschriftart11111111111111111111111111111111111111111111"/>
    <w:qFormat/>
    <w:rsid w:val="00ea1435"/>
    <w:rPr/>
  </w:style>
  <w:style w:type="character" w:styleId="WWAbsatzStandardschriftart111111111111111111111111111111111111111111111" w:customStyle="1">
    <w:name w:val="WW-Absatz-Standardschriftart111111111111111111111111111111111111111111111"/>
    <w:qFormat/>
    <w:rsid w:val="00ea1435"/>
    <w:rPr/>
  </w:style>
  <w:style w:type="character" w:styleId="WWAbsatzStandardschriftart1111111111111111111111111111111111111111111111" w:customStyle="1">
    <w:name w:val="WW-Absatz-Standardschriftart1111111111111111111111111111111111111111111111"/>
    <w:qFormat/>
    <w:rsid w:val="00ea1435"/>
    <w:rPr/>
  </w:style>
  <w:style w:type="character" w:styleId="WWAbsatzStandardschriftart11111111111111111111111111111111111111111111111" w:customStyle="1">
    <w:name w:val="WW-Absatz-Standardschriftart11111111111111111111111111111111111111111111111"/>
    <w:qFormat/>
    <w:rsid w:val="00ea1435"/>
    <w:rPr/>
  </w:style>
  <w:style w:type="character" w:styleId="WWAbsatzStandardschriftart111111111111111111111111111111111111111111111111" w:customStyle="1">
    <w:name w:val="WW-Absatz-Standardschriftart111111111111111111111111111111111111111111111111"/>
    <w:qFormat/>
    <w:rsid w:val="00ea1435"/>
    <w:rPr/>
  </w:style>
  <w:style w:type="character" w:styleId="WWAbsatzStandardschriftart1111111111111111111111111111111111111111111111111" w:customStyle="1">
    <w:name w:val="WW-Absatz-Standardschriftart1111111111111111111111111111111111111111111111111"/>
    <w:qFormat/>
    <w:rsid w:val="00ea1435"/>
    <w:rPr/>
  </w:style>
  <w:style w:type="character" w:styleId="WWAbsatzStandardschriftart11111111111111111111111111111111111111111111111111" w:customStyle="1">
    <w:name w:val="WW-Absatz-Standardschriftart11111111111111111111111111111111111111111111111111"/>
    <w:qFormat/>
    <w:rsid w:val="00ea1435"/>
    <w:rPr/>
  </w:style>
  <w:style w:type="character" w:styleId="WWAbsatzStandardschriftart111111111111111111111111111111111111111111111111111" w:customStyle="1">
    <w:name w:val="WW-Absatz-Standardschriftart111111111111111111111111111111111111111111111111111"/>
    <w:qFormat/>
    <w:rsid w:val="00ea1435"/>
    <w:rPr/>
  </w:style>
  <w:style w:type="character" w:styleId="WWAbsatzStandardschriftart1111111111111111111111111111111111111111111111111111" w:customStyle="1">
    <w:name w:val="WW-Absatz-Standardschriftart1111111111111111111111111111111111111111111111111111"/>
    <w:qFormat/>
    <w:rsid w:val="00ea1435"/>
    <w:rPr/>
  </w:style>
  <w:style w:type="character" w:styleId="WWAbsatzStandardschriftart11111111111111111111111111111111111111111111111111111" w:customStyle="1">
    <w:name w:val="WW-Absatz-Standardschriftart11111111111111111111111111111111111111111111111111111"/>
    <w:qFormat/>
    <w:rsid w:val="00ea1435"/>
    <w:rPr/>
  </w:style>
  <w:style w:type="character" w:styleId="WWAbsatzStandardschriftart111111111111111111111111111111111111111111111111111111" w:customStyle="1">
    <w:name w:val="WW-Absatz-Standardschriftart111111111111111111111111111111111111111111111111111111"/>
    <w:qFormat/>
    <w:rsid w:val="00ea1435"/>
    <w:rPr/>
  </w:style>
  <w:style w:type="character" w:styleId="WWAbsatzStandardschriftart1111111111111111111111111111111111111111111111111111111" w:customStyle="1">
    <w:name w:val="WW-Absatz-Standardschriftart1111111111111111111111111111111111111111111111111111111"/>
    <w:qFormat/>
    <w:rsid w:val="00ea1435"/>
    <w:rPr/>
  </w:style>
  <w:style w:type="character" w:styleId="WWAbsatzStandardschriftart11111111111111111111111111111111111111111111111111111111" w:customStyle="1">
    <w:name w:val="WW-Absatz-Standardschriftart11111111111111111111111111111111111111111111111111111111"/>
    <w:qFormat/>
    <w:rsid w:val="00ea1435"/>
    <w:rPr/>
  </w:style>
  <w:style w:type="character" w:styleId="WWAbsatzStandardschriftart111111111111111111111111111111111111111111111111111111111" w:customStyle="1">
    <w:name w:val="WW-Absatz-Standardschriftart111111111111111111111111111111111111111111111111111111111"/>
    <w:qFormat/>
    <w:rsid w:val="00ea1435"/>
    <w:rPr/>
  </w:style>
  <w:style w:type="character" w:styleId="WWAbsatzStandardschriftart1111111111111111111111111111111111111111111111111111111111" w:customStyle="1">
    <w:name w:val="WW-Absatz-Standardschriftart1111111111111111111111111111111111111111111111111111111111"/>
    <w:qFormat/>
    <w:rsid w:val="00ea1435"/>
    <w:rPr/>
  </w:style>
  <w:style w:type="character" w:styleId="WWAbsatzStandardschriftart11111111111111111111111111111111111111111111111111111111111" w:customStyle="1">
    <w:name w:val="WW-Absatz-Standardschriftart11111111111111111111111111111111111111111111111111111111111"/>
    <w:qFormat/>
    <w:rsid w:val="00ea1435"/>
    <w:rPr/>
  </w:style>
  <w:style w:type="character" w:styleId="WWAbsatzStandardschriftart111111111111111111111111111111111111111111111111111111111111" w:customStyle="1">
    <w:name w:val="WW-Absatz-Standardschriftart111111111111111111111111111111111111111111111111111111111111"/>
    <w:qFormat/>
    <w:rsid w:val="00ea1435"/>
    <w:rPr/>
  </w:style>
  <w:style w:type="character" w:styleId="WWAbsatzStandardschriftart1111111111111111111111111111111111111111111111111111111111111" w:customStyle="1">
    <w:name w:val="WW-Absatz-Standardschriftart1111111111111111111111111111111111111111111111111111111111111"/>
    <w:qFormat/>
    <w:rsid w:val="00ea1435"/>
    <w:rPr/>
  </w:style>
  <w:style w:type="character" w:styleId="WWAbsatzStandardschriftart11111111111111111111111111111111111111111111111111111111111111" w:customStyle="1">
    <w:name w:val="WW-Absatz-Standardschriftart11111111111111111111111111111111111111111111111111111111111111"/>
    <w:qFormat/>
    <w:rsid w:val="00ea1435"/>
    <w:rPr/>
  </w:style>
  <w:style w:type="character" w:styleId="WWAbsatzStandardschriftart111111111111111111111111111111111111111111111111111111111111111" w:customStyle="1">
    <w:name w:val="WW-Absatz-Standardschriftart111111111111111111111111111111111111111111111111111111111111111"/>
    <w:qFormat/>
    <w:rsid w:val="00ea1435"/>
    <w:rPr/>
  </w:style>
  <w:style w:type="character" w:styleId="WWAbsatzStandardschriftart1111111111111111111111111111111111111111111111111111111111111111" w:customStyle="1">
    <w:name w:val="WW-Absatz-Standardschriftart1111111111111111111111111111111111111111111111111111111111111111"/>
    <w:qFormat/>
    <w:rsid w:val="00ea1435"/>
    <w:rPr/>
  </w:style>
  <w:style w:type="character" w:styleId="MacroTextChar" w:customStyle="1">
    <w:name w:val="Macro Text Char"/>
    <w:basedOn w:val="DefaultParagraphFont"/>
    <w:link w:val="MacroText"/>
    <w:semiHidden/>
    <w:qFormat/>
    <w:rsid w:val="00ea1435"/>
    <w:rPr>
      <w:rFonts w:ascii="Courier New" w:hAnsi="Courier New" w:eastAsia="Times New Roman" w:cs="Times New Roman"/>
      <w:spacing w:val="-5"/>
      <w:sz w:val="24"/>
      <w:szCs w:val="20"/>
    </w:rPr>
  </w:style>
  <w:style w:type="character" w:styleId="LeadinEmphasis" w:customStyle="1">
    <w:name w:val="Lead-in Emphasis"/>
    <w:qFormat/>
    <w:rsid w:val="00ea1435"/>
    <w:rPr>
      <w:caps/>
      <w:sz w:val="22"/>
    </w:rPr>
  </w:style>
  <w:style w:type="character" w:styleId="Superscript" w:customStyle="1">
    <w:name w:val="Superscript"/>
    <w:qFormat/>
    <w:rsid w:val="00ea1435"/>
    <w:rPr>
      <w:vertAlign w:val="superscript"/>
    </w:rPr>
  </w:style>
  <w:style w:type="character" w:styleId="Articol1" w:customStyle="1">
    <w:name w:val="articol1"/>
    <w:basedOn w:val="DefaultParagraphFont"/>
    <w:qFormat/>
    <w:rsid w:val="00ea1435"/>
    <w:rPr/>
  </w:style>
  <w:style w:type="character" w:styleId="Statheaderfullname" w:customStyle="1">
    <w:name w:val="stat_header_fullname"/>
    <w:basedOn w:val="DefaultParagraphFont"/>
    <w:qFormat/>
    <w:rsid w:val="00ea1435"/>
    <w:rPr/>
  </w:style>
  <w:style w:type="character" w:styleId="Alineat1" w:customStyle="1">
    <w:name w:val="alineat1"/>
    <w:qFormat/>
    <w:rsid w:val="00ea1435"/>
    <w:rPr>
      <w:b/>
      <w:bCs/>
      <w:color w:val="000000"/>
    </w:rPr>
  </w:style>
  <w:style w:type="character" w:styleId="Litera1" w:customStyle="1">
    <w:name w:val="litera1"/>
    <w:qFormat/>
    <w:rsid w:val="00ea1435"/>
    <w:rPr>
      <w:b/>
      <w:bCs/>
      <w:color w:val="000000"/>
    </w:rPr>
  </w:style>
  <w:style w:type="character" w:styleId="Label" w:customStyle="1">
    <w:name w:val="label"/>
    <w:basedOn w:val="DefaultParagraphFont"/>
    <w:qFormat/>
    <w:rsid w:val="00ea1435"/>
    <w:rPr/>
  </w:style>
  <w:style w:type="character" w:styleId="CaracterCaracterCaracterCharCaracterChar" w:customStyle="1">
    <w:name w:val="Caracter Caracter Caracter Char Caracter Char"/>
    <w:link w:val="CaracterCaracterCaracterCharCaracter"/>
    <w:qFormat/>
    <w:locked/>
    <w:rsid w:val="00ea1435"/>
    <w:rPr>
      <w:rFonts w:ascii="Times New Roman" w:hAnsi="Times New Roman" w:eastAsia="Times New Roman" w:cs="Times New Roman"/>
      <w:sz w:val="24"/>
      <w:szCs w:val="24"/>
      <w:lang w:val="pl-PL" w:eastAsia="pl-PL"/>
    </w:rPr>
  </w:style>
  <w:style w:type="character" w:styleId="EmailStyle21352" w:customStyle="1">
    <w:name w:val="EmailStyle21352"/>
    <w:basedOn w:val="DefaultParagraphFont"/>
    <w:semiHidden/>
    <w:qFormat/>
    <w:rsid w:val="00ea1435"/>
    <w:rPr>
      <w:rFonts w:ascii="Arial" w:hAnsi="Arial" w:cs="Arial"/>
      <w:color w:val="000080"/>
      <w:sz w:val="20"/>
      <w:szCs w:val="20"/>
    </w:rPr>
  </w:style>
  <w:style w:type="character" w:styleId="EmailStyle21362" w:customStyle="1">
    <w:name w:val="EmailStyle21362"/>
    <w:basedOn w:val="DefaultParagraphFont"/>
    <w:semiHidden/>
    <w:qFormat/>
    <w:rsid w:val="00ea1435"/>
    <w:rPr>
      <w:rFonts w:ascii="Arial" w:hAnsi="Arial" w:cs="Arial"/>
      <w:color w:val="000080"/>
      <w:sz w:val="20"/>
      <w:szCs w:val="20"/>
    </w:rPr>
  </w:style>
  <w:style w:type="character" w:styleId="EmailStyle21372" w:customStyle="1">
    <w:name w:val="EmailStyle21372"/>
    <w:basedOn w:val="DefaultParagraphFont"/>
    <w:semiHidden/>
    <w:qFormat/>
    <w:rsid w:val="00ea1435"/>
    <w:rPr>
      <w:rFonts w:ascii="Arial" w:hAnsi="Arial" w:cs="Arial"/>
      <w:color w:val="000080"/>
      <w:sz w:val="20"/>
      <w:szCs w:val="20"/>
    </w:rPr>
  </w:style>
  <w:style w:type="character" w:styleId="EmailStyle21382" w:customStyle="1">
    <w:name w:val="EmailStyle21382"/>
    <w:basedOn w:val="DefaultParagraphFont"/>
    <w:semiHidden/>
    <w:qFormat/>
    <w:rsid w:val="00ea1435"/>
    <w:rPr>
      <w:rFonts w:ascii="Arial" w:hAnsi="Arial" w:cs="Arial"/>
      <w:color w:val="000080"/>
      <w:sz w:val="20"/>
      <w:szCs w:val="20"/>
    </w:rPr>
  </w:style>
  <w:style w:type="character" w:styleId="EmailStyle21392" w:customStyle="1">
    <w:name w:val="EmailStyle21392"/>
    <w:basedOn w:val="DefaultParagraphFont"/>
    <w:semiHidden/>
    <w:qFormat/>
    <w:rsid w:val="00ea1435"/>
    <w:rPr>
      <w:rFonts w:ascii="Arial" w:hAnsi="Arial" w:cs="Arial"/>
      <w:color w:val="000080"/>
      <w:sz w:val="20"/>
      <w:szCs w:val="20"/>
    </w:rPr>
  </w:style>
  <w:style w:type="character" w:styleId="EmailStyle21402" w:customStyle="1">
    <w:name w:val="EmailStyle21402"/>
    <w:basedOn w:val="DefaultParagraphFont"/>
    <w:semiHidden/>
    <w:qFormat/>
    <w:rsid w:val="00ea1435"/>
    <w:rPr>
      <w:rFonts w:ascii="Arial" w:hAnsi="Arial" w:cs="Arial"/>
      <w:color w:val="000080"/>
      <w:sz w:val="20"/>
      <w:szCs w:val="20"/>
    </w:rPr>
  </w:style>
  <w:style w:type="character" w:styleId="EmailStyle21412" w:customStyle="1">
    <w:name w:val="EmailStyle21412"/>
    <w:basedOn w:val="DefaultParagraphFont"/>
    <w:semiHidden/>
    <w:qFormat/>
    <w:rsid w:val="00ea1435"/>
    <w:rPr>
      <w:rFonts w:ascii="Arial" w:hAnsi="Arial" w:cs="Arial"/>
      <w:color w:val="000080"/>
      <w:sz w:val="20"/>
      <w:szCs w:val="20"/>
    </w:rPr>
  </w:style>
  <w:style w:type="character" w:styleId="EmailStyle21422" w:customStyle="1">
    <w:name w:val="EmailStyle21422"/>
    <w:basedOn w:val="DefaultParagraphFont"/>
    <w:semiHidden/>
    <w:qFormat/>
    <w:rsid w:val="00ea1435"/>
    <w:rPr>
      <w:rFonts w:ascii="Arial" w:hAnsi="Arial" w:cs="Arial"/>
      <w:color w:val="000080"/>
      <w:sz w:val="20"/>
      <w:szCs w:val="20"/>
    </w:rPr>
  </w:style>
  <w:style w:type="character" w:styleId="EmailStyle21432" w:customStyle="1">
    <w:name w:val="EmailStyle21432"/>
    <w:basedOn w:val="DefaultParagraphFont"/>
    <w:semiHidden/>
    <w:qFormat/>
    <w:rsid w:val="00ea1435"/>
    <w:rPr>
      <w:rFonts w:ascii="Arial" w:hAnsi="Arial" w:cs="Arial"/>
      <w:color w:val="000080"/>
      <w:sz w:val="20"/>
      <w:szCs w:val="20"/>
    </w:rPr>
  </w:style>
  <w:style w:type="character" w:styleId="EmailStyle21442" w:customStyle="1">
    <w:name w:val="EmailStyle21442"/>
    <w:basedOn w:val="DefaultParagraphFont"/>
    <w:semiHidden/>
    <w:qFormat/>
    <w:rsid w:val="00ea1435"/>
    <w:rPr>
      <w:rFonts w:ascii="Arial" w:hAnsi="Arial" w:cs="Arial"/>
      <w:color w:val="000080"/>
      <w:sz w:val="20"/>
      <w:szCs w:val="20"/>
    </w:rPr>
  </w:style>
  <w:style w:type="character" w:styleId="EmailStyle494" w:customStyle="1">
    <w:name w:val="EmailStyle494"/>
    <w:semiHidden/>
    <w:qFormat/>
    <w:rsid w:val="00ea1435"/>
    <w:rPr>
      <w:rFonts w:ascii="Arial" w:hAnsi="Arial" w:cs="Arial"/>
      <w:color w:val="000080"/>
      <w:sz w:val="20"/>
      <w:szCs w:val="20"/>
    </w:rPr>
  </w:style>
  <w:style w:type="character" w:styleId="EmailStyle556" w:customStyle="1">
    <w:name w:val="EmailStyle556"/>
    <w:semiHidden/>
    <w:qFormat/>
    <w:rsid w:val="00ea1435"/>
    <w:rPr>
      <w:rFonts w:ascii="Arial" w:hAnsi="Arial" w:cs="Arial"/>
      <w:color w:val="000080"/>
      <w:sz w:val="20"/>
      <w:szCs w:val="20"/>
    </w:rPr>
  </w:style>
  <w:style w:type="character" w:styleId="EmailStyle813" w:customStyle="1">
    <w:name w:val="EmailStyle813"/>
    <w:semiHidden/>
    <w:qFormat/>
    <w:rsid w:val="00ea1435"/>
    <w:rPr>
      <w:rFonts w:ascii="Arial" w:hAnsi="Arial" w:cs="Arial"/>
      <w:color w:val="000080"/>
      <w:sz w:val="20"/>
      <w:szCs w:val="20"/>
    </w:rPr>
  </w:style>
  <w:style w:type="character" w:styleId="EmailStyle830" w:customStyle="1">
    <w:name w:val="EmailStyle830"/>
    <w:semiHidden/>
    <w:qFormat/>
    <w:rsid w:val="00ea1435"/>
    <w:rPr>
      <w:rFonts w:ascii="Arial" w:hAnsi="Arial" w:cs="Arial"/>
      <w:color w:val="000080"/>
      <w:sz w:val="20"/>
      <w:szCs w:val="20"/>
    </w:rPr>
  </w:style>
  <w:style w:type="character" w:styleId="EmailStyle1546" w:customStyle="1">
    <w:name w:val="EmailStyle1546"/>
    <w:semiHidden/>
    <w:qFormat/>
    <w:rsid w:val="00ea1435"/>
    <w:rPr>
      <w:rFonts w:ascii="Arial" w:hAnsi="Arial" w:cs="Arial"/>
      <w:color w:val="000080"/>
      <w:sz w:val="20"/>
      <w:szCs w:val="20"/>
    </w:rPr>
  </w:style>
  <w:style w:type="character" w:styleId="EmailStyle1563" w:customStyle="1">
    <w:name w:val="EmailStyle1563"/>
    <w:semiHidden/>
    <w:qFormat/>
    <w:rsid w:val="00ea1435"/>
    <w:rPr>
      <w:rFonts w:ascii="Arial" w:hAnsi="Arial" w:cs="Arial"/>
      <w:color w:val="000080"/>
      <w:sz w:val="20"/>
      <w:szCs w:val="20"/>
    </w:rPr>
  </w:style>
  <w:style w:type="character" w:styleId="EmailStyle1984" w:customStyle="1">
    <w:name w:val="EmailStyle1984"/>
    <w:semiHidden/>
    <w:qFormat/>
    <w:rsid w:val="00ea1435"/>
    <w:rPr>
      <w:rFonts w:ascii="Arial" w:hAnsi="Arial" w:cs="Arial"/>
      <w:color w:val="000080"/>
      <w:sz w:val="20"/>
      <w:szCs w:val="20"/>
    </w:rPr>
  </w:style>
  <w:style w:type="character" w:styleId="EmailStyle1985" w:customStyle="1">
    <w:name w:val="EmailStyle1985"/>
    <w:semiHidden/>
    <w:qFormat/>
    <w:rsid w:val="00ea1435"/>
    <w:rPr>
      <w:rFonts w:ascii="Arial" w:hAnsi="Arial" w:cs="Arial"/>
      <w:color w:val="000080"/>
      <w:sz w:val="20"/>
      <w:szCs w:val="20"/>
    </w:rPr>
  </w:style>
  <w:style w:type="character" w:styleId="EmailStyle1986" w:customStyle="1">
    <w:name w:val="EmailStyle1986"/>
    <w:semiHidden/>
    <w:qFormat/>
    <w:rsid w:val="00ea1435"/>
    <w:rPr>
      <w:rFonts w:ascii="Arial" w:hAnsi="Arial" w:cs="Arial"/>
      <w:color w:val="000080"/>
      <w:sz w:val="20"/>
      <w:szCs w:val="20"/>
    </w:rPr>
  </w:style>
  <w:style w:type="character" w:styleId="EmailStyle1987" w:customStyle="1">
    <w:name w:val="EmailStyle1987"/>
    <w:semiHidden/>
    <w:qFormat/>
    <w:rsid w:val="00ea1435"/>
    <w:rPr>
      <w:rFonts w:ascii="Arial" w:hAnsi="Arial" w:cs="Arial"/>
      <w:color w:val="000080"/>
      <w:sz w:val="20"/>
      <w:szCs w:val="20"/>
    </w:rPr>
  </w:style>
  <w:style w:type="character" w:styleId="EmailStyle2135" w:customStyle="1">
    <w:name w:val="EmailStyle2135"/>
    <w:semiHidden/>
    <w:qFormat/>
    <w:rsid w:val="00ea1435"/>
    <w:rPr>
      <w:rFonts w:ascii="Arial" w:hAnsi="Arial" w:cs="Arial"/>
      <w:color w:val="000080"/>
      <w:sz w:val="20"/>
      <w:szCs w:val="20"/>
    </w:rPr>
  </w:style>
  <w:style w:type="character" w:styleId="EmailStyle2136" w:customStyle="1">
    <w:name w:val="EmailStyle2136"/>
    <w:semiHidden/>
    <w:qFormat/>
    <w:rsid w:val="00ea1435"/>
    <w:rPr>
      <w:rFonts w:ascii="Arial" w:hAnsi="Arial" w:cs="Arial"/>
      <w:color w:val="000080"/>
      <w:sz w:val="20"/>
      <w:szCs w:val="20"/>
    </w:rPr>
  </w:style>
  <w:style w:type="character" w:styleId="EmailStyle2137" w:customStyle="1">
    <w:name w:val="EmailStyle2137"/>
    <w:semiHidden/>
    <w:qFormat/>
    <w:rsid w:val="00ea1435"/>
    <w:rPr>
      <w:rFonts w:ascii="Arial" w:hAnsi="Arial" w:cs="Arial"/>
      <w:color w:val="000080"/>
      <w:sz w:val="20"/>
      <w:szCs w:val="20"/>
    </w:rPr>
  </w:style>
  <w:style w:type="character" w:styleId="EmailStyle2138" w:customStyle="1">
    <w:name w:val="EmailStyle2138"/>
    <w:semiHidden/>
    <w:qFormat/>
    <w:rsid w:val="00ea1435"/>
    <w:rPr>
      <w:rFonts w:ascii="Arial" w:hAnsi="Arial" w:cs="Arial"/>
      <w:color w:val="000080"/>
      <w:sz w:val="20"/>
      <w:szCs w:val="20"/>
    </w:rPr>
  </w:style>
  <w:style w:type="character" w:styleId="EmailStyle2139" w:customStyle="1">
    <w:name w:val="EmailStyle2139"/>
    <w:semiHidden/>
    <w:qFormat/>
    <w:rsid w:val="00ea1435"/>
    <w:rPr>
      <w:rFonts w:ascii="Arial" w:hAnsi="Arial" w:cs="Arial"/>
      <w:color w:val="000080"/>
      <w:sz w:val="20"/>
      <w:szCs w:val="20"/>
    </w:rPr>
  </w:style>
  <w:style w:type="character" w:styleId="EmailStyle2140" w:customStyle="1">
    <w:name w:val="EmailStyle2140"/>
    <w:semiHidden/>
    <w:qFormat/>
    <w:rsid w:val="00ea1435"/>
    <w:rPr>
      <w:rFonts w:ascii="Arial" w:hAnsi="Arial" w:cs="Arial"/>
      <w:color w:val="000080"/>
      <w:sz w:val="20"/>
      <w:szCs w:val="20"/>
    </w:rPr>
  </w:style>
  <w:style w:type="character" w:styleId="EmailStyle2141" w:customStyle="1">
    <w:name w:val="EmailStyle2141"/>
    <w:semiHidden/>
    <w:qFormat/>
    <w:rsid w:val="00ea1435"/>
    <w:rPr>
      <w:rFonts w:ascii="Arial" w:hAnsi="Arial" w:cs="Arial"/>
      <w:color w:val="000080"/>
      <w:sz w:val="20"/>
      <w:szCs w:val="20"/>
    </w:rPr>
  </w:style>
  <w:style w:type="character" w:styleId="EmailStyle2142" w:customStyle="1">
    <w:name w:val="EmailStyle2142"/>
    <w:semiHidden/>
    <w:qFormat/>
    <w:rsid w:val="00ea1435"/>
    <w:rPr>
      <w:rFonts w:ascii="Arial" w:hAnsi="Arial" w:cs="Arial"/>
      <w:color w:val="000080"/>
      <w:sz w:val="20"/>
      <w:szCs w:val="20"/>
    </w:rPr>
  </w:style>
  <w:style w:type="character" w:styleId="EmailStyle2143" w:customStyle="1">
    <w:name w:val="EmailStyle2143"/>
    <w:semiHidden/>
    <w:qFormat/>
    <w:rsid w:val="00ea1435"/>
    <w:rPr>
      <w:rFonts w:ascii="Arial" w:hAnsi="Arial" w:cs="Arial"/>
      <w:color w:val="000080"/>
      <w:sz w:val="20"/>
      <w:szCs w:val="20"/>
    </w:rPr>
  </w:style>
  <w:style w:type="character" w:styleId="EmailStyle2144" w:customStyle="1">
    <w:name w:val="EmailStyle2144"/>
    <w:semiHidden/>
    <w:qFormat/>
    <w:rsid w:val="00ea1435"/>
    <w:rPr>
      <w:rFonts w:ascii="Arial" w:hAnsi="Arial" w:cs="Arial"/>
      <w:color w:val="000080"/>
      <w:sz w:val="20"/>
      <w:szCs w:val="20"/>
    </w:rPr>
  </w:style>
  <w:style w:type="character" w:styleId="EmailStyle21681" w:customStyle="1">
    <w:name w:val="EmailStyle21681"/>
    <w:basedOn w:val="DefaultParagraphFont"/>
    <w:semiHidden/>
    <w:qFormat/>
    <w:rsid w:val="00ea1435"/>
    <w:rPr>
      <w:rFonts w:ascii="Arial" w:hAnsi="Arial" w:cs="Arial"/>
      <w:color w:val="000080"/>
      <w:sz w:val="20"/>
      <w:szCs w:val="20"/>
    </w:rPr>
  </w:style>
  <w:style w:type="character" w:styleId="EmailStyle21691" w:customStyle="1">
    <w:name w:val="EmailStyle21691"/>
    <w:basedOn w:val="DefaultParagraphFont"/>
    <w:semiHidden/>
    <w:qFormat/>
    <w:rsid w:val="00ea1435"/>
    <w:rPr>
      <w:rFonts w:ascii="Arial" w:hAnsi="Arial" w:cs="Arial"/>
      <w:color w:val="000080"/>
      <w:sz w:val="20"/>
      <w:szCs w:val="20"/>
    </w:rPr>
  </w:style>
  <w:style w:type="character" w:styleId="EmailStyle21701" w:customStyle="1">
    <w:name w:val="EmailStyle21701"/>
    <w:basedOn w:val="DefaultParagraphFont"/>
    <w:semiHidden/>
    <w:qFormat/>
    <w:rsid w:val="00ea1435"/>
    <w:rPr>
      <w:rFonts w:ascii="Arial" w:hAnsi="Arial" w:cs="Arial"/>
      <w:color w:val="000080"/>
      <w:sz w:val="20"/>
      <w:szCs w:val="20"/>
    </w:rPr>
  </w:style>
  <w:style w:type="character" w:styleId="EmailStyle21711" w:customStyle="1">
    <w:name w:val="EmailStyle21711"/>
    <w:basedOn w:val="DefaultParagraphFont"/>
    <w:semiHidden/>
    <w:qFormat/>
    <w:rsid w:val="00ea1435"/>
    <w:rPr>
      <w:rFonts w:ascii="Arial" w:hAnsi="Arial" w:cs="Arial"/>
      <w:color w:val="000080"/>
      <w:sz w:val="20"/>
      <w:szCs w:val="20"/>
    </w:rPr>
  </w:style>
  <w:style w:type="character" w:styleId="EmailStyle21721" w:customStyle="1">
    <w:name w:val="EmailStyle21721"/>
    <w:basedOn w:val="DefaultParagraphFont"/>
    <w:semiHidden/>
    <w:qFormat/>
    <w:rsid w:val="00ea1435"/>
    <w:rPr>
      <w:rFonts w:ascii="Arial" w:hAnsi="Arial" w:cs="Arial"/>
      <w:color w:val="000080"/>
      <w:sz w:val="20"/>
      <w:szCs w:val="20"/>
    </w:rPr>
  </w:style>
  <w:style w:type="character" w:styleId="EmailStyle21731" w:customStyle="1">
    <w:name w:val="EmailStyle21731"/>
    <w:basedOn w:val="DefaultParagraphFont"/>
    <w:semiHidden/>
    <w:qFormat/>
    <w:rsid w:val="00ea1435"/>
    <w:rPr>
      <w:rFonts w:ascii="Arial" w:hAnsi="Arial" w:cs="Arial"/>
      <w:color w:val="000080"/>
      <w:sz w:val="20"/>
      <w:szCs w:val="20"/>
    </w:rPr>
  </w:style>
  <w:style w:type="character" w:styleId="EmailStyle21741" w:customStyle="1">
    <w:name w:val="EmailStyle21741"/>
    <w:basedOn w:val="DefaultParagraphFont"/>
    <w:semiHidden/>
    <w:qFormat/>
    <w:rsid w:val="00ea1435"/>
    <w:rPr>
      <w:rFonts w:ascii="Arial" w:hAnsi="Arial" w:cs="Arial"/>
      <w:color w:val="000080"/>
      <w:sz w:val="20"/>
      <w:szCs w:val="20"/>
    </w:rPr>
  </w:style>
  <w:style w:type="character" w:styleId="EmailStyle21751" w:customStyle="1">
    <w:name w:val="EmailStyle21751"/>
    <w:basedOn w:val="DefaultParagraphFont"/>
    <w:semiHidden/>
    <w:qFormat/>
    <w:rsid w:val="00ea1435"/>
    <w:rPr>
      <w:rFonts w:ascii="Arial" w:hAnsi="Arial" w:cs="Arial"/>
      <w:color w:val="000080"/>
      <w:sz w:val="20"/>
      <w:szCs w:val="20"/>
    </w:rPr>
  </w:style>
  <w:style w:type="character" w:styleId="EmailStyle21761" w:customStyle="1">
    <w:name w:val="EmailStyle21761"/>
    <w:basedOn w:val="DefaultParagraphFont"/>
    <w:semiHidden/>
    <w:qFormat/>
    <w:rsid w:val="00ea1435"/>
    <w:rPr>
      <w:rFonts w:ascii="Arial" w:hAnsi="Arial" w:cs="Arial"/>
      <w:color w:val="000080"/>
      <w:sz w:val="20"/>
      <w:szCs w:val="20"/>
    </w:rPr>
  </w:style>
  <w:style w:type="character" w:styleId="EmailStyle21771" w:customStyle="1">
    <w:name w:val="EmailStyle21771"/>
    <w:basedOn w:val="DefaultParagraphFont"/>
    <w:semiHidden/>
    <w:qFormat/>
    <w:rsid w:val="00ea1435"/>
    <w:rPr>
      <w:rFonts w:ascii="Arial" w:hAnsi="Arial" w:cs="Arial"/>
      <w:color w:val="000080"/>
      <w:sz w:val="20"/>
      <w:szCs w:val="20"/>
    </w:rPr>
  </w:style>
  <w:style w:type="character" w:styleId="EmailStyle21781" w:customStyle="1">
    <w:name w:val="EmailStyle21781"/>
    <w:basedOn w:val="DefaultParagraphFont"/>
    <w:semiHidden/>
    <w:qFormat/>
    <w:rsid w:val="00ea1435"/>
    <w:rPr>
      <w:rFonts w:ascii="Arial" w:hAnsi="Arial" w:cs="Arial"/>
      <w:color w:val="000080"/>
      <w:sz w:val="20"/>
      <w:szCs w:val="20"/>
    </w:rPr>
  </w:style>
  <w:style w:type="character" w:styleId="EmailStyle21791" w:customStyle="1">
    <w:name w:val="EmailStyle21791"/>
    <w:basedOn w:val="DefaultParagraphFont"/>
    <w:semiHidden/>
    <w:qFormat/>
    <w:rsid w:val="00ea1435"/>
    <w:rPr>
      <w:rFonts w:ascii="Arial" w:hAnsi="Arial" w:cs="Arial"/>
      <w:color w:val="000080"/>
      <w:sz w:val="20"/>
      <w:szCs w:val="20"/>
    </w:rPr>
  </w:style>
  <w:style w:type="character" w:styleId="EmailStyle21801" w:customStyle="1">
    <w:name w:val="EmailStyle21801"/>
    <w:basedOn w:val="DefaultParagraphFont"/>
    <w:semiHidden/>
    <w:qFormat/>
    <w:rsid w:val="00ea1435"/>
    <w:rPr>
      <w:rFonts w:ascii="Arial" w:hAnsi="Arial" w:cs="Arial"/>
      <w:color w:val="000080"/>
      <w:sz w:val="20"/>
      <w:szCs w:val="20"/>
    </w:rPr>
  </w:style>
  <w:style w:type="character" w:styleId="EmailStyle21811" w:customStyle="1">
    <w:name w:val="EmailStyle21811"/>
    <w:basedOn w:val="DefaultParagraphFont"/>
    <w:semiHidden/>
    <w:qFormat/>
    <w:rsid w:val="00ea1435"/>
    <w:rPr>
      <w:rFonts w:ascii="Arial" w:hAnsi="Arial" w:cs="Arial"/>
      <w:color w:val="000080"/>
      <w:sz w:val="20"/>
      <w:szCs w:val="20"/>
    </w:rPr>
  </w:style>
  <w:style w:type="character" w:styleId="EmailStyle21821" w:customStyle="1">
    <w:name w:val="EmailStyle21821"/>
    <w:basedOn w:val="DefaultParagraphFont"/>
    <w:semiHidden/>
    <w:qFormat/>
    <w:rsid w:val="00ea1435"/>
    <w:rPr>
      <w:rFonts w:ascii="Arial" w:hAnsi="Arial" w:cs="Arial"/>
      <w:color w:val="000080"/>
      <w:sz w:val="20"/>
      <w:szCs w:val="20"/>
    </w:rPr>
  </w:style>
  <w:style w:type="character" w:styleId="EmailStyle21831" w:customStyle="1">
    <w:name w:val="EmailStyle21831"/>
    <w:basedOn w:val="DefaultParagraphFont"/>
    <w:semiHidden/>
    <w:qFormat/>
    <w:rsid w:val="00ea1435"/>
    <w:rPr>
      <w:rFonts w:ascii="Arial" w:hAnsi="Arial" w:cs="Arial"/>
      <w:color w:val="000080"/>
      <w:sz w:val="20"/>
      <w:szCs w:val="20"/>
    </w:rPr>
  </w:style>
  <w:style w:type="character" w:styleId="EmailStyle21841" w:customStyle="1">
    <w:name w:val="EmailStyle21841"/>
    <w:basedOn w:val="DefaultParagraphFont"/>
    <w:semiHidden/>
    <w:qFormat/>
    <w:rsid w:val="00ea1435"/>
    <w:rPr>
      <w:rFonts w:ascii="Arial" w:hAnsi="Arial" w:cs="Arial"/>
      <w:color w:val="000080"/>
      <w:sz w:val="20"/>
      <w:szCs w:val="20"/>
    </w:rPr>
  </w:style>
  <w:style w:type="character" w:styleId="EmailStyle21851" w:customStyle="1">
    <w:name w:val="EmailStyle21851"/>
    <w:basedOn w:val="DefaultParagraphFont"/>
    <w:semiHidden/>
    <w:qFormat/>
    <w:rsid w:val="00ea1435"/>
    <w:rPr>
      <w:rFonts w:ascii="Arial" w:hAnsi="Arial" w:cs="Arial"/>
      <w:color w:val="000080"/>
      <w:sz w:val="20"/>
      <w:szCs w:val="20"/>
    </w:rPr>
  </w:style>
  <w:style w:type="character" w:styleId="EmailStyle21861" w:customStyle="1">
    <w:name w:val="EmailStyle21861"/>
    <w:basedOn w:val="DefaultParagraphFont"/>
    <w:semiHidden/>
    <w:qFormat/>
    <w:rsid w:val="00ea1435"/>
    <w:rPr>
      <w:rFonts w:ascii="Arial" w:hAnsi="Arial" w:cs="Arial"/>
      <w:color w:val="000080"/>
      <w:sz w:val="20"/>
      <w:szCs w:val="20"/>
    </w:rPr>
  </w:style>
  <w:style w:type="character" w:styleId="EmailStyle21871" w:customStyle="1">
    <w:name w:val="EmailStyle21871"/>
    <w:basedOn w:val="DefaultParagraphFont"/>
    <w:semiHidden/>
    <w:qFormat/>
    <w:rsid w:val="00ea1435"/>
    <w:rPr>
      <w:rFonts w:ascii="Arial" w:hAnsi="Arial" w:cs="Arial"/>
      <w:color w:val="000080"/>
      <w:sz w:val="20"/>
      <w:szCs w:val="20"/>
    </w:rPr>
  </w:style>
  <w:style w:type="character" w:styleId="EmailStyle21881" w:customStyle="1">
    <w:name w:val="EmailStyle21881"/>
    <w:basedOn w:val="DefaultParagraphFont"/>
    <w:semiHidden/>
    <w:qFormat/>
    <w:rsid w:val="00ea1435"/>
    <w:rPr>
      <w:rFonts w:ascii="Arial" w:hAnsi="Arial" w:cs="Arial"/>
      <w:color w:val="000080"/>
      <w:sz w:val="20"/>
      <w:szCs w:val="20"/>
    </w:rPr>
  </w:style>
  <w:style w:type="character" w:styleId="EmailStyle21891" w:customStyle="1">
    <w:name w:val="EmailStyle21891"/>
    <w:basedOn w:val="DefaultParagraphFont"/>
    <w:semiHidden/>
    <w:qFormat/>
    <w:rsid w:val="00ea1435"/>
    <w:rPr>
      <w:rFonts w:ascii="Arial" w:hAnsi="Arial" w:cs="Arial"/>
      <w:color w:val="000080"/>
      <w:sz w:val="20"/>
      <w:szCs w:val="20"/>
    </w:rPr>
  </w:style>
  <w:style w:type="character" w:styleId="EmailStyle21901" w:customStyle="1">
    <w:name w:val="EmailStyle21901"/>
    <w:basedOn w:val="DefaultParagraphFont"/>
    <w:semiHidden/>
    <w:qFormat/>
    <w:rsid w:val="00ea1435"/>
    <w:rPr>
      <w:rFonts w:ascii="Arial" w:hAnsi="Arial" w:cs="Arial"/>
      <w:color w:val="000080"/>
      <w:sz w:val="20"/>
      <w:szCs w:val="20"/>
    </w:rPr>
  </w:style>
  <w:style w:type="character" w:styleId="EmailStyle21911" w:customStyle="1">
    <w:name w:val="EmailStyle21911"/>
    <w:basedOn w:val="DefaultParagraphFont"/>
    <w:semiHidden/>
    <w:qFormat/>
    <w:rsid w:val="00ea1435"/>
    <w:rPr>
      <w:rFonts w:ascii="Arial" w:hAnsi="Arial" w:cs="Arial"/>
      <w:color w:val="000080"/>
      <w:sz w:val="20"/>
      <w:szCs w:val="20"/>
    </w:rPr>
  </w:style>
  <w:style w:type="character" w:styleId="EmailStyle21921" w:customStyle="1">
    <w:name w:val="EmailStyle21921"/>
    <w:basedOn w:val="DefaultParagraphFont"/>
    <w:semiHidden/>
    <w:qFormat/>
    <w:rsid w:val="00ea1435"/>
    <w:rPr>
      <w:rFonts w:ascii="Arial" w:hAnsi="Arial" w:cs="Arial"/>
      <w:color w:val="000080"/>
      <w:sz w:val="20"/>
      <w:szCs w:val="20"/>
    </w:rPr>
  </w:style>
  <w:style w:type="character" w:styleId="EmailStyle21931" w:customStyle="1">
    <w:name w:val="EmailStyle21931"/>
    <w:basedOn w:val="DefaultParagraphFont"/>
    <w:semiHidden/>
    <w:qFormat/>
    <w:rsid w:val="00ea1435"/>
    <w:rPr>
      <w:rFonts w:ascii="Arial" w:hAnsi="Arial" w:cs="Arial"/>
      <w:color w:val="000080"/>
      <w:sz w:val="20"/>
      <w:szCs w:val="20"/>
    </w:rPr>
  </w:style>
  <w:style w:type="character" w:styleId="EmailStyle21941" w:customStyle="1">
    <w:name w:val="EmailStyle21941"/>
    <w:basedOn w:val="DefaultParagraphFont"/>
    <w:semiHidden/>
    <w:qFormat/>
    <w:rsid w:val="00ea1435"/>
    <w:rPr>
      <w:rFonts w:ascii="Arial" w:hAnsi="Arial" w:cs="Arial"/>
      <w:color w:val="000080"/>
      <w:sz w:val="20"/>
      <w:szCs w:val="20"/>
    </w:rPr>
  </w:style>
  <w:style w:type="character" w:styleId="EmailStyle21951" w:customStyle="1">
    <w:name w:val="EmailStyle21951"/>
    <w:basedOn w:val="DefaultParagraphFont"/>
    <w:semiHidden/>
    <w:qFormat/>
    <w:rsid w:val="00ea1435"/>
    <w:rPr>
      <w:rFonts w:ascii="Arial" w:hAnsi="Arial" w:cs="Arial"/>
      <w:color w:val="000080"/>
      <w:sz w:val="20"/>
      <w:szCs w:val="20"/>
    </w:rPr>
  </w:style>
  <w:style w:type="character" w:styleId="EmailStyle21961" w:customStyle="1">
    <w:name w:val="EmailStyle21961"/>
    <w:basedOn w:val="DefaultParagraphFont"/>
    <w:semiHidden/>
    <w:qFormat/>
    <w:rsid w:val="00ea1435"/>
    <w:rPr>
      <w:rFonts w:ascii="Arial" w:hAnsi="Arial" w:cs="Arial"/>
      <w:color w:val="000080"/>
      <w:sz w:val="20"/>
      <w:szCs w:val="20"/>
    </w:rPr>
  </w:style>
  <w:style w:type="character" w:styleId="EmailStyle21971" w:customStyle="1">
    <w:name w:val="EmailStyle21971"/>
    <w:basedOn w:val="DefaultParagraphFont"/>
    <w:semiHidden/>
    <w:qFormat/>
    <w:rsid w:val="00ea1435"/>
    <w:rPr>
      <w:rFonts w:ascii="Arial" w:hAnsi="Arial" w:cs="Arial"/>
      <w:color w:val="000080"/>
      <w:sz w:val="20"/>
      <w:szCs w:val="20"/>
    </w:rPr>
  </w:style>
  <w:style w:type="character" w:styleId="EmailStyle21981" w:customStyle="1">
    <w:name w:val="EmailStyle21981"/>
    <w:basedOn w:val="DefaultParagraphFont"/>
    <w:semiHidden/>
    <w:qFormat/>
    <w:rsid w:val="00ea1435"/>
    <w:rPr>
      <w:rFonts w:ascii="Arial" w:hAnsi="Arial" w:cs="Arial"/>
      <w:color w:val="000080"/>
      <w:sz w:val="20"/>
      <w:szCs w:val="20"/>
    </w:rPr>
  </w:style>
  <w:style w:type="character" w:styleId="EmailStyle21991" w:customStyle="1">
    <w:name w:val="EmailStyle21991"/>
    <w:basedOn w:val="DefaultParagraphFont"/>
    <w:semiHidden/>
    <w:qFormat/>
    <w:rsid w:val="00ea1435"/>
    <w:rPr>
      <w:rFonts w:ascii="Arial" w:hAnsi="Arial" w:cs="Arial"/>
      <w:color w:val="000080"/>
      <w:sz w:val="20"/>
      <w:szCs w:val="20"/>
    </w:rPr>
  </w:style>
  <w:style w:type="character" w:styleId="EmailStyle22001" w:customStyle="1">
    <w:name w:val="EmailStyle22001"/>
    <w:basedOn w:val="DefaultParagraphFont"/>
    <w:semiHidden/>
    <w:qFormat/>
    <w:rsid w:val="00ea1435"/>
    <w:rPr>
      <w:rFonts w:ascii="Arial" w:hAnsi="Arial" w:cs="Arial"/>
      <w:color w:val="000080"/>
      <w:sz w:val="20"/>
      <w:szCs w:val="20"/>
    </w:rPr>
  </w:style>
  <w:style w:type="character" w:styleId="EmailStyle22011" w:customStyle="1">
    <w:name w:val="EmailStyle22011"/>
    <w:basedOn w:val="DefaultParagraphFont"/>
    <w:semiHidden/>
    <w:qFormat/>
    <w:rsid w:val="00ea1435"/>
    <w:rPr>
      <w:rFonts w:ascii="Arial" w:hAnsi="Arial" w:cs="Arial"/>
      <w:color w:val="000080"/>
      <w:sz w:val="20"/>
      <w:szCs w:val="20"/>
    </w:rPr>
  </w:style>
  <w:style w:type="character" w:styleId="EmailStyle22021" w:customStyle="1">
    <w:name w:val="EmailStyle22021"/>
    <w:basedOn w:val="DefaultParagraphFont"/>
    <w:semiHidden/>
    <w:qFormat/>
    <w:rsid w:val="00ea1435"/>
    <w:rPr>
      <w:rFonts w:ascii="Arial" w:hAnsi="Arial" w:cs="Arial"/>
      <w:color w:val="000080"/>
      <w:sz w:val="20"/>
      <w:szCs w:val="20"/>
    </w:rPr>
  </w:style>
  <w:style w:type="character" w:styleId="EmailStyle22031" w:customStyle="1">
    <w:name w:val="EmailStyle22031"/>
    <w:basedOn w:val="DefaultParagraphFont"/>
    <w:semiHidden/>
    <w:qFormat/>
    <w:rsid w:val="00ea1435"/>
    <w:rPr>
      <w:rFonts w:ascii="Arial" w:hAnsi="Arial" w:cs="Arial"/>
      <w:color w:val="000080"/>
      <w:sz w:val="20"/>
      <w:szCs w:val="20"/>
    </w:rPr>
  </w:style>
  <w:style w:type="character" w:styleId="EmailStyle22041" w:customStyle="1">
    <w:name w:val="EmailStyle22041"/>
    <w:basedOn w:val="DefaultParagraphFont"/>
    <w:semiHidden/>
    <w:qFormat/>
    <w:rsid w:val="00ea1435"/>
    <w:rPr>
      <w:rFonts w:ascii="Arial" w:hAnsi="Arial" w:cs="Arial"/>
      <w:color w:val="000080"/>
      <w:sz w:val="20"/>
      <w:szCs w:val="20"/>
    </w:rPr>
  </w:style>
  <w:style w:type="character" w:styleId="EmailStyle22051" w:customStyle="1">
    <w:name w:val="EmailStyle22051"/>
    <w:basedOn w:val="DefaultParagraphFont"/>
    <w:semiHidden/>
    <w:qFormat/>
    <w:rsid w:val="00ea1435"/>
    <w:rPr>
      <w:rFonts w:ascii="Arial" w:hAnsi="Arial" w:cs="Arial"/>
      <w:color w:val="000080"/>
      <w:sz w:val="20"/>
      <w:szCs w:val="20"/>
    </w:rPr>
  </w:style>
  <w:style w:type="character" w:styleId="EmailStyle22061" w:customStyle="1">
    <w:name w:val="EmailStyle22061"/>
    <w:basedOn w:val="DefaultParagraphFont"/>
    <w:semiHidden/>
    <w:qFormat/>
    <w:rsid w:val="00ea1435"/>
    <w:rPr>
      <w:rFonts w:ascii="Arial" w:hAnsi="Arial" w:cs="Arial"/>
      <w:color w:val="000080"/>
      <w:sz w:val="20"/>
      <w:szCs w:val="20"/>
    </w:rPr>
  </w:style>
  <w:style w:type="character" w:styleId="EmailStyle22071" w:customStyle="1">
    <w:name w:val="EmailStyle22071"/>
    <w:basedOn w:val="DefaultParagraphFont"/>
    <w:semiHidden/>
    <w:qFormat/>
    <w:rsid w:val="00ea1435"/>
    <w:rPr>
      <w:rFonts w:ascii="Arial" w:hAnsi="Arial" w:cs="Arial"/>
      <w:color w:val="000080"/>
      <w:sz w:val="20"/>
      <w:szCs w:val="20"/>
    </w:rPr>
  </w:style>
  <w:style w:type="character" w:styleId="EmailStyle22081" w:customStyle="1">
    <w:name w:val="EmailStyle22081"/>
    <w:basedOn w:val="DefaultParagraphFont"/>
    <w:semiHidden/>
    <w:qFormat/>
    <w:rsid w:val="00ea1435"/>
    <w:rPr>
      <w:rFonts w:ascii="Arial" w:hAnsi="Arial" w:cs="Arial"/>
      <w:color w:val="000080"/>
      <w:sz w:val="20"/>
      <w:szCs w:val="20"/>
    </w:rPr>
  </w:style>
  <w:style w:type="character" w:styleId="EmailStyle22091" w:customStyle="1">
    <w:name w:val="EmailStyle22091"/>
    <w:basedOn w:val="DefaultParagraphFont"/>
    <w:semiHidden/>
    <w:qFormat/>
    <w:rsid w:val="00ea1435"/>
    <w:rPr>
      <w:rFonts w:ascii="Arial" w:hAnsi="Arial" w:cs="Arial"/>
      <w:color w:val="000080"/>
      <w:sz w:val="20"/>
      <w:szCs w:val="20"/>
    </w:rPr>
  </w:style>
  <w:style w:type="character" w:styleId="EmailStyle22101" w:customStyle="1">
    <w:name w:val="EmailStyle22101"/>
    <w:basedOn w:val="DefaultParagraphFont"/>
    <w:semiHidden/>
    <w:qFormat/>
    <w:rsid w:val="00ea1435"/>
    <w:rPr>
      <w:rFonts w:ascii="Arial" w:hAnsi="Arial" w:cs="Arial"/>
      <w:color w:val="000080"/>
      <w:sz w:val="20"/>
      <w:szCs w:val="20"/>
    </w:rPr>
  </w:style>
  <w:style w:type="character" w:styleId="EmailStyle22111" w:customStyle="1">
    <w:name w:val="EmailStyle22111"/>
    <w:basedOn w:val="DefaultParagraphFont"/>
    <w:semiHidden/>
    <w:qFormat/>
    <w:rsid w:val="00ea1435"/>
    <w:rPr>
      <w:rFonts w:ascii="Arial" w:hAnsi="Arial" w:cs="Arial"/>
      <w:color w:val="000080"/>
      <w:sz w:val="20"/>
      <w:szCs w:val="20"/>
    </w:rPr>
  </w:style>
  <w:style w:type="character" w:styleId="EmailStyle22121" w:customStyle="1">
    <w:name w:val="EmailStyle22121"/>
    <w:basedOn w:val="DefaultParagraphFont"/>
    <w:semiHidden/>
    <w:qFormat/>
    <w:rsid w:val="00ea1435"/>
    <w:rPr>
      <w:rFonts w:ascii="Arial" w:hAnsi="Arial" w:cs="Arial"/>
      <w:color w:val="000080"/>
      <w:sz w:val="20"/>
      <w:szCs w:val="20"/>
    </w:rPr>
  </w:style>
  <w:style w:type="character" w:styleId="EmailStyle22131" w:customStyle="1">
    <w:name w:val="EmailStyle22131"/>
    <w:basedOn w:val="DefaultParagraphFont"/>
    <w:semiHidden/>
    <w:qFormat/>
    <w:rsid w:val="00ea1435"/>
    <w:rPr>
      <w:rFonts w:ascii="Arial" w:hAnsi="Arial" w:cs="Arial"/>
      <w:color w:val="000080"/>
      <w:sz w:val="20"/>
      <w:szCs w:val="20"/>
    </w:rPr>
  </w:style>
  <w:style w:type="character" w:styleId="EmailStyle22141" w:customStyle="1">
    <w:name w:val="EmailStyle22141"/>
    <w:basedOn w:val="DefaultParagraphFont"/>
    <w:semiHidden/>
    <w:qFormat/>
    <w:rsid w:val="00ea1435"/>
    <w:rPr>
      <w:rFonts w:ascii="Arial" w:hAnsi="Arial" w:cs="Arial"/>
      <w:color w:val="000080"/>
      <w:sz w:val="20"/>
      <w:szCs w:val="20"/>
    </w:rPr>
  </w:style>
  <w:style w:type="character" w:styleId="EmailStyle22151" w:customStyle="1">
    <w:name w:val="EmailStyle22151"/>
    <w:basedOn w:val="DefaultParagraphFont"/>
    <w:semiHidden/>
    <w:qFormat/>
    <w:rsid w:val="00ea1435"/>
    <w:rPr>
      <w:rFonts w:ascii="Arial" w:hAnsi="Arial" w:cs="Arial"/>
      <w:color w:val="000080"/>
      <w:sz w:val="20"/>
      <w:szCs w:val="20"/>
    </w:rPr>
  </w:style>
  <w:style w:type="character" w:styleId="EmailStyle22161" w:customStyle="1">
    <w:name w:val="EmailStyle22161"/>
    <w:basedOn w:val="DefaultParagraphFont"/>
    <w:semiHidden/>
    <w:qFormat/>
    <w:rsid w:val="00ea1435"/>
    <w:rPr>
      <w:rFonts w:ascii="Arial" w:hAnsi="Arial" w:cs="Arial"/>
      <w:color w:val="000080"/>
      <w:sz w:val="20"/>
      <w:szCs w:val="20"/>
    </w:rPr>
  </w:style>
  <w:style w:type="character" w:styleId="EmailStyle22171" w:customStyle="1">
    <w:name w:val="EmailStyle22171"/>
    <w:basedOn w:val="DefaultParagraphFont"/>
    <w:semiHidden/>
    <w:qFormat/>
    <w:rsid w:val="00ea1435"/>
    <w:rPr>
      <w:rFonts w:ascii="Arial" w:hAnsi="Arial" w:cs="Arial"/>
      <w:color w:val="000080"/>
      <w:sz w:val="20"/>
      <w:szCs w:val="20"/>
    </w:rPr>
  </w:style>
  <w:style w:type="character" w:styleId="EmailStyle22181" w:customStyle="1">
    <w:name w:val="EmailStyle22181"/>
    <w:basedOn w:val="DefaultParagraphFont"/>
    <w:semiHidden/>
    <w:qFormat/>
    <w:rsid w:val="00ea1435"/>
    <w:rPr>
      <w:rFonts w:ascii="Arial" w:hAnsi="Arial" w:cs="Arial"/>
      <w:color w:val="000080"/>
      <w:sz w:val="20"/>
      <w:szCs w:val="20"/>
    </w:rPr>
  </w:style>
  <w:style w:type="character" w:styleId="EmailStyle22191" w:customStyle="1">
    <w:name w:val="EmailStyle22191"/>
    <w:basedOn w:val="DefaultParagraphFont"/>
    <w:semiHidden/>
    <w:qFormat/>
    <w:rsid w:val="00ea1435"/>
    <w:rPr>
      <w:rFonts w:ascii="Arial" w:hAnsi="Arial" w:cs="Arial"/>
      <w:color w:val="000080"/>
      <w:sz w:val="20"/>
      <w:szCs w:val="20"/>
    </w:rPr>
  </w:style>
  <w:style w:type="character" w:styleId="EmailStyle22201" w:customStyle="1">
    <w:name w:val="EmailStyle22201"/>
    <w:basedOn w:val="DefaultParagraphFont"/>
    <w:semiHidden/>
    <w:qFormat/>
    <w:rsid w:val="00ea1435"/>
    <w:rPr>
      <w:rFonts w:ascii="Arial" w:hAnsi="Arial" w:cs="Arial"/>
      <w:color w:val="000080"/>
      <w:sz w:val="20"/>
      <w:szCs w:val="20"/>
    </w:rPr>
  </w:style>
  <w:style w:type="character" w:styleId="EmailStyle22211" w:customStyle="1">
    <w:name w:val="EmailStyle22211"/>
    <w:basedOn w:val="DefaultParagraphFont"/>
    <w:semiHidden/>
    <w:qFormat/>
    <w:rsid w:val="00ea1435"/>
    <w:rPr>
      <w:rFonts w:ascii="Arial" w:hAnsi="Arial" w:cs="Arial"/>
      <w:color w:val="000080"/>
      <w:sz w:val="20"/>
      <w:szCs w:val="20"/>
    </w:rPr>
  </w:style>
  <w:style w:type="character" w:styleId="EmailStyle22221" w:customStyle="1">
    <w:name w:val="EmailStyle22221"/>
    <w:basedOn w:val="DefaultParagraphFont"/>
    <w:semiHidden/>
    <w:qFormat/>
    <w:rsid w:val="00ea1435"/>
    <w:rPr>
      <w:rFonts w:ascii="Arial" w:hAnsi="Arial" w:cs="Arial"/>
      <w:color w:val="000080"/>
      <w:sz w:val="20"/>
      <w:szCs w:val="20"/>
    </w:rPr>
  </w:style>
  <w:style w:type="character" w:styleId="EmailStyle22231" w:customStyle="1">
    <w:name w:val="EmailStyle22231"/>
    <w:basedOn w:val="DefaultParagraphFont"/>
    <w:semiHidden/>
    <w:qFormat/>
    <w:rsid w:val="00ea1435"/>
    <w:rPr>
      <w:rFonts w:ascii="Arial" w:hAnsi="Arial" w:cs="Arial"/>
      <w:color w:val="000080"/>
      <w:sz w:val="20"/>
      <w:szCs w:val="20"/>
    </w:rPr>
  </w:style>
  <w:style w:type="character" w:styleId="EmailStyle22241" w:customStyle="1">
    <w:name w:val="EmailStyle22241"/>
    <w:basedOn w:val="DefaultParagraphFont"/>
    <w:semiHidden/>
    <w:qFormat/>
    <w:rsid w:val="00ea1435"/>
    <w:rPr>
      <w:rFonts w:ascii="Arial" w:hAnsi="Arial" w:cs="Arial"/>
      <w:color w:val="000080"/>
      <w:sz w:val="20"/>
      <w:szCs w:val="20"/>
    </w:rPr>
  </w:style>
  <w:style w:type="character" w:styleId="EmailStyle22251" w:customStyle="1">
    <w:name w:val="EmailStyle22251"/>
    <w:basedOn w:val="DefaultParagraphFont"/>
    <w:semiHidden/>
    <w:qFormat/>
    <w:rsid w:val="00ea1435"/>
    <w:rPr>
      <w:rFonts w:ascii="Arial" w:hAnsi="Arial" w:cs="Arial"/>
      <w:color w:val="000080"/>
      <w:sz w:val="20"/>
      <w:szCs w:val="20"/>
    </w:rPr>
  </w:style>
  <w:style w:type="character" w:styleId="EmailStyle22261" w:customStyle="1">
    <w:name w:val="EmailStyle22261"/>
    <w:basedOn w:val="DefaultParagraphFont"/>
    <w:semiHidden/>
    <w:qFormat/>
    <w:rsid w:val="00ea1435"/>
    <w:rPr>
      <w:rFonts w:ascii="Arial" w:hAnsi="Arial" w:cs="Arial"/>
      <w:color w:val="000080"/>
      <w:sz w:val="20"/>
      <w:szCs w:val="20"/>
    </w:rPr>
  </w:style>
  <w:style w:type="character" w:styleId="EmailStyle22271" w:customStyle="1">
    <w:name w:val="EmailStyle22271"/>
    <w:basedOn w:val="DefaultParagraphFont"/>
    <w:semiHidden/>
    <w:qFormat/>
    <w:rsid w:val="00ea1435"/>
    <w:rPr>
      <w:rFonts w:ascii="Arial" w:hAnsi="Arial" w:cs="Arial"/>
      <w:color w:val="000080"/>
      <w:sz w:val="20"/>
      <w:szCs w:val="20"/>
    </w:rPr>
  </w:style>
  <w:style w:type="character" w:styleId="EmailStyle22281" w:customStyle="1">
    <w:name w:val="EmailStyle22281"/>
    <w:basedOn w:val="DefaultParagraphFont"/>
    <w:semiHidden/>
    <w:qFormat/>
    <w:rsid w:val="00ea1435"/>
    <w:rPr>
      <w:rFonts w:ascii="Arial" w:hAnsi="Arial" w:cs="Arial"/>
      <w:color w:val="000080"/>
      <w:sz w:val="20"/>
      <w:szCs w:val="20"/>
    </w:rPr>
  </w:style>
  <w:style w:type="character" w:styleId="EmailStyle22291" w:customStyle="1">
    <w:name w:val="EmailStyle22291"/>
    <w:basedOn w:val="DefaultParagraphFont"/>
    <w:semiHidden/>
    <w:qFormat/>
    <w:rsid w:val="00ea1435"/>
    <w:rPr>
      <w:rFonts w:ascii="Arial" w:hAnsi="Arial" w:cs="Arial"/>
      <w:color w:val="000080"/>
      <w:sz w:val="20"/>
      <w:szCs w:val="20"/>
    </w:rPr>
  </w:style>
  <w:style w:type="character" w:styleId="EmailStyle22301" w:customStyle="1">
    <w:name w:val="EmailStyle22301"/>
    <w:basedOn w:val="DefaultParagraphFont"/>
    <w:semiHidden/>
    <w:qFormat/>
    <w:rsid w:val="00ea1435"/>
    <w:rPr>
      <w:rFonts w:ascii="Arial" w:hAnsi="Arial" w:cs="Arial"/>
      <w:color w:val="000080"/>
      <w:sz w:val="20"/>
      <w:szCs w:val="20"/>
    </w:rPr>
  </w:style>
  <w:style w:type="character" w:styleId="EmailStyle22311" w:customStyle="1">
    <w:name w:val="EmailStyle22311"/>
    <w:basedOn w:val="DefaultParagraphFont"/>
    <w:semiHidden/>
    <w:qFormat/>
    <w:rsid w:val="00ea1435"/>
    <w:rPr>
      <w:rFonts w:ascii="Arial" w:hAnsi="Arial" w:cs="Arial"/>
      <w:color w:val="000080"/>
      <w:sz w:val="20"/>
      <w:szCs w:val="20"/>
    </w:rPr>
  </w:style>
  <w:style w:type="character" w:styleId="EmailStyle22321" w:customStyle="1">
    <w:name w:val="EmailStyle22321"/>
    <w:basedOn w:val="DefaultParagraphFont"/>
    <w:semiHidden/>
    <w:qFormat/>
    <w:rsid w:val="00ea1435"/>
    <w:rPr>
      <w:rFonts w:ascii="Arial" w:hAnsi="Arial" w:cs="Arial"/>
      <w:color w:val="000080"/>
      <w:sz w:val="20"/>
      <w:szCs w:val="20"/>
    </w:rPr>
  </w:style>
  <w:style w:type="character" w:styleId="EmailStyle22331" w:customStyle="1">
    <w:name w:val="EmailStyle22331"/>
    <w:basedOn w:val="DefaultParagraphFont"/>
    <w:semiHidden/>
    <w:qFormat/>
    <w:rsid w:val="00ea1435"/>
    <w:rPr>
      <w:rFonts w:ascii="Arial" w:hAnsi="Arial" w:cs="Arial"/>
      <w:color w:val="000080"/>
      <w:sz w:val="20"/>
      <w:szCs w:val="20"/>
    </w:rPr>
  </w:style>
  <w:style w:type="character" w:styleId="EmailStyle22341" w:customStyle="1">
    <w:name w:val="EmailStyle22341"/>
    <w:basedOn w:val="DefaultParagraphFont"/>
    <w:semiHidden/>
    <w:qFormat/>
    <w:rsid w:val="00ea1435"/>
    <w:rPr>
      <w:rFonts w:ascii="Arial" w:hAnsi="Arial" w:cs="Arial"/>
      <w:color w:val="000080"/>
      <w:sz w:val="20"/>
      <w:szCs w:val="20"/>
    </w:rPr>
  </w:style>
  <w:style w:type="character" w:styleId="EmailStyle22351" w:customStyle="1">
    <w:name w:val="EmailStyle22351"/>
    <w:basedOn w:val="DefaultParagraphFont"/>
    <w:semiHidden/>
    <w:qFormat/>
    <w:rsid w:val="00ea1435"/>
    <w:rPr>
      <w:rFonts w:ascii="Arial" w:hAnsi="Arial" w:cs="Arial"/>
      <w:color w:val="000080"/>
      <w:sz w:val="20"/>
      <w:szCs w:val="20"/>
    </w:rPr>
  </w:style>
  <w:style w:type="character" w:styleId="EmailStyle22361" w:customStyle="1">
    <w:name w:val="EmailStyle22361"/>
    <w:basedOn w:val="DefaultParagraphFont"/>
    <w:semiHidden/>
    <w:qFormat/>
    <w:rsid w:val="00ea1435"/>
    <w:rPr>
      <w:rFonts w:ascii="Arial" w:hAnsi="Arial" w:cs="Arial"/>
      <w:color w:val="000080"/>
      <w:sz w:val="20"/>
      <w:szCs w:val="20"/>
    </w:rPr>
  </w:style>
  <w:style w:type="character" w:styleId="EmailStyle22371" w:customStyle="1">
    <w:name w:val="EmailStyle22371"/>
    <w:basedOn w:val="DefaultParagraphFont"/>
    <w:semiHidden/>
    <w:qFormat/>
    <w:rsid w:val="00ea1435"/>
    <w:rPr>
      <w:rFonts w:ascii="Arial" w:hAnsi="Arial" w:cs="Arial"/>
      <w:color w:val="000080"/>
      <w:sz w:val="20"/>
      <w:szCs w:val="20"/>
    </w:rPr>
  </w:style>
  <w:style w:type="character" w:styleId="EmailStyle22381" w:customStyle="1">
    <w:name w:val="EmailStyle22381"/>
    <w:basedOn w:val="DefaultParagraphFont"/>
    <w:semiHidden/>
    <w:qFormat/>
    <w:rsid w:val="00ea1435"/>
    <w:rPr>
      <w:rFonts w:ascii="Arial" w:hAnsi="Arial" w:cs="Arial"/>
      <w:color w:val="000080"/>
      <w:sz w:val="20"/>
      <w:szCs w:val="20"/>
    </w:rPr>
  </w:style>
  <w:style w:type="character" w:styleId="EmailStyle22391" w:customStyle="1">
    <w:name w:val="EmailStyle22391"/>
    <w:basedOn w:val="DefaultParagraphFont"/>
    <w:semiHidden/>
    <w:qFormat/>
    <w:rsid w:val="00ea1435"/>
    <w:rPr>
      <w:rFonts w:ascii="Arial" w:hAnsi="Arial" w:cs="Arial"/>
      <w:color w:val="000080"/>
      <w:sz w:val="20"/>
      <w:szCs w:val="20"/>
    </w:rPr>
  </w:style>
  <w:style w:type="character" w:styleId="EmailStyle22401" w:customStyle="1">
    <w:name w:val="EmailStyle22401"/>
    <w:basedOn w:val="DefaultParagraphFont"/>
    <w:semiHidden/>
    <w:qFormat/>
    <w:rsid w:val="00ea1435"/>
    <w:rPr>
      <w:rFonts w:ascii="Arial" w:hAnsi="Arial" w:cs="Arial"/>
      <w:color w:val="000080"/>
      <w:sz w:val="20"/>
      <w:szCs w:val="20"/>
    </w:rPr>
  </w:style>
  <w:style w:type="character" w:styleId="EmailStyle22411" w:customStyle="1">
    <w:name w:val="EmailStyle22411"/>
    <w:basedOn w:val="DefaultParagraphFont"/>
    <w:semiHidden/>
    <w:qFormat/>
    <w:rsid w:val="00ea1435"/>
    <w:rPr>
      <w:rFonts w:ascii="Arial" w:hAnsi="Arial" w:cs="Arial"/>
      <w:color w:val="000080"/>
      <w:sz w:val="20"/>
      <w:szCs w:val="20"/>
    </w:rPr>
  </w:style>
  <w:style w:type="character" w:styleId="EmailStyle22421" w:customStyle="1">
    <w:name w:val="EmailStyle22421"/>
    <w:basedOn w:val="DefaultParagraphFont"/>
    <w:semiHidden/>
    <w:qFormat/>
    <w:rsid w:val="00ea1435"/>
    <w:rPr>
      <w:rFonts w:ascii="Arial" w:hAnsi="Arial" w:cs="Arial"/>
      <w:color w:val="000080"/>
      <w:sz w:val="20"/>
      <w:szCs w:val="20"/>
    </w:rPr>
  </w:style>
  <w:style w:type="character" w:styleId="EmailStyle22431" w:customStyle="1">
    <w:name w:val="EmailStyle22431"/>
    <w:basedOn w:val="DefaultParagraphFont"/>
    <w:semiHidden/>
    <w:qFormat/>
    <w:rsid w:val="00ea1435"/>
    <w:rPr>
      <w:rFonts w:ascii="Arial" w:hAnsi="Arial" w:cs="Arial"/>
      <w:color w:val="000080"/>
      <w:sz w:val="20"/>
      <w:szCs w:val="20"/>
    </w:rPr>
  </w:style>
  <w:style w:type="character" w:styleId="EmailStyle22441" w:customStyle="1">
    <w:name w:val="EmailStyle22441"/>
    <w:basedOn w:val="DefaultParagraphFont"/>
    <w:semiHidden/>
    <w:qFormat/>
    <w:rsid w:val="00ea1435"/>
    <w:rPr>
      <w:rFonts w:ascii="Arial" w:hAnsi="Arial" w:cs="Arial"/>
      <w:color w:val="000080"/>
      <w:sz w:val="20"/>
      <w:szCs w:val="20"/>
    </w:rPr>
  </w:style>
  <w:style w:type="character" w:styleId="EmailStyle22451" w:customStyle="1">
    <w:name w:val="EmailStyle22451"/>
    <w:basedOn w:val="DefaultParagraphFont"/>
    <w:semiHidden/>
    <w:qFormat/>
    <w:rsid w:val="00ea1435"/>
    <w:rPr>
      <w:rFonts w:ascii="Arial" w:hAnsi="Arial" w:cs="Arial"/>
      <w:color w:val="000080"/>
      <w:sz w:val="20"/>
      <w:szCs w:val="20"/>
    </w:rPr>
  </w:style>
  <w:style w:type="character" w:styleId="EmailStyle22461" w:customStyle="1">
    <w:name w:val="EmailStyle22461"/>
    <w:basedOn w:val="DefaultParagraphFont"/>
    <w:semiHidden/>
    <w:qFormat/>
    <w:rsid w:val="00ea1435"/>
    <w:rPr>
      <w:rFonts w:ascii="Arial" w:hAnsi="Arial" w:cs="Arial"/>
      <w:color w:val="000080"/>
      <w:sz w:val="20"/>
      <w:szCs w:val="20"/>
    </w:rPr>
  </w:style>
  <w:style w:type="character" w:styleId="EmailStyle22471" w:customStyle="1">
    <w:name w:val="EmailStyle22471"/>
    <w:basedOn w:val="DefaultParagraphFont"/>
    <w:semiHidden/>
    <w:qFormat/>
    <w:rsid w:val="00ea1435"/>
    <w:rPr>
      <w:rFonts w:ascii="Arial" w:hAnsi="Arial" w:cs="Arial"/>
      <w:color w:val="000080"/>
      <w:sz w:val="20"/>
      <w:szCs w:val="20"/>
    </w:rPr>
  </w:style>
  <w:style w:type="character" w:styleId="EmailStyle22481" w:customStyle="1">
    <w:name w:val="EmailStyle22481"/>
    <w:basedOn w:val="DefaultParagraphFont"/>
    <w:semiHidden/>
    <w:qFormat/>
    <w:rsid w:val="00ea1435"/>
    <w:rPr>
      <w:rFonts w:ascii="Arial" w:hAnsi="Arial" w:cs="Arial"/>
      <w:color w:val="000080"/>
      <w:sz w:val="20"/>
      <w:szCs w:val="20"/>
    </w:rPr>
  </w:style>
  <w:style w:type="character" w:styleId="EmailStyle22491" w:customStyle="1">
    <w:name w:val="EmailStyle22491"/>
    <w:basedOn w:val="DefaultParagraphFont"/>
    <w:semiHidden/>
    <w:qFormat/>
    <w:rsid w:val="00ea1435"/>
    <w:rPr>
      <w:rFonts w:ascii="Arial" w:hAnsi="Arial" w:cs="Arial"/>
      <w:color w:val="000080"/>
      <w:sz w:val="20"/>
      <w:szCs w:val="20"/>
    </w:rPr>
  </w:style>
  <w:style w:type="character" w:styleId="EmailStyle22501" w:customStyle="1">
    <w:name w:val="EmailStyle22501"/>
    <w:basedOn w:val="DefaultParagraphFont"/>
    <w:semiHidden/>
    <w:qFormat/>
    <w:rsid w:val="00ea1435"/>
    <w:rPr>
      <w:rFonts w:ascii="Arial" w:hAnsi="Arial" w:cs="Arial"/>
      <w:color w:val="000080"/>
      <w:sz w:val="20"/>
      <w:szCs w:val="20"/>
    </w:rPr>
  </w:style>
  <w:style w:type="character" w:styleId="EmailStyle22511" w:customStyle="1">
    <w:name w:val="EmailStyle22511"/>
    <w:basedOn w:val="DefaultParagraphFont"/>
    <w:semiHidden/>
    <w:qFormat/>
    <w:rsid w:val="00ea1435"/>
    <w:rPr>
      <w:rFonts w:ascii="Arial" w:hAnsi="Arial" w:cs="Arial"/>
      <w:color w:val="000080"/>
      <w:sz w:val="20"/>
      <w:szCs w:val="20"/>
    </w:rPr>
  </w:style>
  <w:style w:type="character" w:styleId="EmailStyle22521" w:customStyle="1">
    <w:name w:val="EmailStyle22521"/>
    <w:basedOn w:val="DefaultParagraphFont"/>
    <w:semiHidden/>
    <w:qFormat/>
    <w:rsid w:val="00ea1435"/>
    <w:rPr>
      <w:rFonts w:ascii="Arial" w:hAnsi="Arial" w:cs="Arial"/>
      <w:color w:val="000080"/>
      <w:sz w:val="20"/>
      <w:szCs w:val="20"/>
    </w:rPr>
  </w:style>
  <w:style w:type="character" w:styleId="EmailStyle22531" w:customStyle="1">
    <w:name w:val="EmailStyle22531"/>
    <w:basedOn w:val="DefaultParagraphFont"/>
    <w:semiHidden/>
    <w:qFormat/>
    <w:rsid w:val="00ea1435"/>
    <w:rPr>
      <w:rFonts w:ascii="Arial" w:hAnsi="Arial" w:cs="Arial"/>
      <w:color w:val="000080"/>
      <w:sz w:val="20"/>
      <w:szCs w:val="20"/>
    </w:rPr>
  </w:style>
  <w:style w:type="character" w:styleId="EmailStyle22541" w:customStyle="1">
    <w:name w:val="EmailStyle22541"/>
    <w:basedOn w:val="DefaultParagraphFont"/>
    <w:semiHidden/>
    <w:qFormat/>
    <w:rsid w:val="00ea1435"/>
    <w:rPr>
      <w:rFonts w:ascii="Arial" w:hAnsi="Arial" w:cs="Arial"/>
      <w:color w:val="000080"/>
      <w:sz w:val="20"/>
      <w:szCs w:val="20"/>
    </w:rPr>
  </w:style>
  <w:style w:type="character" w:styleId="EmailStyle22551" w:customStyle="1">
    <w:name w:val="EmailStyle22551"/>
    <w:basedOn w:val="DefaultParagraphFont"/>
    <w:semiHidden/>
    <w:qFormat/>
    <w:rsid w:val="00ea1435"/>
    <w:rPr>
      <w:rFonts w:ascii="Arial" w:hAnsi="Arial" w:cs="Arial"/>
      <w:color w:val="000080"/>
      <w:sz w:val="20"/>
      <w:szCs w:val="20"/>
    </w:rPr>
  </w:style>
  <w:style w:type="character" w:styleId="EmailStyle22561" w:customStyle="1">
    <w:name w:val="EmailStyle22561"/>
    <w:basedOn w:val="DefaultParagraphFont"/>
    <w:semiHidden/>
    <w:qFormat/>
    <w:rsid w:val="00ea1435"/>
    <w:rPr>
      <w:rFonts w:ascii="Arial" w:hAnsi="Arial" w:cs="Arial"/>
      <w:color w:val="000080"/>
      <w:sz w:val="20"/>
      <w:szCs w:val="20"/>
    </w:rPr>
  </w:style>
  <w:style w:type="character" w:styleId="EmailStyle22571" w:customStyle="1">
    <w:name w:val="EmailStyle22571"/>
    <w:basedOn w:val="DefaultParagraphFont"/>
    <w:semiHidden/>
    <w:qFormat/>
    <w:rsid w:val="00ea1435"/>
    <w:rPr>
      <w:rFonts w:ascii="Arial" w:hAnsi="Arial" w:cs="Arial"/>
      <w:color w:val="000080"/>
      <w:sz w:val="20"/>
      <w:szCs w:val="20"/>
    </w:rPr>
  </w:style>
  <w:style w:type="character" w:styleId="EmailStyle22581" w:customStyle="1">
    <w:name w:val="EmailStyle22581"/>
    <w:basedOn w:val="DefaultParagraphFont"/>
    <w:semiHidden/>
    <w:qFormat/>
    <w:rsid w:val="00ea1435"/>
    <w:rPr>
      <w:rFonts w:ascii="Arial" w:hAnsi="Arial" w:cs="Arial"/>
      <w:color w:val="000080"/>
      <w:sz w:val="20"/>
      <w:szCs w:val="20"/>
    </w:rPr>
  </w:style>
  <w:style w:type="character" w:styleId="EmailStyle22591" w:customStyle="1">
    <w:name w:val="EmailStyle22591"/>
    <w:basedOn w:val="DefaultParagraphFont"/>
    <w:semiHidden/>
    <w:qFormat/>
    <w:rsid w:val="00ea1435"/>
    <w:rPr>
      <w:rFonts w:ascii="Arial" w:hAnsi="Arial" w:cs="Arial"/>
      <w:color w:val="000080"/>
      <w:sz w:val="20"/>
      <w:szCs w:val="20"/>
    </w:rPr>
  </w:style>
  <w:style w:type="character" w:styleId="EmailStyle22601" w:customStyle="1">
    <w:name w:val="EmailStyle22601"/>
    <w:basedOn w:val="DefaultParagraphFont"/>
    <w:semiHidden/>
    <w:qFormat/>
    <w:rsid w:val="00ea1435"/>
    <w:rPr>
      <w:rFonts w:ascii="Arial" w:hAnsi="Arial" w:cs="Arial"/>
      <w:color w:val="000080"/>
      <w:sz w:val="20"/>
      <w:szCs w:val="20"/>
    </w:rPr>
  </w:style>
  <w:style w:type="character" w:styleId="EmailStyle22611" w:customStyle="1">
    <w:name w:val="EmailStyle22611"/>
    <w:basedOn w:val="DefaultParagraphFont"/>
    <w:semiHidden/>
    <w:qFormat/>
    <w:rsid w:val="00ea1435"/>
    <w:rPr>
      <w:rFonts w:ascii="Arial" w:hAnsi="Arial" w:cs="Arial"/>
      <w:color w:val="000080"/>
      <w:sz w:val="20"/>
      <w:szCs w:val="20"/>
    </w:rPr>
  </w:style>
  <w:style w:type="character" w:styleId="EmailStyle22621" w:customStyle="1">
    <w:name w:val="EmailStyle22621"/>
    <w:basedOn w:val="DefaultParagraphFont"/>
    <w:semiHidden/>
    <w:qFormat/>
    <w:rsid w:val="00ea1435"/>
    <w:rPr>
      <w:rFonts w:ascii="Arial" w:hAnsi="Arial" w:cs="Arial"/>
      <w:color w:val="000080"/>
      <w:sz w:val="20"/>
      <w:szCs w:val="20"/>
    </w:rPr>
  </w:style>
  <w:style w:type="character" w:styleId="EmailStyle22631" w:customStyle="1">
    <w:name w:val="EmailStyle22631"/>
    <w:basedOn w:val="DefaultParagraphFont"/>
    <w:semiHidden/>
    <w:qFormat/>
    <w:rsid w:val="00ea1435"/>
    <w:rPr>
      <w:rFonts w:ascii="Arial" w:hAnsi="Arial" w:cs="Arial"/>
      <w:color w:val="000080"/>
      <w:sz w:val="20"/>
      <w:szCs w:val="20"/>
    </w:rPr>
  </w:style>
  <w:style w:type="character" w:styleId="EmailStyle22641" w:customStyle="1">
    <w:name w:val="EmailStyle22641"/>
    <w:basedOn w:val="DefaultParagraphFont"/>
    <w:semiHidden/>
    <w:qFormat/>
    <w:rsid w:val="00ea1435"/>
    <w:rPr>
      <w:rFonts w:ascii="Arial" w:hAnsi="Arial" w:cs="Arial"/>
      <w:color w:val="000080"/>
      <w:sz w:val="20"/>
      <w:szCs w:val="20"/>
    </w:rPr>
  </w:style>
  <w:style w:type="character" w:styleId="EmailStyle22651" w:customStyle="1">
    <w:name w:val="EmailStyle22651"/>
    <w:basedOn w:val="DefaultParagraphFont"/>
    <w:semiHidden/>
    <w:qFormat/>
    <w:rsid w:val="00ea1435"/>
    <w:rPr>
      <w:rFonts w:ascii="Arial" w:hAnsi="Arial" w:cs="Arial"/>
      <w:color w:val="000080"/>
      <w:sz w:val="20"/>
      <w:szCs w:val="20"/>
    </w:rPr>
  </w:style>
  <w:style w:type="character" w:styleId="EmailStyle22661" w:customStyle="1">
    <w:name w:val="EmailStyle22661"/>
    <w:basedOn w:val="DefaultParagraphFont"/>
    <w:semiHidden/>
    <w:qFormat/>
    <w:rsid w:val="00ea1435"/>
    <w:rPr>
      <w:rFonts w:ascii="Arial" w:hAnsi="Arial" w:cs="Arial"/>
      <w:color w:val="000080"/>
      <w:sz w:val="20"/>
      <w:szCs w:val="20"/>
    </w:rPr>
  </w:style>
  <w:style w:type="character" w:styleId="EmailStyle22671" w:customStyle="1">
    <w:name w:val="EmailStyle22671"/>
    <w:basedOn w:val="DefaultParagraphFont"/>
    <w:semiHidden/>
    <w:qFormat/>
    <w:rsid w:val="00ea1435"/>
    <w:rPr>
      <w:rFonts w:ascii="Arial" w:hAnsi="Arial" w:cs="Arial"/>
      <w:color w:val="000080"/>
      <w:sz w:val="20"/>
      <w:szCs w:val="20"/>
    </w:rPr>
  </w:style>
  <w:style w:type="character" w:styleId="EmailStyle22681" w:customStyle="1">
    <w:name w:val="EmailStyle22681"/>
    <w:basedOn w:val="DefaultParagraphFont"/>
    <w:semiHidden/>
    <w:qFormat/>
    <w:rsid w:val="00ea1435"/>
    <w:rPr>
      <w:rFonts w:ascii="Arial" w:hAnsi="Arial" w:cs="Arial"/>
      <w:color w:val="000080"/>
      <w:sz w:val="20"/>
      <w:szCs w:val="20"/>
    </w:rPr>
  </w:style>
  <w:style w:type="character" w:styleId="EmailStyle22691" w:customStyle="1">
    <w:name w:val="EmailStyle22691"/>
    <w:basedOn w:val="DefaultParagraphFont"/>
    <w:semiHidden/>
    <w:qFormat/>
    <w:rsid w:val="00ea1435"/>
    <w:rPr>
      <w:rFonts w:ascii="Arial" w:hAnsi="Arial" w:cs="Arial"/>
      <w:color w:val="000080"/>
      <w:sz w:val="20"/>
      <w:szCs w:val="20"/>
    </w:rPr>
  </w:style>
  <w:style w:type="character" w:styleId="EmailStyle22701" w:customStyle="1">
    <w:name w:val="EmailStyle22701"/>
    <w:basedOn w:val="DefaultParagraphFont"/>
    <w:semiHidden/>
    <w:qFormat/>
    <w:rsid w:val="00ea1435"/>
    <w:rPr>
      <w:rFonts w:ascii="Arial" w:hAnsi="Arial" w:cs="Arial"/>
      <w:color w:val="000080"/>
      <w:sz w:val="20"/>
      <w:szCs w:val="20"/>
    </w:rPr>
  </w:style>
  <w:style w:type="character" w:styleId="EmailStyle22711" w:customStyle="1">
    <w:name w:val="EmailStyle22711"/>
    <w:basedOn w:val="DefaultParagraphFont"/>
    <w:semiHidden/>
    <w:qFormat/>
    <w:rsid w:val="00ea1435"/>
    <w:rPr>
      <w:rFonts w:ascii="Arial" w:hAnsi="Arial" w:cs="Arial"/>
      <w:color w:val="000080"/>
      <w:sz w:val="20"/>
      <w:szCs w:val="20"/>
    </w:rPr>
  </w:style>
  <w:style w:type="character" w:styleId="EmailStyle22721" w:customStyle="1">
    <w:name w:val="EmailStyle22721"/>
    <w:basedOn w:val="DefaultParagraphFont"/>
    <w:semiHidden/>
    <w:qFormat/>
    <w:rsid w:val="00ea1435"/>
    <w:rPr>
      <w:rFonts w:ascii="Arial" w:hAnsi="Arial" w:cs="Arial"/>
      <w:color w:val="000080"/>
      <w:sz w:val="20"/>
      <w:szCs w:val="20"/>
    </w:rPr>
  </w:style>
  <w:style w:type="character" w:styleId="EmailStyle22731" w:customStyle="1">
    <w:name w:val="EmailStyle22731"/>
    <w:basedOn w:val="DefaultParagraphFont"/>
    <w:semiHidden/>
    <w:qFormat/>
    <w:rsid w:val="00ea1435"/>
    <w:rPr>
      <w:rFonts w:ascii="Arial" w:hAnsi="Arial" w:cs="Arial"/>
      <w:color w:val="000080"/>
      <w:sz w:val="20"/>
      <w:szCs w:val="20"/>
    </w:rPr>
  </w:style>
  <w:style w:type="character" w:styleId="EmailStyle22741" w:customStyle="1">
    <w:name w:val="EmailStyle22741"/>
    <w:basedOn w:val="DefaultParagraphFont"/>
    <w:semiHidden/>
    <w:qFormat/>
    <w:rsid w:val="00ea1435"/>
    <w:rPr>
      <w:rFonts w:ascii="Arial" w:hAnsi="Arial" w:cs="Arial"/>
      <w:color w:val="000080"/>
      <w:sz w:val="20"/>
      <w:szCs w:val="20"/>
    </w:rPr>
  </w:style>
  <w:style w:type="character" w:styleId="EmailStyle22751" w:customStyle="1">
    <w:name w:val="EmailStyle22751"/>
    <w:basedOn w:val="DefaultParagraphFont"/>
    <w:semiHidden/>
    <w:qFormat/>
    <w:rsid w:val="00ea1435"/>
    <w:rPr>
      <w:rFonts w:ascii="Arial" w:hAnsi="Arial" w:cs="Arial"/>
      <w:color w:val="000080"/>
      <w:sz w:val="20"/>
      <w:szCs w:val="20"/>
    </w:rPr>
  </w:style>
  <w:style w:type="character" w:styleId="EmailStyle22761" w:customStyle="1">
    <w:name w:val="EmailStyle22761"/>
    <w:basedOn w:val="DefaultParagraphFont"/>
    <w:semiHidden/>
    <w:qFormat/>
    <w:rsid w:val="00ea1435"/>
    <w:rPr>
      <w:rFonts w:ascii="Arial" w:hAnsi="Arial" w:cs="Arial"/>
      <w:color w:val="000080"/>
      <w:sz w:val="20"/>
      <w:szCs w:val="20"/>
    </w:rPr>
  </w:style>
  <w:style w:type="character" w:styleId="EmailStyle22771" w:customStyle="1">
    <w:name w:val="EmailStyle22771"/>
    <w:basedOn w:val="DefaultParagraphFont"/>
    <w:semiHidden/>
    <w:qFormat/>
    <w:rsid w:val="00ea1435"/>
    <w:rPr>
      <w:rFonts w:ascii="Arial" w:hAnsi="Arial" w:cs="Arial"/>
      <w:color w:val="000080"/>
      <w:sz w:val="20"/>
      <w:szCs w:val="20"/>
    </w:rPr>
  </w:style>
  <w:style w:type="character" w:styleId="EmailStyle22781" w:customStyle="1">
    <w:name w:val="EmailStyle22781"/>
    <w:basedOn w:val="DefaultParagraphFont"/>
    <w:semiHidden/>
    <w:qFormat/>
    <w:rsid w:val="00ea1435"/>
    <w:rPr>
      <w:rFonts w:ascii="Arial" w:hAnsi="Arial" w:cs="Arial"/>
      <w:color w:val="000080"/>
      <w:sz w:val="20"/>
      <w:szCs w:val="20"/>
    </w:rPr>
  </w:style>
  <w:style w:type="character" w:styleId="EmailStyle22791" w:customStyle="1">
    <w:name w:val="EmailStyle22791"/>
    <w:basedOn w:val="DefaultParagraphFont"/>
    <w:semiHidden/>
    <w:qFormat/>
    <w:rsid w:val="00ea1435"/>
    <w:rPr>
      <w:rFonts w:ascii="Arial" w:hAnsi="Arial" w:cs="Arial"/>
      <w:color w:val="000080"/>
      <w:sz w:val="20"/>
      <w:szCs w:val="20"/>
    </w:rPr>
  </w:style>
  <w:style w:type="character" w:styleId="EmailStyle22801" w:customStyle="1">
    <w:name w:val="EmailStyle22801"/>
    <w:basedOn w:val="DefaultParagraphFont"/>
    <w:semiHidden/>
    <w:qFormat/>
    <w:rsid w:val="00ea1435"/>
    <w:rPr>
      <w:rFonts w:ascii="Arial" w:hAnsi="Arial" w:cs="Arial"/>
      <w:color w:val="000080"/>
      <w:sz w:val="20"/>
      <w:szCs w:val="20"/>
    </w:rPr>
  </w:style>
  <w:style w:type="character" w:styleId="EmailStyle22811" w:customStyle="1">
    <w:name w:val="EmailStyle22811"/>
    <w:basedOn w:val="DefaultParagraphFont"/>
    <w:semiHidden/>
    <w:qFormat/>
    <w:rsid w:val="00ea1435"/>
    <w:rPr>
      <w:rFonts w:ascii="Arial" w:hAnsi="Arial" w:cs="Arial"/>
      <w:color w:val="000080"/>
      <w:sz w:val="20"/>
      <w:szCs w:val="20"/>
    </w:rPr>
  </w:style>
  <w:style w:type="character" w:styleId="EmailStyle22821" w:customStyle="1">
    <w:name w:val="EmailStyle22821"/>
    <w:basedOn w:val="DefaultParagraphFont"/>
    <w:semiHidden/>
    <w:qFormat/>
    <w:rsid w:val="00ea1435"/>
    <w:rPr>
      <w:rFonts w:ascii="Arial" w:hAnsi="Arial" w:cs="Arial"/>
      <w:color w:val="000080"/>
      <w:sz w:val="20"/>
      <w:szCs w:val="20"/>
    </w:rPr>
  </w:style>
  <w:style w:type="character" w:styleId="EmailStyle22831" w:customStyle="1">
    <w:name w:val="EmailStyle22831"/>
    <w:basedOn w:val="DefaultParagraphFont"/>
    <w:semiHidden/>
    <w:qFormat/>
    <w:rsid w:val="00ea1435"/>
    <w:rPr>
      <w:rFonts w:ascii="Arial" w:hAnsi="Arial" w:cs="Arial"/>
      <w:color w:val="000080"/>
      <w:sz w:val="20"/>
      <w:szCs w:val="20"/>
    </w:rPr>
  </w:style>
  <w:style w:type="character" w:styleId="EmailStyle22841" w:customStyle="1">
    <w:name w:val="EmailStyle22841"/>
    <w:basedOn w:val="DefaultParagraphFont"/>
    <w:semiHidden/>
    <w:qFormat/>
    <w:rsid w:val="00ea1435"/>
    <w:rPr>
      <w:rFonts w:ascii="Arial" w:hAnsi="Arial" w:cs="Arial"/>
      <w:color w:val="000080"/>
      <w:sz w:val="20"/>
      <w:szCs w:val="20"/>
    </w:rPr>
  </w:style>
  <w:style w:type="character" w:styleId="EmailStyle22851" w:customStyle="1">
    <w:name w:val="EmailStyle22851"/>
    <w:basedOn w:val="DefaultParagraphFont"/>
    <w:semiHidden/>
    <w:qFormat/>
    <w:rsid w:val="00ea1435"/>
    <w:rPr>
      <w:rFonts w:ascii="Arial" w:hAnsi="Arial" w:cs="Arial"/>
      <w:color w:val="000080"/>
      <w:sz w:val="20"/>
      <w:szCs w:val="20"/>
    </w:rPr>
  </w:style>
  <w:style w:type="character" w:styleId="EmailStyle22861" w:customStyle="1">
    <w:name w:val="EmailStyle22861"/>
    <w:basedOn w:val="DefaultParagraphFont"/>
    <w:semiHidden/>
    <w:qFormat/>
    <w:rsid w:val="00ea1435"/>
    <w:rPr>
      <w:rFonts w:ascii="Arial" w:hAnsi="Arial" w:cs="Arial"/>
      <w:color w:val="000080"/>
      <w:sz w:val="20"/>
      <w:szCs w:val="20"/>
    </w:rPr>
  </w:style>
  <w:style w:type="character" w:styleId="EmailStyle22871" w:customStyle="1">
    <w:name w:val="EmailStyle22871"/>
    <w:basedOn w:val="DefaultParagraphFont"/>
    <w:semiHidden/>
    <w:qFormat/>
    <w:rsid w:val="00ea1435"/>
    <w:rPr>
      <w:rFonts w:ascii="Arial" w:hAnsi="Arial" w:cs="Arial"/>
      <w:color w:val="000080"/>
      <w:sz w:val="20"/>
      <w:szCs w:val="20"/>
    </w:rPr>
  </w:style>
  <w:style w:type="character" w:styleId="EmailStyle22881" w:customStyle="1">
    <w:name w:val="EmailStyle22881"/>
    <w:basedOn w:val="DefaultParagraphFont"/>
    <w:semiHidden/>
    <w:qFormat/>
    <w:rsid w:val="00ea1435"/>
    <w:rPr>
      <w:rFonts w:ascii="Arial" w:hAnsi="Arial" w:cs="Arial"/>
      <w:color w:val="000080"/>
      <w:sz w:val="20"/>
      <w:szCs w:val="20"/>
    </w:rPr>
  </w:style>
  <w:style w:type="character" w:styleId="EmailStyle22891" w:customStyle="1">
    <w:name w:val="EmailStyle22891"/>
    <w:basedOn w:val="DefaultParagraphFont"/>
    <w:semiHidden/>
    <w:qFormat/>
    <w:rsid w:val="00ea1435"/>
    <w:rPr>
      <w:rFonts w:ascii="Arial" w:hAnsi="Arial" w:cs="Arial"/>
      <w:color w:val="000080"/>
      <w:sz w:val="20"/>
      <w:szCs w:val="20"/>
    </w:rPr>
  </w:style>
  <w:style w:type="character" w:styleId="EmailStyle22901" w:customStyle="1">
    <w:name w:val="EmailStyle22901"/>
    <w:basedOn w:val="DefaultParagraphFont"/>
    <w:semiHidden/>
    <w:qFormat/>
    <w:rsid w:val="00ea1435"/>
    <w:rPr>
      <w:rFonts w:ascii="Arial" w:hAnsi="Arial" w:cs="Arial"/>
      <w:color w:val="000080"/>
      <w:sz w:val="20"/>
      <w:szCs w:val="20"/>
    </w:rPr>
  </w:style>
  <w:style w:type="character" w:styleId="EmailStyle22911" w:customStyle="1">
    <w:name w:val="EmailStyle22911"/>
    <w:basedOn w:val="DefaultParagraphFont"/>
    <w:semiHidden/>
    <w:qFormat/>
    <w:rsid w:val="00ea1435"/>
    <w:rPr>
      <w:rFonts w:ascii="Arial" w:hAnsi="Arial" w:cs="Arial"/>
      <w:color w:val="000080"/>
      <w:sz w:val="20"/>
      <w:szCs w:val="20"/>
    </w:rPr>
  </w:style>
  <w:style w:type="character" w:styleId="EmailStyle22921" w:customStyle="1">
    <w:name w:val="EmailStyle22921"/>
    <w:basedOn w:val="DefaultParagraphFont"/>
    <w:semiHidden/>
    <w:qFormat/>
    <w:rsid w:val="00ea1435"/>
    <w:rPr>
      <w:rFonts w:ascii="Arial" w:hAnsi="Arial" w:cs="Arial"/>
      <w:color w:val="000080"/>
      <w:sz w:val="20"/>
      <w:szCs w:val="20"/>
    </w:rPr>
  </w:style>
  <w:style w:type="character" w:styleId="EmailStyle22931" w:customStyle="1">
    <w:name w:val="EmailStyle22931"/>
    <w:basedOn w:val="DefaultParagraphFont"/>
    <w:semiHidden/>
    <w:qFormat/>
    <w:rsid w:val="00ea1435"/>
    <w:rPr>
      <w:rFonts w:ascii="Arial" w:hAnsi="Arial" w:cs="Arial"/>
      <w:color w:val="000080"/>
      <w:sz w:val="20"/>
      <w:szCs w:val="20"/>
    </w:rPr>
  </w:style>
  <w:style w:type="character" w:styleId="EmailStyle22941" w:customStyle="1">
    <w:name w:val="EmailStyle22941"/>
    <w:basedOn w:val="DefaultParagraphFont"/>
    <w:semiHidden/>
    <w:qFormat/>
    <w:rsid w:val="00ea1435"/>
    <w:rPr>
      <w:rFonts w:ascii="Arial" w:hAnsi="Arial" w:cs="Arial"/>
      <w:color w:val="000080"/>
      <w:sz w:val="20"/>
      <w:szCs w:val="20"/>
    </w:rPr>
  </w:style>
  <w:style w:type="character" w:styleId="EmailStyle22951" w:customStyle="1">
    <w:name w:val="EmailStyle22951"/>
    <w:basedOn w:val="DefaultParagraphFont"/>
    <w:semiHidden/>
    <w:qFormat/>
    <w:rsid w:val="00ea1435"/>
    <w:rPr>
      <w:rFonts w:ascii="Arial" w:hAnsi="Arial" w:cs="Arial"/>
      <w:color w:val="000080"/>
      <w:sz w:val="20"/>
      <w:szCs w:val="20"/>
    </w:rPr>
  </w:style>
  <w:style w:type="character" w:styleId="EmailStyle22961" w:customStyle="1">
    <w:name w:val="EmailStyle22961"/>
    <w:basedOn w:val="DefaultParagraphFont"/>
    <w:semiHidden/>
    <w:qFormat/>
    <w:rsid w:val="00ea1435"/>
    <w:rPr>
      <w:rFonts w:ascii="Arial" w:hAnsi="Arial" w:cs="Arial"/>
      <w:color w:val="000080"/>
      <w:sz w:val="20"/>
      <w:szCs w:val="20"/>
    </w:rPr>
  </w:style>
  <w:style w:type="character" w:styleId="EmailStyle22971" w:customStyle="1">
    <w:name w:val="EmailStyle22971"/>
    <w:basedOn w:val="DefaultParagraphFont"/>
    <w:semiHidden/>
    <w:qFormat/>
    <w:rsid w:val="00ea1435"/>
    <w:rPr>
      <w:rFonts w:ascii="Arial" w:hAnsi="Arial" w:cs="Arial"/>
      <w:color w:val="000080"/>
      <w:sz w:val="20"/>
      <w:szCs w:val="20"/>
    </w:rPr>
  </w:style>
  <w:style w:type="character" w:styleId="EmailStyle22981" w:customStyle="1">
    <w:name w:val="EmailStyle22981"/>
    <w:basedOn w:val="DefaultParagraphFont"/>
    <w:semiHidden/>
    <w:qFormat/>
    <w:rsid w:val="00ea1435"/>
    <w:rPr>
      <w:rFonts w:ascii="Arial" w:hAnsi="Arial" w:cs="Arial"/>
      <w:color w:val="000080"/>
      <w:sz w:val="20"/>
      <w:szCs w:val="20"/>
    </w:rPr>
  </w:style>
  <w:style w:type="character" w:styleId="EmailStyle22991" w:customStyle="1">
    <w:name w:val="EmailStyle22991"/>
    <w:basedOn w:val="DefaultParagraphFont"/>
    <w:semiHidden/>
    <w:qFormat/>
    <w:rsid w:val="00ea1435"/>
    <w:rPr>
      <w:rFonts w:ascii="Arial" w:hAnsi="Arial" w:cs="Arial"/>
      <w:color w:val="000080"/>
      <w:sz w:val="20"/>
      <w:szCs w:val="20"/>
    </w:rPr>
  </w:style>
  <w:style w:type="character" w:styleId="EmailStyle23001" w:customStyle="1">
    <w:name w:val="EmailStyle23001"/>
    <w:basedOn w:val="DefaultParagraphFont"/>
    <w:semiHidden/>
    <w:qFormat/>
    <w:rsid w:val="00ea1435"/>
    <w:rPr>
      <w:rFonts w:ascii="Arial" w:hAnsi="Arial" w:cs="Arial"/>
      <w:color w:val="000080"/>
      <w:sz w:val="20"/>
      <w:szCs w:val="20"/>
    </w:rPr>
  </w:style>
  <w:style w:type="character" w:styleId="EmailStyle23011" w:customStyle="1">
    <w:name w:val="EmailStyle23011"/>
    <w:basedOn w:val="DefaultParagraphFont"/>
    <w:semiHidden/>
    <w:qFormat/>
    <w:rsid w:val="00ea1435"/>
    <w:rPr>
      <w:rFonts w:ascii="Arial" w:hAnsi="Arial" w:cs="Arial"/>
      <w:color w:val="000080"/>
      <w:sz w:val="20"/>
      <w:szCs w:val="20"/>
    </w:rPr>
  </w:style>
  <w:style w:type="character" w:styleId="EmailStyle23021" w:customStyle="1">
    <w:name w:val="EmailStyle23021"/>
    <w:basedOn w:val="DefaultParagraphFont"/>
    <w:semiHidden/>
    <w:qFormat/>
    <w:rsid w:val="00ea1435"/>
    <w:rPr>
      <w:rFonts w:ascii="Arial" w:hAnsi="Arial" w:cs="Arial"/>
      <w:color w:val="000080"/>
      <w:sz w:val="20"/>
      <w:szCs w:val="20"/>
    </w:rPr>
  </w:style>
  <w:style w:type="character" w:styleId="EmailStyle23031" w:customStyle="1">
    <w:name w:val="EmailStyle23031"/>
    <w:basedOn w:val="DefaultParagraphFont"/>
    <w:semiHidden/>
    <w:qFormat/>
    <w:rsid w:val="00ea1435"/>
    <w:rPr>
      <w:rFonts w:ascii="Arial" w:hAnsi="Arial" w:cs="Arial"/>
      <w:color w:val="000080"/>
      <w:sz w:val="20"/>
      <w:szCs w:val="20"/>
    </w:rPr>
  </w:style>
  <w:style w:type="character" w:styleId="EmailStyle23041" w:customStyle="1">
    <w:name w:val="EmailStyle23041"/>
    <w:basedOn w:val="DefaultParagraphFont"/>
    <w:semiHidden/>
    <w:qFormat/>
    <w:rsid w:val="00ea1435"/>
    <w:rPr>
      <w:rFonts w:ascii="Arial" w:hAnsi="Arial" w:cs="Arial"/>
      <w:color w:val="000080"/>
      <w:sz w:val="20"/>
      <w:szCs w:val="20"/>
    </w:rPr>
  </w:style>
  <w:style w:type="character" w:styleId="EmailStyle23051" w:customStyle="1">
    <w:name w:val="EmailStyle23051"/>
    <w:basedOn w:val="DefaultParagraphFont"/>
    <w:semiHidden/>
    <w:qFormat/>
    <w:rsid w:val="00ea1435"/>
    <w:rPr>
      <w:rFonts w:ascii="Arial" w:hAnsi="Arial" w:cs="Arial"/>
      <w:color w:val="000080"/>
      <w:sz w:val="20"/>
      <w:szCs w:val="20"/>
    </w:rPr>
  </w:style>
  <w:style w:type="character" w:styleId="EmailStyle23061" w:customStyle="1">
    <w:name w:val="EmailStyle23061"/>
    <w:basedOn w:val="DefaultParagraphFont"/>
    <w:semiHidden/>
    <w:qFormat/>
    <w:rsid w:val="00ea1435"/>
    <w:rPr>
      <w:rFonts w:ascii="Arial" w:hAnsi="Arial" w:cs="Arial"/>
      <w:color w:val="000080"/>
      <w:sz w:val="20"/>
      <w:szCs w:val="20"/>
    </w:rPr>
  </w:style>
  <w:style w:type="character" w:styleId="EmailStyle23071" w:customStyle="1">
    <w:name w:val="EmailStyle23071"/>
    <w:basedOn w:val="DefaultParagraphFont"/>
    <w:semiHidden/>
    <w:qFormat/>
    <w:rsid w:val="00ea1435"/>
    <w:rPr>
      <w:rFonts w:ascii="Arial" w:hAnsi="Arial" w:cs="Arial"/>
      <w:color w:val="000080"/>
      <w:sz w:val="20"/>
      <w:szCs w:val="20"/>
    </w:rPr>
  </w:style>
  <w:style w:type="character" w:styleId="EmailStyle2308" w:customStyle="1">
    <w:name w:val="EmailStyle2308"/>
    <w:basedOn w:val="DefaultParagraphFont"/>
    <w:semiHidden/>
    <w:qFormat/>
    <w:rsid w:val="00ea1435"/>
    <w:rPr>
      <w:rFonts w:ascii="Arial" w:hAnsi="Arial" w:cs="Arial"/>
      <w:color w:val="000080"/>
      <w:sz w:val="20"/>
      <w:szCs w:val="20"/>
    </w:rPr>
  </w:style>
  <w:style w:type="character" w:styleId="EmailStyle2309" w:customStyle="1">
    <w:name w:val="EmailStyle2309"/>
    <w:basedOn w:val="DefaultParagraphFont"/>
    <w:semiHidden/>
    <w:qFormat/>
    <w:rsid w:val="00ea1435"/>
    <w:rPr>
      <w:rFonts w:ascii="Arial" w:hAnsi="Arial" w:cs="Arial"/>
      <w:color w:val="000080"/>
      <w:sz w:val="20"/>
      <w:szCs w:val="20"/>
    </w:rPr>
  </w:style>
  <w:style w:type="character" w:styleId="EmailStyle2310" w:customStyle="1">
    <w:name w:val="EmailStyle2310"/>
    <w:basedOn w:val="DefaultParagraphFont"/>
    <w:semiHidden/>
    <w:qFormat/>
    <w:rsid w:val="00ea1435"/>
    <w:rPr>
      <w:rFonts w:ascii="Arial" w:hAnsi="Arial" w:cs="Arial"/>
      <w:color w:val="000080"/>
      <w:sz w:val="20"/>
      <w:szCs w:val="20"/>
    </w:rPr>
  </w:style>
  <w:style w:type="character" w:styleId="EmailStyle2311" w:customStyle="1">
    <w:name w:val="EmailStyle2311"/>
    <w:basedOn w:val="DefaultParagraphFont"/>
    <w:semiHidden/>
    <w:qFormat/>
    <w:rsid w:val="00ea1435"/>
    <w:rPr>
      <w:rFonts w:ascii="Arial" w:hAnsi="Arial" w:cs="Arial"/>
      <w:color w:val="000080"/>
      <w:sz w:val="20"/>
      <w:szCs w:val="20"/>
    </w:rPr>
  </w:style>
  <w:style w:type="character" w:styleId="EmailStyle2312" w:customStyle="1">
    <w:name w:val="EmailStyle2312"/>
    <w:basedOn w:val="DefaultParagraphFont"/>
    <w:semiHidden/>
    <w:qFormat/>
    <w:rsid w:val="00ea1435"/>
    <w:rPr>
      <w:rFonts w:ascii="Arial" w:hAnsi="Arial" w:cs="Arial"/>
      <w:color w:val="000080"/>
      <w:sz w:val="20"/>
      <w:szCs w:val="20"/>
    </w:rPr>
  </w:style>
  <w:style w:type="character" w:styleId="EmailStyle2313" w:customStyle="1">
    <w:name w:val="EmailStyle2313"/>
    <w:basedOn w:val="DefaultParagraphFont"/>
    <w:semiHidden/>
    <w:qFormat/>
    <w:rsid w:val="00ea1435"/>
    <w:rPr>
      <w:rFonts w:ascii="Arial" w:hAnsi="Arial" w:cs="Arial"/>
      <w:color w:val="000080"/>
      <w:sz w:val="20"/>
      <w:szCs w:val="20"/>
    </w:rPr>
  </w:style>
  <w:style w:type="character" w:styleId="EmailStyle2314" w:customStyle="1">
    <w:name w:val="EmailStyle2314"/>
    <w:basedOn w:val="DefaultParagraphFont"/>
    <w:semiHidden/>
    <w:qFormat/>
    <w:rsid w:val="00ea1435"/>
    <w:rPr>
      <w:rFonts w:ascii="Arial" w:hAnsi="Arial" w:cs="Arial"/>
      <w:color w:val="000080"/>
      <w:sz w:val="20"/>
      <w:szCs w:val="20"/>
    </w:rPr>
  </w:style>
  <w:style w:type="character" w:styleId="EmailStyle2315" w:customStyle="1">
    <w:name w:val="EmailStyle2315"/>
    <w:basedOn w:val="DefaultParagraphFont"/>
    <w:semiHidden/>
    <w:qFormat/>
    <w:rsid w:val="00ea1435"/>
    <w:rPr>
      <w:rFonts w:ascii="Arial" w:hAnsi="Arial" w:cs="Arial"/>
      <w:color w:val="000080"/>
      <w:sz w:val="20"/>
      <w:szCs w:val="20"/>
    </w:rPr>
  </w:style>
  <w:style w:type="character" w:styleId="EmailStyle2316" w:customStyle="1">
    <w:name w:val="EmailStyle2316"/>
    <w:basedOn w:val="DefaultParagraphFont"/>
    <w:semiHidden/>
    <w:qFormat/>
    <w:rsid w:val="00ea1435"/>
    <w:rPr>
      <w:rFonts w:ascii="Arial" w:hAnsi="Arial" w:cs="Arial"/>
      <w:color w:val="000080"/>
      <w:sz w:val="20"/>
      <w:szCs w:val="20"/>
    </w:rPr>
  </w:style>
  <w:style w:type="character" w:styleId="EmailStyle2317" w:customStyle="1">
    <w:name w:val="EmailStyle2317"/>
    <w:basedOn w:val="DefaultParagraphFont"/>
    <w:semiHidden/>
    <w:qFormat/>
    <w:rsid w:val="00ea1435"/>
    <w:rPr>
      <w:rFonts w:ascii="Arial" w:hAnsi="Arial" w:cs="Arial"/>
      <w:color w:val="000080"/>
      <w:sz w:val="20"/>
      <w:szCs w:val="20"/>
    </w:rPr>
  </w:style>
  <w:style w:type="character" w:styleId="EmailStyle2318" w:customStyle="1">
    <w:name w:val="EmailStyle2318"/>
    <w:basedOn w:val="DefaultParagraphFont"/>
    <w:semiHidden/>
    <w:qFormat/>
    <w:rsid w:val="00ea1435"/>
    <w:rPr>
      <w:rFonts w:ascii="Arial" w:hAnsi="Arial" w:cs="Arial"/>
      <w:color w:val="000080"/>
      <w:sz w:val="20"/>
      <w:szCs w:val="20"/>
    </w:rPr>
  </w:style>
  <w:style w:type="character" w:styleId="EmailStyle2319" w:customStyle="1">
    <w:name w:val="EmailStyle2319"/>
    <w:basedOn w:val="DefaultParagraphFont"/>
    <w:semiHidden/>
    <w:qFormat/>
    <w:rsid w:val="00ea1435"/>
    <w:rPr>
      <w:rFonts w:ascii="Arial" w:hAnsi="Arial" w:cs="Arial"/>
      <w:color w:val="000080"/>
      <w:sz w:val="20"/>
      <w:szCs w:val="20"/>
    </w:rPr>
  </w:style>
  <w:style w:type="character" w:styleId="EmailStyle2320" w:customStyle="1">
    <w:name w:val="EmailStyle2320"/>
    <w:basedOn w:val="DefaultParagraphFont"/>
    <w:semiHidden/>
    <w:qFormat/>
    <w:rsid w:val="00ea1435"/>
    <w:rPr>
      <w:rFonts w:ascii="Arial" w:hAnsi="Arial" w:cs="Arial"/>
      <w:color w:val="000080"/>
      <w:sz w:val="20"/>
      <w:szCs w:val="20"/>
    </w:rPr>
  </w:style>
  <w:style w:type="character" w:styleId="EmailStyle2321" w:customStyle="1">
    <w:name w:val="EmailStyle2321"/>
    <w:basedOn w:val="DefaultParagraphFont"/>
    <w:semiHidden/>
    <w:qFormat/>
    <w:rsid w:val="00ea1435"/>
    <w:rPr>
      <w:rFonts w:ascii="Arial" w:hAnsi="Arial" w:cs="Arial"/>
      <w:color w:val="000080"/>
      <w:sz w:val="20"/>
      <w:szCs w:val="20"/>
    </w:rPr>
  </w:style>
  <w:style w:type="character" w:styleId="EmailStyle2322" w:customStyle="1">
    <w:name w:val="EmailStyle2322"/>
    <w:basedOn w:val="DefaultParagraphFont"/>
    <w:semiHidden/>
    <w:qFormat/>
    <w:rsid w:val="00ea1435"/>
    <w:rPr>
      <w:rFonts w:ascii="Arial" w:hAnsi="Arial" w:cs="Arial"/>
      <w:color w:val="000080"/>
      <w:sz w:val="20"/>
      <w:szCs w:val="20"/>
    </w:rPr>
  </w:style>
  <w:style w:type="character" w:styleId="EmailStyle2323" w:customStyle="1">
    <w:name w:val="EmailStyle2323"/>
    <w:basedOn w:val="DefaultParagraphFont"/>
    <w:semiHidden/>
    <w:qFormat/>
    <w:rsid w:val="00ea1435"/>
    <w:rPr>
      <w:rFonts w:ascii="Arial" w:hAnsi="Arial" w:cs="Arial"/>
      <w:color w:val="000080"/>
      <w:sz w:val="20"/>
      <w:szCs w:val="20"/>
    </w:rPr>
  </w:style>
  <w:style w:type="character" w:styleId="EmailStyle2324" w:customStyle="1">
    <w:name w:val="EmailStyle2324"/>
    <w:basedOn w:val="DefaultParagraphFont"/>
    <w:semiHidden/>
    <w:qFormat/>
    <w:rsid w:val="00ea1435"/>
    <w:rPr>
      <w:rFonts w:ascii="Arial" w:hAnsi="Arial" w:cs="Arial"/>
      <w:color w:val="000080"/>
      <w:sz w:val="20"/>
      <w:szCs w:val="20"/>
    </w:rPr>
  </w:style>
  <w:style w:type="character" w:styleId="EmailStyle2325" w:customStyle="1">
    <w:name w:val="EmailStyle2325"/>
    <w:basedOn w:val="DefaultParagraphFont"/>
    <w:semiHidden/>
    <w:qFormat/>
    <w:rsid w:val="00ea1435"/>
    <w:rPr>
      <w:rFonts w:ascii="Arial" w:hAnsi="Arial" w:cs="Arial"/>
      <w:color w:val="000080"/>
      <w:sz w:val="20"/>
      <w:szCs w:val="20"/>
    </w:rPr>
  </w:style>
  <w:style w:type="character" w:styleId="EmailStyle2326" w:customStyle="1">
    <w:name w:val="EmailStyle2326"/>
    <w:basedOn w:val="DefaultParagraphFont"/>
    <w:semiHidden/>
    <w:qFormat/>
    <w:rsid w:val="00ea1435"/>
    <w:rPr>
      <w:rFonts w:ascii="Arial" w:hAnsi="Arial" w:cs="Arial"/>
      <w:color w:val="000080"/>
      <w:sz w:val="20"/>
      <w:szCs w:val="20"/>
    </w:rPr>
  </w:style>
  <w:style w:type="character" w:styleId="EmailStyle2327" w:customStyle="1">
    <w:name w:val="EmailStyle2327"/>
    <w:basedOn w:val="DefaultParagraphFont"/>
    <w:semiHidden/>
    <w:qFormat/>
    <w:rsid w:val="00ea1435"/>
    <w:rPr>
      <w:rFonts w:ascii="Arial" w:hAnsi="Arial" w:cs="Arial"/>
      <w:color w:val="000080"/>
      <w:sz w:val="20"/>
      <w:szCs w:val="20"/>
    </w:rPr>
  </w:style>
  <w:style w:type="character" w:styleId="EmailStyle2328" w:customStyle="1">
    <w:name w:val="EmailStyle2328"/>
    <w:basedOn w:val="DefaultParagraphFont"/>
    <w:semiHidden/>
    <w:qFormat/>
    <w:rsid w:val="00ea1435"/>
    <w:rPr>
      <w:rFonts w:ascii="Arial" w:hAnsi="Arial" w:cs="Arial"/>
      <w:color w:val="000080"/>
      <w:sz w:val="20"/>
      <w:szCs w:val="20"/>
    </w:rPr>
  </w:style>
  <w:style w:type="character" w:styleId="EmailStyle2329" w:customStyle="1">
    <w:name w:val="EmailStyle2329"/>
    <w:basedOn w:val="DefaultParagraphFont"/>
    <w:semiHidden/>
    <w:qFormat/>
    <w:rsid w:val="00ea1435"/>
    <w:rPr>
      <w:rFonts w:ascii="Arial" w:hAnsi="Arial" w:cs="Arial"/>
      <w:color w:val="000080"/>
      <w:sz w:val="20"/>
      <w:szCs w:val="20"/>
    </w:rPr>
  </w:style>
  <w:style w:type="character" w:styleId="EmailStyle2330" w:customStyle="1">
    <w:name w:val="EmailStyle2330"/>
    <w:basedOn w:val="DefaultParagraphFont"/>
    <w:semiHidden/>
    <w:qFormat/>
    <w:rsid w:val="00ea1435"/>
    <w:rPr>
      <w:rFonts w:ascii="Arial" w:hAnsi="Arial" w:cs="Arial"/>
      <w:color w:val="000080"/>
      <w:sz w:val="20"/>
      <w:szCs w:val="20"/>
    </w:rPr>
  </w:style>
  <w:style w:type="character" w:styleId="EmailStyle2331" w:customStyle="1">
    <w:name w:val="EmailStyle2331"/>
    <w:basedOn w:val="DefaultParagraphFont"/>
    <w:semiHidden/>
    <w:qFormat/>
    <w:rsid w:val="00ea1435"/>
    <w:rPr>
      <w:rFonts w:ascii="Arial" w:hAnsi="Arial" w:cs="Arial"/>
      <w:color w:val="000080"/>
      <w:sz w:val="20"/>
      <w:szCs w:val="20"/>
    </w:rPr>
  </w:style>
  <w:style w:type="character" w:styleId="EmailStyle2332" w:customStyle="1">
    <w:name w:val="EmailStyle2332"/>
    <w:basedOn w:val="DefaultParagraphFont"/>
    <w:semiHidden/>
    <w:qFormat/>
    <w:rsid w:val="00ea1435"/>
    <w:rPr>
      <w:rFonts w:ascii="Arial" w:hAnsi="Arial" w:cs="Arial"/>
      <w:color w:val="000080"/>
      <w:sz w:val="20"/>
      <w:szCs w:val="20"/>
    </w:rPr>
  </w:style>
  <w:style w:type="character" w:styleId="EmailStyle2333" w:customStyle="1">
    <w:name w:val="EmailStyle2333"/>
    <w:basedOn w:val="DefaultParagraphFont"/>
    <w:semiHidden/>
    <w:qFormat/>
    <w:rsid w:val="00ea1435"/>
    <w:rPr>
      <w:rFonts w:ascii="Arial" w:hAnsi="Arial" w:cs="Arial"/>
      <w:color w:val="000080"/>
      <w:sz w:val="20"/>
      <w:szCs w:val="20"/>
    </w:rPr>
  </w:style>
  <w:style w:type="character" w:styleId="EmailStyle2334" w:customStyle="1">
    <w:name w:val="EmailStyle2334"/>
    <w:basedOn w:val="DefaultParagraphFont"/>
    <w:semiHidden/>
    <w:qFormat/>
    <w:rsid w:val="00ea1435"/>
    <w:rPr>
      <w:rFonts w:ascii="Arial" w:hAnsi="Arial" w:cs="Arial"/>
      <w:color w:val="000080"/>
      <w:sz w:val="20"/>
      <w:szCs w:val="20"/>
    </w:rPr>
  </w:style>
  <w:style w:type="character" w:styleId="EmailStyle2335" w:customStyle="1">
    <w:name w:val="EmailStyle2335"/>
    <w:basedOn w:val="DefaultParagraphFont"/>
    <w:semiHidden/>
    <w:qFormat/>
    <w:rsid w:val="00ea1435"/>
    <w:rPr>
      <w:rFonts w:ascii="Arial" w:hAnsi="Arial" w:cs="Arial"/>
      <w:color w:val="000080"/>
      <w:sz w:val="20"/>
      <w:szCs w:val="20"/>
    </w:rPr>
  </w:style>
  <w:style w:type="character" w:styleId="EmailStyle2336" w:customStyle="1">
    <w:name w:val="EmailStyle2336"/>
    <w:basedOn w:val="DefaultParagraphFont"/>
    <w:semiHidden/>
    <w:qFormat/>
    <w:rsid w:val="00ea1435"/>
    <w:rPr>
      <w:rFonts w:ascii="Arial" w:hAnsi="Arial" w:cs="Arial"/>
      <w:color w:val="000080"/>
      <w:sz w:val="20"/>
      <w:szCs w:val="20"/>
    </w:rPr>
  </w:style>
  <w:style w:type="character" w:styleId="EmailStyle2337" w:customStyle="1">
    <w:name w:val="EmailStyle2337"/>
    <w:basedOn w:val="DefaultParagraphFont"/>
    <w:semiHidden/>
    <w:qFormat/>
    <w:rsid w:val="00ea1435"/>
    <w:rPr>
      <w:rFonts w:ascii="Arial" w:hAnsi="Arial" w:cs="Arial"/>
      <w:color w:val="000080"/>
      <w:sz w:val="20"/>
      <w:szCs w:val="20"/>
    </w:rPr>
  </w:style>
  <w:style w:type="character" w:styleId="EmailStyle2338" w:customStyle="1">
    <w:name w:val="EmailStyle2338"/>
    <w:basedOn w:val="DefaultParagraphFont"/>
    <w:semiHidden/>
    <w:qFormat/>
    <w:rsid w:val="00ea1435"/>
    <w:rPr>
      <w:rFonts w:ascii="Arial" w:hAnsi="Arial" w:cs="Arial"/>
      <w:color w:val="000080"/>
      <w:sz w:val="20"/>
      <w:szCs w:val="20"/>
    </w:rPr>
  </w:style>
  <w:style w:type="character" w:styleId="EmailStyle2339" w:customStyle="1">
    <w:name w:val="EmailStyle2339"/>
    <w:basedOn w:val="DefaultParagraphFont"/>
    <w:semiHidden/>
    <w:qFormat/>
    <w:rsid w:val="00ea1435"/>
    <w:rPr>
      <w:rFonts w:ascii="Arial" w:hAnsi="Arial" w:cs="Arial"/>
      <w:color w:val="000080"/>
      <w:sz w:val="20"/>
      <w:szCs w:val="20"/>
    </w:rPr>
  </w:style>
  <w:style w:type="character" w:styleId="EmailStyle2340" w:customStyle="1">
    <w:name w:val="EmailStyle2340"/>
    <w:basedOn w:val="DefaultParagraphFont"/>
    <w:semiHidden/>
    <w:qFormat/>
    <w:rsid w:val="00ea1435"/>
    <w:rPr>
      <w:rFonts w:ascii="Arial" w:hAnsi="Arial" w:cs="Arial"/>
      <w:color w:val="000080"/>
      <w:sz w:val="20"/>
      <w:szCs w:val="20"/>
    </w:rPr>
  </w:style>
  <w:style w:type="character" w:styleId="EmailStyle2341" w:customStyle="1">
    <w:name w:val="EmailStyle2341"/>
    <w:basedOn w:val="DefaultParagraphFont"/>
    <w:semiHidden/>
    <w:qFormat/>
    <w:rsid w:val="00ea1435"/>
    <w:rPr>
      <w:rFonts w:ascii="Arial" w:hAnsi="Arial" w:cs="Arial"/>
      <w:color w:val="000080"/>
      <w:sz w:val="20"/>
      <w:szCs w:val="20"/>
    </w:rPr>
  </w:style>
  <w:style w:type="character" w:styleId="EmailStyle2342" w:customStyle="1">
    <w:name w:val="EmailStyle2342"/>
    <w:basedOn w:val="DefaultParagraphFont"/>
    <w:semiHidden/>
    <w:qFormat/>
    <w:rsid w:val="00ea1435"/>
    <w:rPr>
      <w:rFonts w:ascii="Arial" w:hAnsi="Arial" w:cs="Arial"/>
      <w:color w:val="000080"/>
      <w:sz w:val="20"/>
      <w:szCs w:val="20"/>
    </w:rPr>
  </w:style>
  <w:style w:type="character" w:styleId="EmailStyle2343" w:customStyle="1">
    <w:name w:val="EmailStyle2343"/>
    <w:basedOn w:val="DefaultParagraphFont"/>
    <w:semiHidden/>
    <w:qFormat/>
    <w:rsid w:val="00ea1435"/>
    <w:rPr>
      <w:rFonts w:ascii="Arial" w:hAnsi="Arial" w:cs="Arial"/>
      <w:color w:val="000080"/>
      <w:sz w:val="20"/>
      <w:szCs w:val="20"/>
    </w:rPr>
  </w:style>
  <w:style w:type="character" w:styleId="EmailStyle2344" w:customStyle="1">
    <w:name w:val="EmailStyle2344"/>
    <w:basedOn w:val="DefaultParagraphFont"/>
    <w:semiHidden/>
    <w:qFormat/>
    <w:rsid w:val="00ea1435"/>
    <w:rPr>
      <w:rFonts w:ascii="Arial" w:hAnsi="Arial" w:cs="Arial"/>
      <w:color w:val="000080"/>
      <w:sz w:val="20"/>
      <w:szCs w:val="20"/>
    </w:rPr>
  </w:style>
  <w:style w:type="character" w:styleId="EmailStyle2345" w:customStyle="1">
    <w:name w:val="EmailStyle2345"/>
    <w:basedOn w:val="DefaultParagraphFont"/>
    <w:semiHidden/>
    <w:qFormat/>
    <w:rsid w:val="00ea1435"/>
    <w:rPr>
      <w:rFonts w:ascii="Arial" w:hAnsi="Arial" w:cs="Arial"/>
      <w:color w:val="000080"/>
      <w:sz w:val="20"/>
      <w:szCs w:val="20"/>
    </w:rPr>
  </w:style>
  <w:style w:type="character" w:styleId="EmailStyle2346" w:customStyle="1">
    <w:name w:val="EmailStyle2346"/>
    <w:basedOn w:val="DefaultParagraphFont"/>
    <w:semiHidden/>
    <w:qFormat/>
    <w:rsid w:val="00ea1435"/>
    <w:rPr>
      <w:rFonts w:ascii="Arial" w:hAnsi="Arial" w:cs="Arial"/>
      <w:color w:val="000080"/>
      <w:sz w:val="20"/>
      <w:szCs w:val="20"/>
    </w:rPr>
  </w:style>
  <w:style w:type="character" w:styleId="EmailStyle2347" w:customStyle="1">
    <w:name w:val="EmailStyle2347"/>
    <w:basedOn w:val="DefaultParagraphFont"/>
    <w:semiHidden/>
    <w:qFormat/>
    <w:rsid w:val="00ea1435"/>
    <w:rPr>
      <w:rFonts w:ascii="Arial" w:hAnsi="Arial" w:cs="Arial"/>
      <w:color w:val="000080"/>
      <w:sz w:val="20"/>
      <w:szCs w:val="20"/>
    </w:rPr>
  </w:style>
  <w:style w:type="character" w:styleId="EmailStyle2348" w:customStyle="1">
    <w:name w:val="EmailStyle2348"/>
    <w:basedOn w:val="DefaultParagraphFont"/>
    <w:semiHidden/>
    <w:qFormat/>
    <w:rsid w:val="00ea1435"/>
    <w:rPr>
      <w:rFonts w:ascii="Arial" w:hAnsi="Arial" w:cs="Arial"/>
      <w:color w:val="000080"/>
      <w:sz w:val="20"/>
      <w:szCs w:val="20"/>
    </w:rPr>
  </w:style>
  <w:style w:type="character" w:styleId="EmailStyle2349" w:customStyle="1">
    <w:name w:val="EmailStyle2349"/>
    <w:basedOn w:val="DefaultParagraphFont"/>
    <w:semiHidden/>
    <w:qFormat/>
    <w:rsid w:val="00ea1435"/>
    <w:rPr>
      <w:rFonts w:ascii="Arial" w:hAnsi="Arial" w:cs="Arial"/>
      <w:color w:val="000080"/>
      <w:sz w:val="20"/>
      <w:szCs w:val="20"/>
    </w:rPr>
  </w:style>
  <w:style w:type="character" w:styleId="EmailStyle2350" w:customStyle="1">
    <w:name w:val="EmailStyle2350"/>
    <w:basedOn w:val="DefaultParagraphFont"/>
    <w:semiHidden/>
    <w:qFormat/>
    <w:rsid w:val="00ea1435"/>
    <w:rPr>
      <w:rFonts w:ascii="Arial" w:hAnsi="Arial" w:cs="Arial"/>
      <w:color w:val="000080"/>
      <w:sz w:val="20"/>
      <w:szCs w:val="20"/>
    </w:rPr>
  </w:style>
  <w:style w:type="character" w:styleId="EmailStyle2351" w:customStyle="1">
    <w:name w:val="EmailStyle2351"/>
    <w:basedOn w:val="DefaultParagraphFont"/>
    <w:semiHidden/>
    <w:qFormat/>
    <w:rsid w:val="00ea1435"/>
    <w:rPr>
      <w:rFonts w:ascii="Arial" w:hAnsi="Arial" w:cs="Arial"/>
      <w:color w:val="000080"/>
      <w:sz w:val="20"/>
      <w:szCs w:val="20"/>
    </w:rPr>
  </w:style>
  <w:style w:type="character" w:styleId="EmailStyle2352" w:customStyle="1">
    <w:name w:val="EmailStyle2352"/>
    <w:basedOn w:val="DefaultParagraphFont"/>
    <w:semiHidden/>
    <w:qFormat/>
    <w:rsid w:val="00ea1435"/>
    <w:rPr>
      <w:rFonts w:ascii="Arial" w:hAnsi="Arial" w:cs="Arial"/>
      <w:color w:val="000080"/>
      <w:sz w:val="20"/>
      <w:szCs w:val="20"/>
    </w:rPr>
  </w:style>
  <w:style w:type="character" w:styleId="EmailStyle2353" w:customStyle="1">
    <w:name w:val="EmailStyle2353"/>
    <w:basedOn w:val="DefaultParagraphFont"/>
    <w:semiHidden/>
    <w:qFormat/>
    <w:rsid w:val="00ea1435"/>
    <w:rPr>
      <w:rFonts w:ascii="Arial" w:hAnsi="Arial" w:cs="Arial"/>
      <w:color w:val="000080"/>
      <w:sz w:val="20"/>
      <w:szCs w:val="20"/>
    </w:rPr>
  </w:style>
  <w:style w:type="character" w:styleId="EmailStyle2354" w:customStyle="1">
    <w:name w:val="EmailStyle2354"/>
    <w:basedOn w:val="DefaultParagraphFont"/>
    <w:semiHidden/>
    <w:qFormat/>
    <w:rsid w:val="00ea1435"/>
    <w:rPr>
      <w:rFonts w:ascii="Arial" w:hAnsi="Arial" w:cs="Arial"/>
      <w:color w:val="000080"/>
      <w:sz w:val="20"/>
      <w:szCs w:val="20"/>
    </w:rPr>
  </w:style>
  <w:style w:type="character" w:styleId="EmailStyle2355" w:customStyle="1">
    <w:name w:val="EmailStyle2355"/>
    <w:basedOn w:val="DefaultParagraphFont"/>
    <w:semiHidden/>
    <w:qFormat/>
    <w:rsid w:val="00ea1435"/>
    <w:rPr>
      <w:rFonts w:ascii="Arial" w:hAnsi="Arial" w:cs="Arial"/>
      <w:color w:val="000080"/>
      <w:sz w:val="20"/>
      <w:szCs w:val="20"/>
    </w:rPr>
  </w:style>
  <w:style w:type="character" w:styleId="EmailStyle2356" w:customStyle="1">
    <w:name w:val="EmailStyle2356"/>
    <w:basedOn w:val="DefaultParagraphFont"/>
    <w:semiHidden/>
    <w:qFormat/>
    <w:rsid w:val="00ea1435"/>
    <w:rPr>
      <w:rFonts w:ascii="Arial" w:hAnsi="Arial" w:cs="Arial"/>
      <w:color w:val="000080"/>
      <w:sz w:val="20"/>
      <w:szCs w:val="20"/>
    </w:rPr>
  </w:style>
  <w:style w:type="character" w:styleId="EmailStyle2357" w:customStyle="1">
    <w:name w:val="EmailStyle2357"/>
    <w:basedOn w:val="DefaultParagraphFont"/>
    <w:semiHidden/>
    <w:qFormat/>
    <w:rsid w:val="00ea1435"/>
    <w:rPr>
      <w:rFonts w:ascii="Arial" w:hAnsi="Arial" w:cs="Arial"/>
      <w:color w:val="000080"/>
      <w:sz w:val="20"/>
      <w:szCs w:val="20"/>
    </w:rPr>
  </w:style>
  <w:style w:type="character" w:styleId="EmailStyle2358" w:customStyle="1">
    <w:name w:val="EmailStyle2358"/>
    <w:basedOn w:val="DefaultParagraphFont"/>
    <w:semiHidden/>
    <w:qFormat/>
    <w:rsid w:val="00ea1435"/>
    <w:rPr>
      <w:rFonts w:ascii="Arial" w:hAnsi="Arial" w:cs="Arial"/>
      <w:color w:val="000080"/>
      <w:sz w:val="20"/>
      <w:szCs w:val="20"/>
    </w:rPr>
  </w:style>
  <w:style w:type="character" w:styleId="EmailStyle2359" w:customStyle="1">
    <w:name w:val="EmailStyle2359"/>
    <w:basedOn w:val="DefaultParagraphFont"/>
    <w:semiHidden/>
    <w:qFormat/>
    <w:rsid w:val="00ea1435"/>
    <w:rPr>
      <w:rFonts w:ascii="Arial" w:hAnsi="Arial" w:cs="Arial"/>
      <w:color w:val="000080"/>
      <w:sz w:val="20"/>
      <w:szCs w:val="20"/>
    </w:rPr>
  </w:style>
  <w:style w:type="character" w:styleId="EmailStyle2360" w:customStyle="1">
    <w:name w:val="EmailStyle2360"/>
    <w:basedOn w:val="DefaultParagraphFont"/>
    <w:semiHidden/>
    <w:qFormat/>
    <w:rsid w:val="00ea1435"/>
    <w:rPr>
      <w:rFonts w:ascii="Arial" w:hAnsi="Arial" w:cs="Arial"/>
      <w:color w:val="000080"/>
      <w:sz w:val="20"/>
      <w:szCs w:val="20"/>
    </w:rPr>
  </w:style>
  <w:style w:type="character" w:styleId="EmailStyle2361" w:customStyle="1">
    <w:name w:val="EmailStyle2361"/>
    <w:basedOn w:val="DefaultParagraphFont"/>
    <w:semiHidden/>
    <w:qFormat/>
    <w:rsid w:val="00ea1435"/>
    <w:rPr>
      <w:rFonts w:ascii="Arial" w:hAnsi="Arial" w:cs="Arial"/>
      <w:color w:val="000080"/>
      <w:sz w:val="20"/>
      <w:szCs w:val="20"/>
    </w:rPr>
  </w:style>
  <w:style w:type="character" w:styleId="EmailStyle2362" w:customStyle="1">
    <w:name w:val="EmailStyle2362"/>
    <w:basedOn w:val="DefaultParagraphFont"/>
    <w:semiHidden/>
    <w:qFormat/>
    <w:rsid w:val="00ea1435"/>
    <w:rPr>
      <w:rFonts w:ascii="Arial" w:hAnsi="Arial" w:cs="Arial"/>
      <w:color w:val="000080"/>
      <w:sz w:val="20"/>
      <w:szCs w:val="20"/>
    </w:rPr>
  </w:style>
  <w:style w:type="character" w:styleId="EmailStyle2363" w:customStyle="1">
    <w:name w:val="EmailStyle2363"/>
    <w:basedOn w:val="DefaultParagraphFont"/>
    <w:semiHidden/>
    <w:qFormat/>
    <w:rsid w:val="00ea1435"/>
    <w:rPr>
      <w:rFonts w:ascii="Arial" w:hAnsi="Arial" w:cs="Arial"/>
      <w:color w:val="000080"/>
      <w:sz w:val="20"/>
      <w:szCs w:val="20"/>
    </w:rPr>
  </w:style>
  <w:style w:type="character" w:styleId="EmailStyle2364" w:customStyle="1">
    <w:name w:val="EmailStyle2364"/>
    <w:basedOn w:val="DefaultParagraphFont"/>
    <w:semiHidden/>
    <w:qFormat/>
    <w:rsid w:val="00ea1435"/>
    <w:rPr>
      <w:rFonts w:ascii="Arial" w:hAnsi="Arial" w:cs="Arial"/>
      <w:color w:val="000080"/>
      <w:sz w:val="20"/>
      <w:szCs w:val="20"/>
    </w:rPr>
  </w:style>
  <w:style w:type="character" w:styleId="EmailStyle2365" w:customStyle="1">
    <w:name w:val="EmailStyle2365"/>
    <w:basedOn w:val="DefaultParagraphFont"/>
    <w:semiHidden/>
    <w:qFormat/>
    <w:rsid w:val="00ea1435"/>
    <w:rPr>
      <w:rFonts w:ascii="Arial" w:hAnsi="Arial" w:cs="Arial"/>
      <w:color w:val="000080"/>
      <w:sz w:val="20"/>
      <w:szCs w:val="20"/>
    </w:rPr>
  </w:style>
  <w:style w:type="character" w:styleId="EmailStyle2366" w:customStyle="1">
    <w:name w:val="EmailStyle2366"/>
    <w:basedOn w:val="DefaultParagraphFont"/>
    <w:semiHidden/>
    <w:qFormat/>
    <w:rsid w:val="00ea1435"/>
    <w:rPr>
      <w:rFonts w:ascii="Arial" w:hAnsi="Arial" w:cs="Arial"/>
      <w:color w:val="000080"/>
      <w:sz w:val="20"/>
      <w:szCs w:val="20"/>
    </w:rPr>
  </w:style>
  <w:style w:type="character" w:styleId="EmailStyle2367" w:customStyle="1">
    <w:name w:val="EmailStyle2367"/>
    <w:basedOn w:val="DefaultParagraphFont"/>
    <w:semiHidden/>
    <w:qFormat/>
    <w:rsid w:val="00ea1435"/>
    <w:rPr>
      <w:rFonts w:ascii="Arial" w:hAnsi="Arial" w:cs="Arial"/>
      <w:color w:val="000080"/>
      <w:sz w:val="20"/>
      <w:szCs w:val="20"/>
    </w:rPr>
  </w:style>
  <w:style w:type="character" w:styleId="EmailStyle2368" w:customStyle="1">
    <w:name w:val="EmailStyle2368"/>
    <w:basedOn w:val="DefaultParagraphFont"/>
    <w:semiHidden/>
    <w:qFormat/>
    <w:rsid w:val="00ea1435"/>
    <w:rPr>
      <w:rFonts w:ascii="Arial" w:hAnsi="Arial" w:cs="Arial"/>
      <w:color w:val="000080"/>
      <w:sz w:val="20"/>
      <w:szCs w:val="20"/>
    </w:rPr>
  </w:style>
  <w:style w:type="character" w:styleId="EmailStyle2369" w:customStyle="1">
    <w:name w:val="EmailStyle2369"/>
    <w:basedOn w:val="DefaultParagraphFont"/>
    <w:semiHidden/>
    <w:qFormat/>
    <w:rsid w:val="00ea1435"/>
    <w:rPr>
      <w:rFonts w:ascii="Arial" w:hAnsi="Arial" w:cs="Arial"/>
      <w:color w:val="000080"/>
      <w:sz w:val="20"/>
      <w:szCs w:val="20"/>
    </w:rPr>
  </w:style>
  <w:style w:type="character" w:styleId="EmailStyle2370" w:customStyle="1">
    <w:name w:val="EmailStyle2370"/>
    <w:basedOn w:val="DefaultParagraphFont"/>
    <w:semiHidden/>
    <w:qFormat/>
    <w:rsid w:val="00ea1435"/>
    <w:rPr>
      <w:rFonts w:ascii="Arial" w:hAnsi="Arial" w:cs="Arial"/>
      <w:color w:val="000080"/>
      <w:sz w:val="20"/>
      <w:szCs w:val="20"/>
    </w:rPr>
  </w:style>
  <w:style w:type="character" w:styleId="EmailStyle2371" w:customStyle="1">
    <w:name w:val="EmailStyle2371"/>
    <w:basedOn w:val="DefaultParagraphFont"/>
    <w:semiHidden/>
    <w:qFormat/>
    <w:rsid w:val="00ea1435"/>
    <w:rPr>
      <w:rFonts w:ascii="Arial" w:hAnsi="Arial" w:cs="Arial"/>
      <w:color w:val="000080"/>
      <w:sz w:val="20"/>
      <w:szCs w:val="20"/>
    </w:rPr>
  </w:style>
  <w:style w:type="character" w:styleId="EmailStyle2372" w:customStyle="1">
    <w:name w:val="EmailStyle2372"/>
    <w:basedOn w:val="DefaultParagraphFont"/>
    <w:semiHidden/>
    <w:qFormat/>
    <w:rsid w:val="00ea1435"/>
    <w:rPr>
      <w:rFonts w:ascii="Arial" w:hAnsi="Arial" w:cs="Arial"/>
      <w:color w:val="000080"/>
      <w:sz w:val="20"/>
      <w:szCs w:val="20"/>
    </w:rPr>
  </w:style>
  <w:style w:type="character" w:styleId="EmailStyle2373" w:customStyle="1">
    <w:name w:val="EmailStyle2373"/>
    <w:basedOn w:val="DefaultParagraphFont"/>
    <w:semiHidden/>
    <w:qFormat/>
    <w:rsid w:val="00ea1435"/>
    <w:rPr>
      <w:rFonts w:ascii="Arial" w:hAnsi="Arial" w:cs="Arial"/>
      <w:color w:val="000080"/>
      <w:sz w:val="20"/>
      <w:szCs w:val="20"/>
    </w:rPr>
  </w:style>
  <w:style w:type="character" w:styleId="EmailStyle2374" w:customStyle="1">
    <w:name w:val="EmailStyle2374"/>
    <w:basedOn w:val="DefaultParagraphFont"/>
    <w:semiHidden/>
    <w:qFormat/>
    <w:rsid w:val="00ea1435"/>
    <w:rPr>
      <w:rFonts w:ascii="Arial" w:hAnsi="Arial" w:cs="Arial"/>
      <w:color w:val="000080"/>
      <w:sz w:val="20"/>
      <w:szCs w:val="20"/>
    </w:rPr>
  </w:style>
  <w:style w:type="character" w:styleId="EmailStyle2375" w:customStyle="1">
    <w:name w:val="EmailStyle2375"/>
    <w:basedOn w:val="DefaultParagraphFont"/>
    <w:semiHidden/>
    <w:qFormat/>
    <w:rsid w:val="00ea1435"/>
    <w:rPr>
      <w:rFonts w:ascii="Arial" w:hAnsi="Arial" w:cs="Arial"/>
      <w:color w:val="000080"/>
      <w:sz w:val="20"/>
      <w:szCs w:val="20"/>
    </w:rPr>
  </w:style>
  <w:style w:type="character" w:styleId="EmailStyle2376" w:customStyle="1">
    <w:name w:val="EmailStyle2376"/>
    <w:basedOn w:val="DefaultParagraphFont"/>
    <w:semiHidden/>
    <w:qFormat/>
    <w:rsid w:val="00ea1435"/>
    <w:rPr>
      <w:rFonts w:ascii="Arial" w:hAnsi="Arial" w:cs="Arial"/>
      <w:color w:val="000080"/>
      <w:sz w:val="20"/>
      <w:szCs w:val="20"/>
    </w:rPr>
  </w:style>
  <w:style w:type="character" w:styleId="EmailStyle2377" w:customStyle="1">
    <w:name w:val="EmailStyle2377"/>
    <w:basedOn w:val="DefaultParagraphFont"/>
    <w:semiHidden/>
    <w:qFormat/>
    <w:rsid w:val="00ea1435"/>
    <w:rPr>
      <w:rFonts w:ascii="Arial" w:hAnsi="Arial" w:cs="Arial"/>
      <w:color w:val="000080"/>
      <w:sz w:val="20"/>
      <w:szCs w:val="20"/>
    </w:rPr>
  </w:style>
  <w:style w:type="character" w:styleId="EmailStyle2378" w:customStyle="1">
    <w:name w:val="EmailStyle2378"/>
    <w:basedOn w:val="DefaultParagraphFont"/>
    <w:semiHidden/>
    <w:qFormat/>
    <w:rsid w:val="00ea1435"/>
    <w:rPr>
      <w:rFonts w:ascii="Arial" w:hAnsi="Arial" w:cs="Arial"/>
      <w:color w:val="000080"/>
      <w:sz w:val="20"/>
      <w:szCs w:val="20"/>
    </w:rPr>
  </w:style>
  <w:style w:type="character" w:styleId="EmailStyle2379" w:customStyle="1">
    <w:name w:val="EmailStyle2379"/>
    <w:basedOn w:val="DefaultParagraphFont"/>
    <w:semiHidden/>
    <w:qFormat/>
    <w:rsid w:val="00ea1435"/>
    <w:rPr>
      <w:rFonts w:ascii="Arial" w:hAnsi="Arial" w:cs="Arial"/>
      <w:color w:val="000080"/>
      <w:sz w:val="20"/>
      <w:szCs w:val="20"/>
    </w:rPr>
  </w:style>
  <w:style w:type="character" w:styleId="EmailStyle2380" w:customStyle="1">
    <w:name w:val="EmailStyle2380"/>
    <w:basedOn w:val="DefaultParagraphFont"/>
    <w:semiHidden/>
    <w:qFormat/>
    <w:rsid w:val="00ea1435"/>
    <w:rPr>
      <w:rFonts w:ascii="Arial" w:hAnsi="Arial" w:cs="Arial"/>
      <w:color w:val="000080"/>
      <w:sz w:val="20"/>
      <w:szCs w:val="20"/>
    </w:rPr>
  </w:style>
  <w:style w:type="character" w:styleId="EmailStyle2381" w:customStyle="1">
    <w:name w:val="EmailStyle2381"/>
    <w:basedOn w:val="DefaultParagraphFont"/>
    <w:semiHidden/>
    <w:qFormat/>
    <w:rsid w:val="00ea1435"/>
    <w:rPr>
      <w:rFonts w:ascii="Arial" w:hAnsi="Arial" w:cs="Arial"/>
      <w:color w:val="000080"/>
      <w:sz w:val="20"/>
      <w:szCs w:val="20"/>
    </w:rPr>
  </w:style>
  <w:style w:type="character" w:styleId="EmailStyle2382" w:customStyle="1">
    <w:name w:val="EmailStyle2382"/>
    <w:basedOn w:val="DefaultParagraphFont"/>
    <w:semiHidden/>
    <w:qFormat/>
    <w:rsid w:val="00ea1435"/>
    <w:rPr>
      <w:rFonts w:ascii="Arial" w:hAnsi="Arial" w:cs="Arial"/>
      <w:color w:val="000080"/>
      <w:sz w:val="20"/>
      <w:szCs w:val="20"/>
    </w:rPr>
  </w:style>
  <w:style w:type="character" w:styleId="EmailStyle2383" w:customStyle="1">
    <w:name w:val="EmailStyle2383"/>
    <w:basedOn w:val="DefaultParagraphFont"/>
    <w:semiHidden/>
    <w:qFormat/>
    <w:rsid w:val="00ea1435"/>
    <w:rPr>
      <w:rFonts w:ascii="Arial" w:hAnsi="Arial" w:cs="Arial"/>
      <w:color w:val="000080"/>
      <w:sz w:val="20"/>
      <w:szCs w:val="20"/>
    </w:rPr>
  </w:style>
  <w:style w:type="character" w:styleId="EmailStyle2384" w:customStyle="1">
    <w:name w:val="EmailStyle2384"/>
    <w:basedOn w:val="DefaultParagraphFont"/>
    <w:semiHidden/>
    <w:qFormat/>
    <w:rsid w:val="00ea1435"/>
    <w:rPr>
      <w:rFonts w:ascii="Arial" w:hAnsi="Arial" w:cs="Arial"/>
      <w:color w:val="000080"/>
      <w:sz w:val="20"/>
      <w:szCs w:val="20"/>
    </w:rPr>
  </w:style>
  <w:style w:type="character" w:styleId="EmailStyle2385" w:customStyle="1">
    <w:name w:val="EmailStyle2385"/>
    <w:basedOn w:val="DefaultParagraphFont"/>
    <w:semiHidden/>
    <w:qFormat/>
    <w:rsid w:val="00ea1435"/>
    <w:rPr>
      <w:rFonts w:ascii="Arial" w:hAnsi="Arial" w:cs="Arial"/>
      <w:color w:val="000080"/>
      <w:sz w:val="20"/>
      <w:szCs w:val="20"/>
    </w:rPr>
  </w:style>
  <w:style w:type="character" w:styleId="EmailStyle2386" w:customStyle="1">
    <w:name w:val="EmailStyle2386"/>
    <w:basedOn w:val="DefaultParagraphFont"/>
    <w:semiHidden/>
    <w:qFormat/>
    <w:rsid w:val="00ea1435"/>
    <w:rPr>
      <w:rFonts w:ascii="Arial" w:hAnsi="Arial" w:cs="Arial"/>
      <w:color w:val="000080"/>
      <w:sz w:val="20"/>
      <w:szCs w:val="20"/>
    </w:rPr>
  </w:style>
  <w:style w:type="character" w:styleId="EmailStyle2387" w:customStyle="1">
    <w:name w:val="EmailStyle2387"/>
    <w:basedOn w:val="DefaultParagraphFont"/>
    <w:semiHidden/>
    <w:qFormat/>
    <w:rsid w:val="00ea1435"/>
    <w:rPr>
      <w:rFonts w:ascii="Arial" w:hAnsi="Arial" w:cs="Arial"/>
      <w:color w:val="000080"/>
      <w:sz w:val="20"/>
      <w:szCs w:val="20"/>
    </w:rPr>
  </w:style>
  <w:style w:type="character" w:styleId="EmailStyle2388" w:customStyle="1">
    <w:name w:val="EmailStyle2388"/>
    <w:basedOn w:val="DefaultParagraphFont"/>
    <w:semiHidden/>
    <w:qFormat/>
    <w:rsid w:val="00ea1435"/>
    <w:rPr>
      <w:rFonts w:ascii="Arial" w:hAnsi="Arial" w:cs="Arial"/>
      <w:color w:val="000080"/>
      <w:sz w:val="20"/>
      <w:szCs w:val="20"/>
    </w:rPr>
  </w:style>
  <w:style w:type="character" w:styleId="EmailStyle2389" w:customStyle="1">
    <w:name w:val="EmailStyle2389"/>
    <w:basedOn w:val="DefaultParagraphFont"/>
    <w:semiHidden/>
    <w:qFormat/>
    <w:rsid w:val="00ea1435"/>
    <w:rPr>
      <w:rFonts w:ascii="Arial" w:hAnsi="Arial" w:cs="Arial"/>
      <w:color w:val="000080"/>
      <w:sz w:val="20"/>
      <w:szCs w:val="20"/>
    </w:rPr>
  </w:style>
  <w:style w:type="character" w:styleId="EmailStyle2390" w:customStyle="1">
    <w:name w:val="EmailStyle2390"/>
    <w:basedOn w:val="DefaultParagraphFont"/>
    <w:semiHidden/>
    <w:qFormat/>
    <w:rsid w:val="00ea1435"/>
    <w:rPr>
      <w:rFonts w:ascii="Arial" w:hAnsi="Arial" w:cs="Arial"/>
      <w:color w:val="000080"/>
      <w:sz w:val="20"/>
      <w:szCs w:val="20"/>
    </w:rPr>
  </w:style>
  <w:style w:type="character" w:styleId="EmailStyle2391" w:customStyle="1">
    <w:name w:val="EmailStyle2391"/>
    <w:basedOn w:val="DefaultParagraphFont"/>
    <w:semiHidden/>
    <w:qFormat/>
    <w:rsid w:val="00ea1435"/>
    <w:rPr>
      <w:rFonts w:ascii="Arial" w:hAnsi="Arial" w:cs="Arial"/>
      <w:color w:val="000080"/>
      <w:sz w:val="20"/>
      <w:szCs w:val="20"/>
    </w:rPr>
  </w:style>
  <w:style w:type="character" w:styleId="EmailStyle2392" w:customStyle="1">
    <w:name w:val="EmailStyle2392"/>
    <w:basedOn w:val="DefaultParagraphFont"/>
    <w:semiHidden/>
    <w:qFormat/>
    <w:rsid w:val="00ea1435"/>
    <w:rPr>
      <w:rFonts w:ascii="Arial" w:hAnsi="Arial" w:cs="Arial"/>
      <w:color w:val="000080"/>
      <w:sz w:val="20"/>
      <w:szCs w:val="20"/>
    </w:rPr>
  </w:style>
  <w:style w:type="character" w:styleId="EmailStyle2393" w:customStyle="1">
    <w:name w:val="EmailStyle2393"/>
    <w:basedOn w:val="DefaultParagraphFont"/>
    <w:semiHidden/>
    <w:qFormat/>
    <w:rsid w:val="00ea1435"/>
    <w:rPr>
      <w:rFonts w:ascii="Arial" w:hAnsi="Arial" w:cs="Arial"/>
      <w:color w:val="000080"/>
      <w:sz w:val="20"/>
      <w:szCs w:val="20"/>
    </w:rPr>
  </w:style>
  <w:style w:type="character" w:styleId="EmailStyle2394" w:customStyle="1">
    <w:name w:val="EmailStyle2394"/>
    <w:basedOn w:val="DefaultParagraphFont"/>
    <w:semiHidden/>
    <w:qFormat/>
    <w:rsid w:val="00ea1435"/>
    <w:rPr>
      <w:rFonts w:ascii="Arial" w:hAnsi="Arial" w:cs="Arial"/>
      <w:color w:val="000080"/>
      <w:sz w:val="20"/>
      <w:szCs w:val="20"/>
    </w:rPr>
  </w:style>
  <w:style w:type="character" w:styleId="EmailStyle2395" w:customStyle="1">
    <w:name w:val="EmailStyle2395"/>
    <w:basedOn w:val="DefaultParagraphFont"/>
    <w:semiHidden/>
    <w:qFormat/>
    <w:rsid w:val="00ea1435"/>
    <w:rPr>
      <w:rFonts w:ascii="Arial" w:hAnsi="Arial" w:cs="Arial"/>
      <w:color w:val="000080"/>
      <w:sz w:val="20"/>
      <w:szCs w:val="20"/>
    </w:rPr>
  </w:style>
  <w:style w:type="character" w:styleId="EmailStyle2396" w:customStyle="1">
    <w:name w:val="EmailStyle2396"/>
    <w:basedOn w:val="DefaultParagraphFont"/>
    <w:semiHidden/>
    <w:qFormat/>
    <w:rsid w:val="00ea1435"/>
    <w:rPr>
      <w:rFonts w:ascii="Arial" w:hAnsi="Arial" w:cs="Arial"/>
      <w:color w:val="000080"/>
      <w:sz w:val="20"/>
      <w:szCs w:val="20"/>
    </w:rPr>
  </w:style>
  <w:style w:type="character" w:styleId="EmailStyle2397" w:customStyle="1">
    <w:name w:val="EmailStyle2397"/>
    <w:basedOn w:val="DefaultParagraphFont"/>
    <w:semiHidden/>
    <w:qFormat/>
    <w:rsid w:val="00ea1435"/>
    <w:rPr>
      <w:rFonts w:ascii="Arial" w:hAnsi="Arial" w:cs="Arial"/>
      <w:color w:val="000080"/>
      <w:sz w:val="20"/>
      <w:szCs w:val="20"/>
    </w:rPr>
  </w:style>
  <w:style w:type="character" w:styleId="EmailStyle2398" w:customStyle="1">
    <w:name w:val="EmailStyle2398"/>
    <w:basedOn w:val="DefaultParagraphFont"/>
    <w:semiHidden/>
    <w:qFormat/>
    <w:rsid w:val="00ea1435"/>
    <w:rPr>
      <w:rFonts w:ascii="Arial" w:hAnsi="Arial" w:cs="Arial"/>
      <w:color w:val="000080"/>
      <w:sz w:val="20"/>
      <w:szCs w:val="20"/>
    </w:rPr>
  </w:style>
  <w:style w:type="character" w:styleId="EmailStyle2399" w:customStyle="1">
    <w:name w:val="EmailStyle2399"/>
    <w:basedOn w:val="DefaultParagraphFont"/>
    <w:semiHidden/>
    <w:qFormat/>
    <w:rsid w:val="00ea1435"/>
    <w:rPr>
      <w:rFonts w:ascii="Arial" w:hAnsi="Arial" w:cs="Arial"/>
      <w:color w:val="000080"/>
      <w:sz w:val="20"/>
      <w:szCs w:val="20"/>
    </w:rPr>
  </w:style>
  <w:style w:type="character" w:styleId="EmailStyle2400" w:customStyle="1">
    <w:name w:val="EmailStyle2400"/>
    <w:basedOn w:val="DefaultParagraphFont"/>
    <w:semiHidden/>
    <w:qFormat/>
    <w:rsid w:val="00ea1435"/>
    <w:rPr>
      <w:rFonts w:ascii="Arial" w:hAnsi="Arial" w:cs="Arial"/>
      <w:color w:val="000080"/>
      <w:sz w:val="20"/>
      <w:szCs w:val="20"/>
    </w:rPr>
  </w:style>
  <w:style w:type="character" w:styleId="EmailStyle2401" w:customStyle="1">
    <w:name w:val="EmailStyle2401"/>
    <w:basedOn w:val="DefaultParagraphFont"/>
    <w:semiHidden/>
    <w:qFormat/>
    <w:rsid w:val="00ea1435"/>
    <w:rPr>
      <w:rFonts w:ascii="Arial" w:hAnsi="Arial" w:cs="Arial"/>
      <w:color w:val="000080"/>
      <w:sz w:val="20"/>
      <w:szCs w:val="20"/>
    </w:rPr>
  </w:style>
  <w:style w:type="character" w:styleId="EmailStyle2402" w:customStyle="1">
    <w:name w:val="EmailStyle2402"/>
    <w:basedOn w:val="DefaultParagraphFont"/>
    <w:semiHidden/>
    <w:qFormat/>
    <w:rsid w:val="00ea1435"/>
    <w:rPr>
      <w:rFonts w:ascii="Arial" w:hAnsi="Arial" w:cs="Arial"/>
      <w:color w:val="000080"/>
      <w:sz w:val="20"/>
      <w:szCs w:val="20"/>
    </w:rPr>
  </w:style>
  <w:style w:type="character" w:styleId="EmailStyle2403" w:customStyle="1">
    <w:name w:val="EmailStyle2403"/>
    <w:basedOn w:val="DefaultParagraphFont"/>
    <w:semiHidden/>
    <w:qFormat/>
    <w:rsid w:val="00ea1435"/>
    <w:rPr>
      <w:rFonts w:ascii="Arial" w:hAnsi="Arial" w:cs="Arial"/>
      <w:color w:val="000080"/>
      <w:sz w:val="20"/>
      <w:szCs w:val="20"/>
    </w:rPr>
  </w:style>
  <w:style w:type="character" w:styleId="EmailStyle2404" w:customStyle="1">
    <w:name w:val="EmailStyle2404"/>
    <w:basedOn w:val="DefaultParagraphFont"/>
    <w:semiHidden/>
    <w:qFormat/>
    <w:rsid w:val="00ea1435"/>
    <w:rPr>
      <w:rFonts w:ascii="Arial" w:hAnsi="Arial" w:cs="Arial"/>
      <w:color w:val="000080"/>
      <w:sz w:val="20"/>
      <w:szCs w:val="20"/>
    </w:rPr>
  </w:style>
  <w:style w:type="character" w:styleId="EmailStyle2405" w:customStyle="1">
    <w:name w:val="EmailStyle2405"/>
    <w:basedOn w:val="DefaultParagraphFont"/>
    <w:semiHidden/>
    <w:qFormat/>
    <w:rsid w:val="00ea1435"/>
    <w:rPr>
      <w:rFonts w:ascii="Arial" w:hAnsi="Arial" w:cs="Arial"/>
      <w:color w:val="000080"/>
      <w:sz w:val="20"/>
      <w:szCs w:val="20"/>
    </w:rPr>
  </w:style>
  <w:style w:type="character" w:styleId="EmailStyle2406" w:customStyle="1">
    <w:name w:val="EmailStyle2406"/>
    <w:basedOn w:val="DefaultParagraphFont"/>
    <w:semiHidden/>
    <w:qFormat/>
    <w:rsid w:val="00ea1435"/>
    <w:rPr>
      <w:rFonts w:ascii="Arial" w:hAnsi="Arial" w:cs="Arial"/>
      <w:color w:val="000080"/>
      <w:sz w:val="20"/>
      <w:szCs w:val="20"/>
    </w:rPr>
  </w:style>
  <w:style w:type="character" w:styleId="EmailStyle2407" w:customStyle="1">
    <w:name w:val="EmailStyle2407"/>
    <w:basedOn w:val="DefaultParagraphFont"/>
    <w:semiHidden/>
    <w:qFormat/>
    <w:rsid w:val="00ea1435"/>
    <w:rPr>
      <w:rFonts w:ascii="Arial" w:hAnsi="Arial" w:cs="Arial"/>
      <w:color w:val="000080"/>
      <w:sz w:val="20"/>
      <w:szCs w:val="20"/>
    </w:rPr>
  </w:style>
  <w:style w:type="character" w:styleId="EmailStyle2408" w:customStyle="1">
    <w:name w:val="EmailStyle2408"/>
    <w:basedOn w:val="DefaultParagraphFont"/>
    <w:semiHidden/>
    <w:qFormat/>
    <w:rsid w:val="00ea1435"/>
    <w:rPr>
      <w:rFonts w:ascii="Arial" w:hAnsi="Arial" w:cs="Arial"/>
      <w:color w:val="000080"/>
      <w:sz w:val="20"/>
      <w:szCs w:val="20"/>
    </w:rPr>
  </w:style>
  <w:style w:type="character" w:styleId="EmailStyle2409" w:customStyle="1">
    <w:name w:val="EmailStyle2409"/>
    <w:basedOn w:val="DefaultParagraphFont"/>
    <w:semiHidden/>
    <w:qFormat/>
    <w:rsid w:val="00ea1435"/>
    <w:rPr>
      <w:rFonts w:ascii="Arial" w:hAnsi="Arial" w:cs="Arial"/>
      <w:color w:val="000080"/>
      <w:sz w:val="20"/>
      <w:szCs w:val="20"/>
    </w:rPr>
  </w:style>
  <w:style w:type="character" w:styleId="EmailStyle2410" w:customStyle="1">
    <w:name w:val="EmailStyle2410"/>
    <w:basedOn w:val="DefaultParagraphFont"/>
    <w:semiHidden/>
    <w:qFormat/>
    <w:rsid w:val="00ea1435"/>
    <w:rPr>
      <w:rFonts w:ascii="Arial" w:hAnsi="Arial" w:cs="Arial"/>
      <w:color w:val="000080"/>
      <w:sz w:val="20"/>
      <w:szCs w:val="20"/>
    </w:rPr>
  </w:style>
  <w:style w:type="character" w:styleId="EmailStyle2411" w:customStyle="1">
    <w:name w:val="EmailStyle2411"/>
    <w:basedOn w:val="DefaultParagraphFont"/>
    <w:semiHidden/>
    <w:qFormat/>
    <w:rsid w:val="00ea1435"/>
    <w:rPr>
      <w:rFonts w:ascii="Arial" w:hAnsi="Arial" w:cs="Arial"/>
      <w:color w:val="000080"/>
      <w:sz w:val="20"/>
      <w:szCs w:val="20"/>
    </w:rPr>
  </w:style>
  <w:style w:type="character" w:styleId="EmailStyle2412" w:customStyle="1">
    <w:name w:val="EmailStyle2412"/>
    <w:basedOn w:val="DefaultParagraphFont"/>
    <w:semiHidden/>
    <w:qFormat/>
    <w:rsid w:val="00ea1435"/>
    <w:rPr>
      <w:rFonts w:ascii="Arial" w:hAnsi="Arial" w:cs="Arial"/>
      <w:color w:val="000080"/>
      <w:sz w:val="20"/>
      <w:szCs w:val="20"/>
    </w:rPr>
  </w:style>
  <w:style w:type="character" w:styleId="EmailStyle2413" w:customStyle="1">
    <w:name w:val="EmailStyle2413"/>
    <w:basedOn w:val="DefaultParagraphFont"/>
    <w:semiHidden/>
    <w:qFormat/>
    <w:rsid w:val="00ea1435"/>
    <w:rPr>
      <w:rFonts w:ascii="Arial" w:hAnsi="Arial" w:cs="Arial"/>
      <w:color w:val="000080"/>
      <w:sz w:val="20"/>
      <w:szCs w:val="20"/>
    </w:rPr>
  </w:style>
  <w:style w:type="character" w:styleId="EmailStyle2414" w:customStyle="1">
    <w:name w:val="EmailStyle2414"/>
    <w:basedOn w:val="DefaultParagraphFont"/>
    <w:semiHidden/>
    <w:qFormat/>
    <w:rsid w:val="00ea1435"/>
    <w:rPr>
      <w:rFonts w:ascii="Arial" w:hAnsi="Arial" w:cs="Arial"/>
      <w:color w:val="000080"/>
      <w:sz w:val="20"/>
      <w:szCs w:val="20"/>
    </w:rPr>
  </w:style>
  <w:style w:type="character" w:styleId="EmailStyle2415" w:customStyle="1">
    <w:name w:val="EmailStyle2415"/>
    <w:basedOn w:val="DefaultParagraphFont"/>
    <w:semiHidden/>
    <w:qFormat/>
    <w:rsid w:val="00ea1435"/>
    <w:rPr>
      <w:rFonts w:ascii="Arial" w:hAnsi="Arial" w:cs="Arial"/>
      <w:color w:val="000080"/>
      <w:sz w:val="20"/>
      <w:szCs w:val="20"/>
    </w:rPr>
  </w:style>
  <w:style w:type="character" w:styleId="EmailStyle2416" w:customStyle="1">
    <w:name w:val="EmailStyle2416"/>
    <w:basedOn w:val="DefaultParagraphFont"/>
    <w:semiHidden/>
    <w:qFormat/>
    <w:rsid w:val="00ea1435"/>
    <w:rPr>
      <w:rFonts w:ascii="Arial" w:hAnsi="Arial" w:cs="Arial"/>
      <w:color w:val="000080"/>
      <w:sz w:val="20"/>
      <w:szCs w:val="20"/>
    </w:rPr>
  </w:style>
  <w:style w:type="character" w:styleId="EmailStyle2417" w:customStyle="1">
    <w:name w:val="EmailStyle2417"/>
    <w:basedOn w:val="DefaultParagraphFont"/>
    <w:semiHidden/>
    <w:qFormat/>
    <w:rsid w:val="00ea1435"/>
    <w:rPr>
      <w:rFonts w:ascii="Arial" w:hAnsi="Arial" w:cs="Arial"/>
      <w:color w:val="000080"/>
      <w:sz w:val="20"/>
      <w:szCs w:val="20"/>
    </w:rPr>
  </w:style>
  <w:style w:type="character" w:styleId="EmailStyle2418" w:customStyle="1">
    <w:name w:val="EmailStyle2418"/>
    <w:basedOn w:val="DefaultParagraphFont"/>
    <w:semiHidden/>
    <w:qFormat/>
    <w:rsid w:val="00ea1435"/>
    <w:rPr>
      <w:rFonts w:ascii="Arial" w:hAnsi="Arial" w:cs="Arial"/>
      <w:color w:val="000080"/>
      <w:sz w:val="20"/>
      <w:szCs w:val="20"/>
    </w:rPr>
  </w:style>
  <w:style w:type="character" w:styleId="EmailStyle2419" w:customStyle="1">
    <w:name w:val="EmailStyle2419"/>
    <w:basedOn w:val="DefaultParagraphFont"/>
    <w:semiHidden/>
    <w:qFormat/>
    <w:rsid w:val="00ea1435"/>
    <w:rPr>
      <w:rFonts w:ascii="Arial" w:hAnsi="Arial" w:cs="Arial"/>
      <w:color w:val="000080"/>
      <w:sz w:val="20"/>
      <w:szCs w:val="20"/>
    </w:rPr>
  </w:style>
  <w:style w:type="character" w:styleId="EmailStyle2420" w:customStyle="1">
    <w:name w:val="EmailStyle2420"/>
    <w:basedOn w:val="DefaultParagraphFont"/>
    <w:semiHidden/>
    <w:qFormat/>
    <w:rsid w:val="00ea1435"/>
    <w:rPr>
      <w:rFonts w:ascii="Arial" w:hAnsi="Arial" w:cs="Arial"/>
      <w:color w:val="000080"/>
      <w:sz w:val="20"/>
      <w:szCs w:val="20"/>
    </w:rPr>
  </w:style>
  <w:style w:type="character" w:styleId="EmailStyle2421" w:customStyle="1">
    <w:name w:val="EmailStyle2421"/>
    <w:basedOn w:val="DefaultParagraphFont"/>
    <w:semiHidden/>
    <w:qFormat/>
    <w:rsid w:val="00ea1435"/>
    <w:rPr>
      <w:rFonts w:ascii="Arial" w:hAnsi="Arial" w:cs="Arial"/>
      <w:color w:val="000080"/>
      <w:sz w:val="20"/>
      <w:szCs w:val="20"/>
    </w:rPr>
  </w:style>
  <w:style w:type="character" w:styleId="EmailStyle2422" w:customStyle="1">
    <w:name w:val="EmailStyle2422"/>
    <w:basedOn w:val="DefaultParagraphFont"/>
    <w:semiHidden/>
    <w:qFormat/>
    <w:rsid w:val="00ea1435"/>
    <w:rPr>
      <w:rFonts w:ascii="Arial" w:hAnsi="Arial" w:cs="Arial"/>
      <w:color w:val="000080"/>
      <w:sz w:val="20"/>
      <w:szCs w:val="20"/>
    </w:rPr>
  </w:style>
  <w:style w:type="character" w:styleId="EmailStyle2423" w:customStyle="1">
    <w:name w:val="EmailStyle2423"/>
    <w:basedOn w:val="DefaultParagraphFont"/>
    <w:semiHidden/>
    <w:qFormat/>
    <w:rsid w:val="00ea1435"/>
    <w:rPr>
      <w:rFonts w:ascii="Arial" w:hAnsi="Arial" w:cs="Arial"/>
      <w:color w:val="000080"/>
      <w:sz w:val="20"/>
      <w:szCs w:val="20"/>
    </w:rPr>
  </w:style>
  <w:style w:type="character" w:styleId="EmailStyle2424" w:customStyle="1">
    <w:name w:val="EmailStyle2424"/>
    <w:basedOn w:val="DefaultParagraphFont"/>
    <w:semiHidden/>
    <w:qFormat/>
    <w:rsid w:val="00ea1435"/>
    <w:rPr>
      <w:rFonts w:ascii="Arial" w:hAnsi="Arial" w:cs="Arial"/>
      <w:color w:val="000080"/>
      <w:sz w:val="20"/>
      <w:szCs w:val="20"/>
    </w:rPr>
  </w:style>
  <w:style w:type="character" w:styleId="EmailStyle2425" w:customStyle="1">
    <w:name w:val="EmailStyle2425"/>
    <w:basedOn w:val="DefaultParagraphFont"/>
    <w:semiHidden/>
    <w:qFormat/>
    <w:rsid w:val="00ea1435"/>
    <w:rPr>
      <w:rFonts w:ascii="Arial" w:hAnsi="Arial" w:cs="Arial"/>
      <w:color w:val="000080"/>
      <w:sz w:val="20"/>
      <w:szCs w:val="20"/>
    </w:rPr>
  </w:style>
  <w:style w:type="character" w:styleId="EmailStyle2426" w:customStyle="1">
    <w:name w:val="EmailStyle2426"/>
    <w:basedOn w:val="DefaultParagraphFont"/>
    <w:semiHidden/>
    <w:qFormat/>
    <w:rsid w:val="00ea1435"/>
    <w:rPr>
      <w:rFonts w:ascii="Arial" w:hAnsi="Arial" w:cs="Arial"/>
      <w:color w:val="000080"/>
      <w:sz w:val="20"/>
      <w:szCs w:val="20"/>
    </w:rPr>
  </w:style>
  <w:style w:type="character" w:styleId="EmailStyle2427" w:customStyle="1">
    <w:name w:val="EmailStyle2427"/>
    <w:basedOn w:val="DefaultParagraphFont"/>
    <w:semiHidden/>
    <w:qFormat/>
    <w:rsid w:val="00ea1435"/>
    <w:rPr>
      <w:rFonts w:ascii="Arial" w:hAnsi="Arial" w:cs="Arial"/>
      <w:color w:val="000080"/>
      <w:sz w:val="20"/>
      <w:szCs w:val="20"/>
    </w:rPr>
  </w:style>
  <w:style w:type="character" w:styleId="EmailStyle2428" w:customStyle="1">
    <w:name w:val="EmailStyle2428"/>
    <w:basedOn w:val="DefaultParagraphFont"/>
    <w:semiHidden/>
    <w:qFormat/>
    <w:rsid w:val="00ea1435"/>
    <w:rPr>
      <w:rFonts w:ascii="Arial" w:hAnsi="Arial" w:cs="Arial"/>
      <w:color w:val="000080"/>
      <w:sz w:val="20"/>
      <w:szCs w:val="20"/>
    </w:rPr>
  </w:style>
  <w:style w:type="character" w:styleId="EmailStyle2429" w:customStyle="1">
    <w:name w:val="EmailStyle2429"/>
    <w:basedOn w:val="DefaultParagraphFont"/>
    <w:semiHidden/>
    <w:qFormat/>
    <w:rsid w:val="00ea1435"/>
    <w:rPr>
      <w:rFonts w:ascii="Arial" w:hAnsi="Arial" w:cs="Arial"/>
      <w:color w:val="000080"/>
      <w:sz w:val="20"/>
      <w:szCs w:val="20"/>
    </w:rPr>
  </w:style>
  <w:style w:type="character" w:styleId="EmailStyle2430" w:customStyle="1">
    <w:name w:val="EmailStyle2430"/>
    <w:basedOn w:val="DefaultParagraphFont"/>
    <w:semiHidden/>
    <w:qFormat/>
    <w:rsid w:val="00ea1435"/>
    <w:rPr>
      <w:rFonts w:ascii="Arial" w:hAnsi="Arial" w:cs="Arial"/>
      <w:color w:val="000080"/>
      <w:sz w:val="20"/>
      <w:szCs w:val="20"/>
    </w:rPr>
  </w:style>
  <w:style w:type="character" w:styleId="EmailStyle2431" w:customStyle="1">
    <w:name w:val="EmailStyle2431"/>
    <w:basedOn w:val="DefaultParagraphFont"/>
    <w:semiHidden/>
    <w:qFormat/>
    <w:rsid w:val="00ea1435"/>
    <w:rPr>
      <w:rFonts w:ascii="Arial" w:hAnsi="Arial" w:cs="Arial"/>
      <w:color w:val="000080"/>
      <w:sz w:val="20"/>
      <w:szCs w:val="20"/>
    </w:rPr>
  </w:style>
  <w:style w:type="character" w:styleId="EmailStyle2432" w:customStyle="1">
    <w:name w:val="EmailStyle2432"/>
    <w:basedOn w:val="DefaultParagraphFont"/>
    <w:semiHidden/>
    <w:qFormat/>
    <w:rsid w:val="00ea1435"/>
    <w:rPr>
      <w:rFonts w:ascii="Arial" w:hAnsi="Arial" w:cs="Arial"/>
      <w:color w:val="000080"/>
      <w:sz w:val="20"/>
      <w:szCs w:val="20"/>
    </w:rPr>
  </w:style>
  <w:style w:type="character" w:styleId="EmailStyle2433" w:customStyle="1">
    <w:name w:val="EmailStyle2433"/>
    <w:basedOn w:val="DefaultParagraphFont"/>
    <w:semiHidden/>
    <w:qFormat/>
    <w:rsid w:val="00ea1435"/>
    <w:rPr>
      <w:rFonts w:ascii="Arial" w:hAnsi="Arial" w:cs="Arial"/>
      <w:color w:val="000080"/>
      <w:sz w:val="20"/>
      <w:szCs w:val="20"/>
    </w:rPr>
  </w:style>
  <w:style w:type="character" w:styleId="EmailStyle2434" w:customStyle="1">
    <w:name w:val="EmailStyle2434"/>
    <w:basedOn w:val="DefaultParagraphFont"/>
    <w:semiHidden/>
    <w:qFormat/>
    <w:rsid w:val="00ea1435"/>
    <w:rPr>
      <w:rFonts w:ascii="Arial" w:hAnsi="Arial" w:cs="Arial"/>
      <w:color w:val="000080"/>
      <w:sz w:val="20"/>
      <w:szCs w:val="20"/>
    </w:rPr>
  </w:style>
  <w:style w:type="character" w:styleId="EmailStyle2435" w:customStyle="1">
    <w:name w:val="EmailStyle2435"/>
    <w:basedOn w:val="DefaultParagraphFont"/>
    <w:semiHidden/>
    <w:qFormat/>
    <w:rsid w:val="00ea1435"/>
    <w:rPr>
      <w:rFonts w:ascii="Arial" w:hAnsi="Arial" w:cs="Arial"/>
      <w:color w:val="000080"/>
      <w:sz w:val="20"/>
      <w:szCs w:val="20"/>
    </w:rPr>
  </w:style>
  <w:style w:type="character" w:styleId="EmailStyle2436" w:customStyle="1">
    <w:name w:val="EmailStyle2436"/>
    <w:basedOn w:val="DefaultParagraphFont"/>
    <w:semiHidden/>
    <w:qFormat/>
    <w:rsid w:val="00ea1435"/>
    <w:rPr>
      <w:rFonts w:ascii="Arial" w:hAnsi="Arial" w:cs="Arial"/>
      <w:color w:val="000080"/>
      <w:sz w:val="20"/>
      <w:szCs w:val="20"/>
    </w:rPr>
  </w:style>
  <w:style w:type="character" w:styleId="EmailStyle2437" w:customStyle="1">
    <w:name w:val="EmailStyle2437"/>
    <w:basedOn w:val="DefaultParagraphFont"/>
    <w:semiHidden/>
    <w:qFormat/>
    <w:rsid w:val="00ea1435"/>
    <w:rPr>
      <w:rFonts w:ascii="Arial" w:hAnsi="Arial" w:cs="Arial"/>
      <w:color w:val="000080"/>
      <w:sz w:val="20"/>
      <w:szCs w:val="20"/>
    </w:rPr>
  </w:style>
  <w:style w:type="character" w:styleId="EmailStyle2438" w:customStyle="1">
    <w:name w:val="EmailStyle2438"/>
    <w:basedOn w:val="DefaultParagraphFont"/>
    <w:semiHidden/>
    <w:qFormat/>
    <w:rsid w:val="00ea1435"/>
    <w:rPr>
      <w:rFonts w:ascii="Arial" w:hAnsi="Arial" w:cs="Arial"/>
      <w:color w:val="000080"/>
      <w:sz w:val="20"/>
      <w:szCs w:val="20"/>
    </w:rPr>
  </w:style>
  <w:style w:type="character" w:styleId="EmailStyle2439" w:customStyle="1">
    <w:name w:val="EmailStyle2439"/>
    <w:basedOn w:val="DefaultParagraphFont"/>
    <w:semiHidden/>
    <w:qFormat/>
    <w:rsid w:val="00ea1435"/>
    <w:rPr>
      <w:rFonts w:ascii="Arial" w:hAnsi="Arial" w:cs="Arial"/>
      <w:color w:val="000080"/>
      <w:sz w:val="20"/>
      <w:szCs w:val="20"/>
    </w:rPr>
  </w:style>
  <w:style w:type="character" w:styleId="EmailStyle2440" w:customStyle="1">
    <w:name w:val="EmailStyle2440"/>
    <w:basedOn w:val="DefaultParagraphFont"/>
    <w:semiHidden/>
    <w:qFormat/>
    <w:rsid w:val="00ea1435"/>
    <w:rPr>
      <w:rFonts w:ascii="Arial" w:hAnsi="Arial" w:cs="Arial"/>
      <w:color w:val="000080"/>
      <w:sz w:val="20"/>
      <w:szCs w:val="20"/>
    </w:rPr>
  </w:style>
  <w:style w:type="character" w:styleId="EmailStyle2441" w:customStyle="1">
    <w:name w:val="EmailStyle2441"/>
    <w:basedOn w:val="DefaultParagraphFont"/>
    <w:semiHidden/>
    <w:qFormat/>
    <w:rsid w:val="00ea1435"/>
    <w:rPr>
      <w:rFonts w:ascii="Arial" w:hAnsi="Arial" w:cs="Arial"/>
      <w:color w:val="000080"/>
      <w:sz w:val="20"/>
      <w:szCs w:val="20"/>
    </w:rPr>
  </w:style>
  <w:style w:type="character" w:styleId="EmailStyle2442" w:customStyle="1">
    <w:name w:val="EmailStyle2442"/>
    <w:basedOn w:val="DefaultParagraphFont"/>
    <w:semiHidden/>
    <w:qFormat/>
    <w:rsid w:val="00ea1435"/>
    <w:rPr>
      <w:rFonts w:ascii="Arial" w:hAnsi="Arial" w:cs="Arial"/>
      <w:color w:val="000080"/>
      <w:sz w:val="20"/>
      <w:szCs w:val="20"/>
    </w:rPr>
  </w:style>
  <w:style w:type="character" w:styleId="EmailStyle2443" w:customStyle="1">
    <w:name w:val="EmailStyle2443"/>
    <w:basedOn w:val="DefaultParagraphFont"/>
    <w:semiHidden/>
    <w:qFormat/>
    <w:rsid w:val="00ea1435"/>
    <w:rPr>
      <w:rFonts w:ascii="Arial" w:hAnsi="Arial" w:cs="Arial"/>
      <w:color w:val="000080"/>
      <w:sz w:val="20"/>
      <w:szCs w:val="20"/>
    </w:rPr>
  </w:style>
  <w:style w:type="character" w:styleId="EmailStyle2444" w:customStyle="1">
    <w:name w:val="EmailStyle2444"/>
    <w:basedOn w:val="DefaultParagraphFont"/>
    <w:semiHidden/>
    <w:qFormat/>
    <w:rsid w:val="00ea1435"/>
    <w:rPr>
      <w:rFonts w:ascii="Arial" w:hAnsi="Arial" w:cs="Arial"/>
      <w:color w:val="000080"/>
      <w:sz w:val="20"/>
      <w:szCs w:val="20"/>
    </w:rPr>
  </w:style>
  <w:style w:type="character" w:styleId="EmailStyle2445" w:customStyle="1">
    <w:name w:val="EmailStyle2445"/>
    <w:basedOn w:val="DefaultParagraphFont"/>
    <w:semiHidden/>
    <w:qFormat/>
    <w:rsid w:val="00ea1435"/>
    <w:rPr>
      <w:rFonts w:ascii="Arial" w:hAnsi="Arial" w:cs="Arial"/>
      <w:color w:val="000080"/>
      <w:sz w:val="20"/>
      <w:szCs w:val="20"/>
    </w:rPr>
  </w:style>
  <w:style w:type="character" w:styleId="EmailStyle2446" w:customStyle="1">
    <w:name w:val="EmailStyle2446"/>
    <w:basedOn w:val="DefaultParagraphFont"/>
    <w:semiHidden/>
    <w:qFormat/>
    <w:rsid w:val="00ea1435"/>
    <w:rPr>
      <w:rFonts w:ascii="Arial" w:hAnsi="Arial" w:cs="Arial"/>
      <w:color w:val="000080"/>
      <w:sz w:val="20"/>
      <w:szCs w:val="20"/>
    </w:rPr>
  </w:style>
  <w:style w:type="character" w:styleId="EmailStyle2447" w:customStyle="1">
    <w:name w:val="EmailStyle2447"/>
    <w:basedOn w:val="DefaultParagraphFont"/>
    <w:semiHidden/>
    <w:qFormat/>
    <w:rsid w:val="00ea1435"/>
    <w:rPr>
      <w:rFonts w:ascii="Arial" w:hAnsi="Arial" w:cs="Arial"/>
      <w:color w:val="000080"/>
      <w:sz w:val="20"/>
      <w:szCs w:val="20"/>
    </w:rPr>
  </w:style>
  <w:style w:type="character" w:styleId="EmailStyle2448" w:customStyle="1">
    <w:name w:val="EmailStyle2448"/>
    <w:basedOn w:val="DefaultParagraphFont"/>
    <w:semiHidden/>
    <w:qFormat/>
    <w:rsid w:val="00ea1435"/>
    <w:rPr>
      <w:rFonts w:ascii="Arial" w:hAnsi="Arial" w:cs="Arial"/>
      <w:color w:val="000080"/>
      <w:sz w:val="20"/>
      <w:szCs w:val="20"/>
    </w:rPr>
  </w:style>
  <w:style w:type="character" w:styleId="EmailStyle2449" w:customStyle="1">
    <w:name w:val="EmailStyle2449"/>
    <w:basedOn w:val="DefaultParagraphFont"/>
    <w:semiHidden/>
    <w:qFormat/>
    <w:rsid w:val="00ea1435"/>
    <w:rPr>
      <w:rFonts w:ascii="Arial" w:hAnsi="Arial" w:cs="Arial"/>
      <w:color w:val="000080"/>
      <w:sz w:val="20"/>
      <w:szCs w:val="20"/>
    </w:rPr>
  </w:style>
  <w:style w:type="character" w:styleId="EmailStyle2450" w:customStyle="1">
    <w:name w:val="EmailStyle2450"/>
    <w:basedOn w:val="DefaultParagraphFont"/>
    <w:semiHidden/>
    <w:qFormat/>
    <w:rsid w:val="00ea1435"/>
    <w:rPr>
      <w:rFonts w:ascii="Arial" w:hAnsi="Arial" w:cs="Arial"/>
      <w:color w:val="000080"/>
      <w:sz w:val="20"/>
      <w:szCs w:val="20"/>
    </w:rPr>
  </w:style>
  <w:style w:type="character" w:styleId="EmailStyle2451" w:customStyle="1">
    <w:name w:val="EmailStyle2451"/>
    <w:basedOn w:val="DefaultParagraphFont"/>
    <w:semiHidden/>
    <w:qFormat/>
    <w:rsid w:val="00ea1435"/>
    <w:rPr>
      <w:rFonts w:ascii="Arial" w:hAnsi="Arial" w:cs="Arial"/>
      <w:color w:val="000080"/>
      <w:sz w:val="20"/>
      <w:szCs w:val="20"/>
    </w:rPr>
  </w:style>
  <w:style w:type="character" w:styleId="EmailStyle2452" w:customStyle="1">
    <w:name w:val="EmailStyle2452"/>
    <w:basedOn w:val="DefaultParagraphFont"/>
    <w:semiHidden/>
    <w:qFormat/>
    <w:rsid w:val="00ea1435"/>
    <w:rPr>
      <w:rFonts w:ascii="Arial" w:hAnsi="Arial" w:cs="Arial"/>
      <w:color w:val="000080"/>
      <w:sz w:val="20"/>
      <w:szCs w:val="20"/>
    </w:rPr>
  </w:style>
  <w:style w:type="character" w:styleId="EmailStyle2453" w:customStyle="1">
    <w:name w:val="EmailStyle2453"/>
    <w:basedOn w:val="DefaultParagraphFont"/>
    <w:semiHidden/>
    <w:qFormat/>
    <w:rsid w:val="00ea1435"/>
    <w:rPr>
      <w:rFonts w:ascii="Arial" w:hAnsi="Arial" w:cs="Arial"/>
      <w:color w:val="000080"/>
      <w:sz w:val="20"/>
      <w:szCs w:val="20"/>
    </w:rPr>
  </w:style>
  <w:style w:type="character" w:styleId="EmailStyle2454" w:customStyle="1">
    <w:name w:val="EmailStyle2454"/>
    <w:basedOn w:val="DefaultParagraphFont"/>
    <w:semiHidden/>
    <w:qFormat/>
    <w:rsid w:val="00ea1435"/>
    <w:rPr>
      <w:rFonts w:ascii="Arial" w:hAnsi="Arial" w:cs="Arial"/>
      <w:color w:val="000080"/>
      <w:sz w:val="20"/>
      <w:szCs w:val="20"/>
    </w:rPr>
  </w:style>
  <w:style w:type="character" w:styleId="EmailStyle2455" w:customStyle="1">
    <w:name w:val="EmailStyle2455"/>
    <w:basedOn w:val="DefaultParagraphFont"/>
    <w:semiHidden/>
    <w:qFormat/>
    <w:rsid w:val="00ea1435"/>
    <w:rPr>
      <w:rFonts w:ascii="Arial" w:hAnsi="Arial" w:cs="Arial"/>
      <w:color w:val="000080"/>
      <w:sz w:val="20"/>
      <w:szCs w:val="20"/>
    </w:rPr>
  </w:style>
  <w:style w:type="character" w:styleId="EmailStyle2456" w:customStyle="1">
    <w:name w:val="EmailStyle2456"/>
    <w:basedOn w:val="DefaultParagraphFont"/>
    <w:semiHidden/>
    <w:qFormat/>
    <w:rsid w:val="00ea1435"/>
    <w:rPr>
      <w:rFonts w:ascii="Arial" w:hAnsi="Arial" w:cs="Arial"/>
      <w:color w:val="000080"/>
      <w:sz w:val="20"/>
      <w:szCs w:val="20"/>
    </w:rPr>
  </w:style>
  <w:style w:type="character" w:styleId="EmailStyle2457" w:customStyle="1">
    <w:name w:val="EmailStyle2457"/>
    <w:basedOn w:val="DefaultParagraphFont"/>
    <w:semiHidden/>
    <w:qFormat/>
    <w:rsid w:val="00ea1435"/>
    <w:rPr>
      <w:rFonts w:ascii="Arial" w:hAnsi="Arial" w:cs="Arial"/>
      <w:color w:val="000080"/>
      <w:sz w:val="20"/>
      <w:szCs w:val="20"/>
    </w:rPr>
  </w:style>
  <w:style w:type="character" w:styleId="EmailStyle2458" w:customStyle="1">
    <w:name w:val="EmailStyle2458"/>
    <w:basedOn w:val="DefaultParagraphFont"/>
    <w:semiHidden/>
    <w:qFormat/>
    <w:rsid w:val="00ea1435"/>
    <w:rPr>
      <w:rFonts w:ascii="Arial" w:hAnsi="Arial" w:cs="Arial"/>
      <w:color w:val="000080"/>
      <w:sz w:val="20"/>
      <w:szCs w:val="20"/>
    </w:rPr>
  </w:style>
  <w:style w:type="character" w:styleId="EmailStyle2459" w:customStyle="1">
    <w:name w:val="EmailStyle2459"/>
    <w:basedOn w:val="DefaultParagraphFont"/>
    <w:semiHidden/>
    <w:qFormat/>
    <w:rsid w:val="00ea1435"/>
    <w:rPr>
      <w:rFonts w:ascii="Arial" w:hAnsi="Arial" w:cs="Arial"/>
      <w:color w:val="000080"/>
      <w:sz w:val="20"/>
      <w:szCs w:val="20"/>
    </w:rPr>
  </w:style>
  <w:style w:type="character" w:styleId="EmailStyle2460" w:customStyle="1">
    <w:name w:val="EmailStyle2460"/>
    <w:basedOn w:val="DefaultParagraphFont"/>
    <w:semiHidden/>
    <w:qFormat/>
    <w:rsid w:val="00ea1435"/>
    <w:rPr>
      <w:rFonts w:ascii="Arial" w:hAnsi="Arial" w:cs="Arial"/>
      <w:color w:val="000080"/>
      <w:sz w:val="20"/>
      <w:szCs w:val="20"/>
    </w:rPr>
  </w:style>
  <w:style w:type="character" w:styleId="EmailStyle2461" w:customStyle="1">
    <w:name w:val="EmailStyle2461"/>
    <w:basedOn w:val="DefaultParagraphFont"/>
    <w:semiHidden/>
    <w:qFormat/>
    <w:rsid w:val="00ea1435"/>
    <w:rPr>
      <w:rFonts w:ascii="Arial" w:hAnsi="Arial" w:cs="Arial"/>
      <w:color w:val="000080"/>
      <w:sz w:val="20"/>
      <w:szCs w:val="20"/>
    </w:rPr>
  </w:style>
  <w:style w:type="character" w:styleId="EmailStyle2462" w:customStyle="1">
    <w:name w:val="EmailStyle2462"/>
    <w:basedOn w:val="DefaultParagraphFont"/>
    <w:semiHidden/>
    <w:qFormat/>
    <w:rsid w:val="00ea1435"/>
    <w:rPr>
      <w:rFonts w:ascii="Arial" w:hAnsi="Arial" w:cs="Arial"/>
      <w:color w:val="000080"/>
      <w:sz w:val="20"/>
      <w:szCs w:val="20"/>
    </w:rPr>
  </w:style>
  <w:style w:type="character" w:styleId="EmailStyle2463" w:customStyle="1">
    <w:name w:val="EmailStyle2463"/>
    <w:basedOn w:val="DefaultParagraphFont"/>
    <w:semiHidden/>
    <w:qFormat/>
    <w:rsid w:val="00ea1435"/>
    <w:rPr>
      <w:rFonts w:ascii="Arial" w:hAnsi="Arial" w:cs="Arial"/>
      <w:color w:val="000080"/>
      <w:sz w:val="20"/>
      <w:szCs w:val="20"/>
    </w:rPr>
  </w:style>
  <w:style w:type="character" w:styleId="EmailStyle2464" w:customStyle="1">
    <w:name w:val="EmailStyle2464"/>
    <w:basedOn w:val="DefaultParagraphFont"/>
    <w:semiHidden/>
    <w:qFormat/>
    <w:rsid w:val="00ea1435"/>
    <w:rPr>
      <w:rFonts w:ascii="Arial" w:hAnsi="Arial" w:cs="Arial"/>
      <w:color w:val="000080"/>
      <w:sz w:val="20"/>
      <w:szCs w:val="20"/>
    </w:rPr>
  </w:style>
  <w:style w:type="character" w:styleId="EmailStyle2465" w:customStyle="1">
    <w:name w:val="EmailStyle2465"/>
    <w:basedOn w:val="DefaultParagraphFont"/>
    <w:semiHidden/>
    <w:qFormat/>
    <w:rsid w:val="00ea1435"/>
    <w:rPr>
      <w:rFonts w:ascii="Arial" w:hAnsi="Arial" w:cs="Arial"/>
      <w:color w:val="000080"/>
      <w:sz w:val="20"/>
      <w:szCs w:val="20"/>
    </w:rPr>
  </w:style>
  <w:style w:type="character" w:styleId="EmailStyle2466" w:customStyle="1">
    <w:name w:val="EmailStyle2466"/>
    <w:basedOn w:val="DefaultParagraphFont"/>
    <w:semiHidden/>
    <w:qFormat/>
    <w:rsid w:val="00ea1435"/>
    <w:rPr>
      <w:rFonts w:ascii="Arial" w:hAnsi="Arial" w:cs="Arial"/>
      <w:color w:val="000080"/>
      <w:sz w:val="20"/>
      <w:szCs w:val="20"/>
    </w:rPr>
  </w:style>
  <w:style w:type="character" w:styleId="EmailStyle2467" w:customStyle="1">
    <w:name w:val="EmailStyle2467"/>
    <w:basedOn w:val="DefaultParagraphFont"/>
    <w:semiHidden/>
    <w:qFormat/>
    <w:rsid w:val="00ea1435"/>
    <w:rPr>
      <w:rFonts w:ascii="Arial" w:hAnsi="Arial" w:cs="Arial"/>
      <w:color w:val="000080"/>
      <w:sz w:val="20"/>
      <w:szCs w:val="20"/>
    </w:rPr>
  </w:style>
  <w:style w:type="character" w:styleId="L5def2" w:customStyle="1">
    <w:name w:val="l5def2"/>
    <w:basedOn w:val="DefaultParagraphFont"/>
    <w:qFormat/>
    <w:rsid w:val="00ea1435"/>
    <w:rPr>
      <w:rFonts w:ascii="Arial" w:hAnsi="Arial" w:cs="Arial"/>
      <w:color w:val="000000"/>
      <w:sz w:val="26"/>
      <w:szCs w:val="26"/>
    </w:rPr>
  </w:style>
  <w:style w:type="character" w:styleId="HeaderChar2" w:customStyle="1">
    <w:name w:val="Header Char2"/>
    <w:qFormat/>
    <w:rsid w:val="00ea1435"/>
    <w:rPr>
      <w:lang w:val="en-US" w:eastAsia="en-US"/>
    </w:rPr>
  </w:style>
  <w:style w:type="character" w:styleId="ListParagraphChar" w:customStyle="1">
    <w:name w:val="List Paragraph Char"/>
    <w:link w:val="ListParagraph"/>
    <w:uiPriority w:val="34"/>
    <w:qFormat/>
    <w:rsid w:val="00ea1435"/>
    <w:rPr/>
  </w:style>
  <w:style w:type="character" w:styleId="L5tlu" w:customStyle="1">
    <w:name w:val="l5tlu"/>
    <w:qFormat/>
    <w:rsid w:val="00ea1435"/>
    <w:rPr/>
  </w:style>
  <w:style w:type="character" w:styleId="Font91" w:customStyle="1">
    <w:name w:val="font91"/>
    <w:qFormat/>
    <w:rsid w:val="00ea1435"/>
    <w:rPr>
      <w:rFonts w:ascii="Arial Narrow" w:hAnsi="Arial Narrow"/>
      <w:b w:val="false"/>
      <w:bCs w:val="false"/>
      <w:i w:val="false"/>
      <w:iCs w:val="false"/>
      <w:strike w:val="false"/>
      <w:dstrike w:val="false"/>
      <w:color w:val="auto"/>
      <w:sz w:val="24"/>
      <w:szCs w:val="24"/>
      <w:u w:val="none"/>
      <w:effect w:val="none"/>
    </w:rPr>
  </w:style>
  <w:style w:type="character" w:styleId="Font71" w:customStyle="1">
    <w:name w:val="font71"/>
    <w:qFormat/>
    <w:rsid w:val="00ea1435"/>
    <w:rPr>
      <w:rFonts w:ascii="Arial Narrow" w:hAnsi="Arial Narrow"/>
      <w:b w:val="false"/>
      <w:bCs w:val="false"/>
      <w:i w:val="false"/>
      <w:iCs w:val="false"/>
      <w:strike w:val="false"/>
      <w:dstrike w:val="false"/>
      <w:color w:val="auto"/>
      <w:sz w:val="24"/>
      <w:szCs w:val="24"/>
      <w:u w:val="none"/>
      <w:effect w:val="none"/>
    </w:rPr>
  </w:style>
  <w:style w:type="character" w:styleId="Font101" w:customStyle="1">
    <w:name w:val="font101"/>
    <w:qFormat/>
    <w:rsid w:val="00ea1435"/>
    <w:rPr>
      <w:rFonts w:ascii="Arial Narrow" w:hAnsi="Arial Narrow"/>
      <w:b w:val="false"/>
      <w:bCs w:val="false"/>
      <w:i/>
      <w:iCs/>
      <w:strike w:val="false"/>
      <w:dstrike w:val="false"/>
      <w:color w:val="auto"/>
      <w:sz w:val="24"/>
      <w:szCs w:val="24"/>
      <w:u w:val="none"/>
      <w:effect w:val="none"/>
    </w:rPr>
  </w:style>
  <w:style w:type="character" w:styleId="Font111" w:customStyle="1">
    <w:name w:val="font111"/>
    <w:qFormat/>
    <w:rsid w:val="00ea1435"/>
    <w:rPr>
      <w:rFonts w:ascii="Arial Narrow" w:hAnsi="Arial Narrow"/>
      <w:b w:val="false"/>
      <w:bCs w:val="false"/>
      <w:i w:val="false"/>
      <w:iCs w:val="false"/>
      <w:strike w:val="false"/>
      <w:dstrike w:val="false"/>
      <w:color w:val="auto"/>
      <w:sz w:val="22"/>
      <w:szCs w:val="22"/>
      <w:u w:val="none"/>
      <w:effect w:val="none"/>
    </w:rPr>
  </w:style>
  <w:style w:type="character" w:styleId="Contextnavitem" w:customStyle="1">
    <w:name w:val="context-nav__item"/>
    <w:qFormat/>
    <w:rsid w:val="00ea1435"/>
    <w:rPr/>
  </w:style>
  <w:style w:type="character" w:styleId="PlainTextChar1" w:customStyle="1">
    <w:name w:val="Plain Text Char1"/>
    <w:basedOn w:val="DefaultParagraphFont"/>
    <w:semiHidden/>
    <w:qFormat/>
    <w:rsid w:val="00ea1435"/>
    <w:rPr>
      <w:rFonts w:ascii="Consolas" w:hAnsi="Consolas"/>
      <w:sz w:val="21"/>
      <w:szCs w:val="21"/>
      <w:lang w:val="ro-RO"/>
    </w:rPr>
  </w:style>
  <w:style w:type="character" w:styleId="CommentTextChar1" w:customStyle="1">
    <w:name w:val="Comment Text Char1"/>
    <w:basedOn w:val="DefaultParagraphFont"/>
    <w:semiHidden/>
    <w:qFormat/>
    <w:rsid w:val="00ea1435"/>
    <w:rPr>
      <w:sz w:val="20"/>
      <w:szCs w:val="20"/>
      <w:lang w:val="ro-RO"/>
    </w:rPr>
  </w:style>
  <w:style w:type="character" w:styleId="FooterChar1" w:customStyle="1">
    <w:name w:val="Footer Char1"/>
    <w:basedOn w:val="DefaultParagraphFont"/>
    <w:uiPriority w:val="99"/>
    <w:semiHidden/>
    <w:qFormat/>
    <w:rsid w:val="00ea1435"/>
    <w:rPr>
      <w:lang w:val="ro-RO"/>
    </w:rPr>
  </w:style>
  <w:style w:type="character" w:styleId="MessageHeaderChar1" w:customStyle="1">
    <w:name w:val="Message Header Char1"/>
    <w:basedOn w:val="DefaultParagraphFont"/>
    <w:semiHidden/>
    <w:qFormat/>
    <w:rsid w:val="00ea1435"/>
    <w:rPr>
      <w:rFonts w:ascii="Calibri Light" w:hAnsi="Calibri Light" w:eastAsia="" w:cs="" w:asciiTheme="majorHAnsi" w:cstheme="majorBidi" w:eastAsiaTheme="majorEastAsia" w:hAnsiTheme="majorHAnsi"/>
      <w:sz w:val="24"/>
      <w:szCs w:val="24"/>
      <w:shd w:fill="CCCCCC" w:val="clear"/>
      <w:lang w:val="ro-RO"/>
    </w:rPr>
  </w:style>
  <w:style w:type="character" w:styleId="BodyText2Char1" w:customStyle="1">
    <w:name w:val="Body Text 2 Char1"/>
    <w:basedOn w:val="DefaultParagraphFont"/>
    <w:semiHidden/>
    <w:qFormat/>
    <w:rsid w:val="00ea1435"/>
    <w:rPr>
      <w:lang w:val="ro-RO"/>
    </w:rPr>
  </w:style>
  <w:style w:type="character" w:styleId="BodyText3Char1" w:customStyle="1">
    <w:name w:val="Body Text 3 Char1"/>
    <w:basedOn w:val="DefaultParagraphFont"/>
    <w:semiHidden/>
    <w:qFormat/>
    <w:rsid w:val="00ea1435"/>
    <w:rPr>
      <w:sz w:val="16"/>
      <w:szCs w:val="16"/>
      <w:lang w:val="ro-RO"/>
    </w:rPr>
  </w:style>
  <w:style w:type="character" w:styleId="CommentSubjectChar1" w:customStyle="1">
    <w:name w:val="Comment Subject Char1"/>
    <w:basedOn w:val="CommentTextChar1"/>
    <w:semiHidden/>
    <w:qFormat/>
    <w:rsid w:val="00ea1435"/>
    <w:rPr>
      <w:b/>
      <w:bCs/>
      <w:sz w:val="20"/>
      <w:szCs w:val="20"/>
      <w:lang w:val="ro-RO"/>
    </w:rPr>
  </w:style>
  <w:style w:type="character" w:styleId="BodyTextIndentChar1" w:customStyle="1">
    <w:name w:val="Body Text Indent Char1"/>
    <w:basedOn w:val="DefaultParagraphFont"/>
    <w:semiHidden/>
    <w:qFormat/>
    <w:rsid w:val="00ea1435"/>
    <w:rPr>
      <w:lang w:val="ro-RO"/>
    </w:rPr>
  </w:style>
  <w:style w:type="character" w:styleId="SubtitleChar1" w:customStyle="1">
    <w:name w:val="Subtitle Char1"/>
    <w:basedOn w:val="DefaultParagraphFont"/>
    <w:qFormat/>
    <w:rsid w:val="00ea1435"/>
    <w:rPr>
      <w:rFonts w:eastAsia="" w:eastAsiaTheme="minorEastAsia"/>
      <w:color w:val="5A5A5A" w:themeColor="text1" w:themeTint="a5"/>
      <w:spacing w:val="15"/>
      <w:lang w:val="ro-RO"/>
    </w:rPr>
  </w:style>
  <w:style w:type="character" w:styleId="BodyTextIndent2Char1" w:customStyle="1">
    <w:name w:val="Body Text Indent 2 Char1"/>
    <w:basedOn w:val="DefaultParagraphFont"/>
    <w:semiHidden/>
    <w:qFormat/>
    <w:rsid w:val="00ea1435"/>
    <w:rPr>
      <w:lang w:val="ro-RO"/>
    </w:rPr>
  </w:style>
  <w:style w:type="character" w:styleId="BodyTextIndent3Char1" w:customStyle="1">
    <w:name w:val="Body Text Indent 3 Char1"/>
    <w:basedOn w:val="DefaultParagraphFont"/>
    <w:semiHidden/>
    <w:qFormat/>
    <w:rsid w:val="00ea1435"/>
    <w:rPr>
      <w:sz w:val="16"/>
      <w:szCs w:val="16"/>
      <w:lang w:val="ro-RO"/>
    </w:rPr>
  </w:style>
  <w:style w:type="character" w:styleId="DocumentMapChar1" w:customStyle="1">
    <w:name w:val="Document Map Char1"/>
    <w:basedOn w:val="DefaultParagraphFont"/>
    <w:uiPriority w:val="99"/>
    <w:semiHidden/>
    <w:qFormat/>
    <w:rsid w:val="00ea1435"/>
    <w:rPr>
      <w:rFonts w:ascii="Segoe UI" w:hAnsi="Segoe UI" w:cs="Segoe UI"/>
      <w:sz w:val="16"/>
      <w:szCs w:val="16"/>
      <w:lang w:val="ro-RO"/>
    </w:rPr>
  </w:style>
  <w:style w:type="character" w:styleId="EndnoteTextChar1" w:customStyle="1">
    <w:name w:val="Endnote Text Char1"/>
    <w:basedOn w:val="DefaultParagraphFont"/>
    <w:semiHidden/>
    <w:qFormat/>
    <w:rsid w:val="00ea1435"/>
    <w:rPr>
      <w:sz w:val="20"/>
      <w:szCs w:val="20"/>
      <w:lang w:val="ro-RO"/>
    </w:rPr>
  </w:style>
  <w:style w:type="character" w:styleId="IntenseQuoteChar1" w:customStyle="1">
    <w:name w:val="Intense Quote Char1"/>
    <w:basedOn w:val="DefaultParagraphFont"/>
    <w:uiPriority w:val="30"/>
    <w:qFormat/>
    <w:rsid w:val="00ea1435"/>
    <w:rPr>
      <w:i/>
      <w:iCs/>
      <w:color w:val="5B9BD5" w:themeColor="accent1"/>
      <w:lang w:val="ro-RO"/>
    </w:rPr>
  </w:style>
  <w:style w:type="character" w:styleId="QuoteChar1" w:customStyle="1">
    <w:name w:val="Quote Char1"/>
    <w:basedOn w:val="DefaultParagraphFont"/>
    <w:uiPriority w:val="29"/>
    <w:qFormat/>
    <w:rsid w:val="00ea1435"/>
    <w:rPr>
      <w:i/>
      <w:iCs/>
      <w:color w:val="404040" w:themeColor="text1" w:themeTint="bf"/>
      <w:lang w:val="ro-RO"/>
    </w:rPr>
  </w:style>
  <w:style w:type="character" w:styleId="MacroTextChar1" w:customStyle="1">
    <w:name w:val="Macro Text Char1"/>
    <w:basedOn w:val="DefaultParagraphFont"/>
    <w:semiHidden/>
    <w:qFormat/>
    <w:rsid w:val="00ea1435"/>
    <w:rPr>
      <w:rFonts w:ascii="Consolas" w:hAnsi="Consolas"/>
      <w:sz w:val="20"/>
      <w:szCs w:val="20"/>
      <w:lang w:val="ro-RO"/>
    </w:rPr>
  </w:style>
  <w:style w:type="character" w:styleId="SourceChar" w:customStyle="1">
    <w:name w:val="Source Char"/>
    <w:basedOn w:val="DefaultParagraphFont"/>
    <w:link w:val="Source"/>
    <w:qFormat/>
    <w:rsid w:val="00ea1435"/>
    <w:rPr>
      <w:rFonts w:ascii="Calibri" w:hAnsi="Calibri" w:eastAsia="Times New Roman" w:cs="Calibri"/>
      <w:i/>
      <w:sz w:val="18"/>
      <w:lang w:val="ro-RO"/>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b w:val="false"/>
      <w:bCs w:val="false"/>
      <w:i w:val="false"/>
      <w:iCs w:val="false"/>
      <w:caps w:val="false"/>
      <w:smallCaps w:val="false"/>
      <w:strike w:val="false"/>
      <w:dstrike w:val="false"/>
      <w:vanish w:val="false"/>
      <w:color w:val="000000"/>
      <w:spacing w:val="0"/>
      <w:kern w:val="0"/>
      <w:position w:val="0"/>
      <w:sz w:val="22"/>
      <w:u w:val="none"/>
      <w:vertAlign w:val="baseline"/>
      <w:em w:val="none"/>
    </w:rPr>
  </w:style>
  <w:style w:type="character" w:styleId="ListLabel17">
    <w:name w:val="ListLabel 17"/>
    <w:qFormat/>
    <w:rPr>
      <w:b w:val="false"/>
    </w:rPr>
  </w:style>
  <w:style w:type="character" w:styleId="ListLabel18">
    <w:name w:val="ListLabel 18"/>
    <w:qFormat/>
    <w:rPr>
      <w:color w:val="auto"/>
    </w:rPr>
  </w:style>
  <w:style w:type="character" w:styleId="ListLabel19">
    <w:name w:val="ListLabel 19"/>
    <w:qFormat/>
    <w:rPr>
      <w:b w:val="false"/>
      <w:i w:val="false"/>
      <w:color w:val="auto"/>
      <w:spacing w:val="0"/>
      <w:sz w:val="20"/>
      <w:szCs w:val="20"/>
      <w:u w:val="none"/>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b/>
      <w:i w:val="false"/>
      <w:sz w:val="20"/>
      <w:szCs w:val="20"/>
    </w:rPr>
  </w:style>
  <w:style w:type="character" w:styleId="ListLabel24">
    <w:name w:val="ListLabel 24"/>
    <w:qFormat/>
    <w:rPr>
      <w:rFonts w:cs="Times New Roman"/>
      <w:b w:val="false"/>
      <w:i w:val="false"/>
      <w:spacing w:val="0"/>
      <w:sz w:val="20"/>
    </w:rPr>
  </w:style>
  <w:style w:type="character" w:styleId="ListLabel25">
    <w:name w:val="ListLabel 25"/>
    <w:qFormat/>
    <w:rPr>
      <w:rFonts w:cs="Times New Roman"/>
      <w:b w:val="false"/>
      <w:i w:val="false"/>
      <w:spacing w:val="0"/>
      <w:sz w:val="20"/>
    </w:rPr>
  </w:style>
  <w:style w:type="character" w:styleId="ListLabel26">
    <w:name w:val="ListLabel 26"/>
    <w:qFormat/>
    <w:rPr>
      <w:rFonts w:cs="Times New Roman"/>
      <w:b w:val="false"/>
      <w:i w:val="false"/>
      <w:spacing w:val="0"/>
      <w:sz w:val="20"/>
    </w:rPr>
  </w:style>
  <w:style w:type="character" w:styleId="ListLabel27">
    <w:name w:val="ListLabel 27"/>
    <w:qFormat/>
    <w:rPr>
      <w:rFonts w:cs="Times New Roman"/>
      <w:b w:val="false"/>
      <w:i w:val="false"/>
      <w:spacing w:val="0"/>
      <w:sz w:val="20"/>
    </w:rPr>
  </w:style>
  <w:style w:type="character" w:styleId="ListLabel28">
    <w:name w:val="ListLabel 28"/>
    <w:qFormat/>
    <w:rPr>
      <w:rFonts w:cs="Times New Roman"/>
      <w:b w:val="false"/>
      <w:i w:val="false"/>
      <w:spacing w:val="0"/>
      <w:sz w:val="18"/>
    </w:rPr>
  </w:style>
  <w:style w:type="character" w:styleId="ListLabel29">
    <w:name w:val="ListLabel 29"/>
    <w:qFormat/>
    <w:rPr>
      <w:rFonts w:cs="Times New Roman"/>
      <w:b w:val="false"/>
      <w:i w:val="false"/>
      <w:spacing w:val="0"/>
      <w:sz w:val="20"/>
    </w:rPr>
  </w:style>
  <w:style w:type="character" w:styleId="ListLabel30">
    <w:name w:val="ListLabel 30"/>
    <w:qFormat/>
    <w:rPr>
      <w:rFonts w:cs="Times New Roman"/>
      <w:spacing w:val="0"/>
    </w:rPr>
  </w:style>
  <w:style w:type="character" w:styleId="ListLabel31">
    <w:name w:val="ListLabel 31"/>
    <w:qFormat/>
    <w:rPr>
      <w:rFonts w:cs="Times New Roman"/>
      <w:spacing w:val="0"/>
    </w:rPr>
  </w:style>
  <w:style w:type="character" w:styleId="ListLabel32">
    <w:name w:val="ListLabel 32"/>
    <w:qFormat/>
    <w:rPr>
      <w:rFonts w:cs="Times New Roman"/>
      <w:b/>
      <w:i w:val="false"/>
      <w:caps/>
      <w:spacing w:val="0"/>
      <w:sz w:val="22"/>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color w:val="000000"/>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b/>
      <w:color w:val="auto"/>
    </w:rPr>
  </w:style>
  <w:style w:type="character" w:styleId="ListLabel47">
    <w:name w:val="ListLabel 47"/>
    <w:qFormat/>
    <w:rPr>
      <w:rFonts w:eastAsia="Calibri" w:cs="Calibri"/>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b/>
      <w:color w:val="000000"/>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eastAsia="Calibri" w:cs="Calibri"/>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eastAsia="Calibri" w:cs="Calibri"/>
      <w:color w:val="auto"/>
    </w:rPr>
  </w:style>
  <w:style w:type="character" w:styleId="ListLabel62">
    <w:name w:val="ListLabel 62"/>
    <w:qFormat/>
    <w:rPr>
      <w:rFonts w:eastAsia="Calibri" w:cs="Calibri"/>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eastAsia="Calibri" w:cs="Calibri"/>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eastAsia="Calibri" w:cs="Calibri"/>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eastAsia="Calibri" w:cs="Calibri"/>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eastAsia="Calibri" w:cs="Calibri"/>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alibri"/>
      <w:sz w:val="22"/>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cs="Symbol"/>
    </w:rPr>
  </w:style>
  <w:style w:type="character" w:styleId="ListLabel101">
    <w:name w:val="ListLabel 101"/>
    <w:qFormat/>
    <w:rPr>
      <w:rFonts w:cs="Courier New"/>
    </w:rPr>
  </w:style>
  <w:style w:type="character" w:styleId="ListLabel102">
    <w:name w:val="ListLabel 102"/>
    <w:qFormat/>
    <w:rPr>
      <w:rFonts w:cs="Wingdings"/>
    </w:rPr>
  </w:style>
  <w:style w:type="paragraph" w:styleId="Heading" w:customStyle="1">
    <w:name w:val="Heading"/>
    <w:basedOn w:val="Normal"/>
    <w:next w:val="TextBody"/>
    <w:uiPriority w:val="99"/>
    <w:qFormat/>
    <w:rsid w:val="00ea1435"/>
    <w:pPr>
      <w:keepNext w:val="true"/>
      <w:suppressAutoHyphens w:val="true"/>
      <w:spacing w:lineRule="auto" w:line="240" w:before="240" w:after="120"/>
    </w:pPr>
    <w:rPr>
      <w:rFonts w:ascii="Arial" w:hAnsi="Arial" w:eastAsia="Lucida Sans Unicode" w:cs="Tahoma"/>
      <w:sz w:val="28"/>
      <w:szCs w:val="28"/>
      <w:lang w:val="ro-RO" w:eastAsia="ar-SA"/>
    </w:rPr>
  </w:style>
  <w:style w:type="paragraph" w:styleId="TextBody">
    <w:name w:val="Body Text"/>
    <w:basedOn w:val="Normal"/>
    <w:link w:val="BodyTextChar"/>
    <w:uiPriority w:val="99"/>
    <w:qFormat/>
    <w:rsid w:val="00ea1435"/>
    <w:pPr>
      <w:spacing w:lineRule="auto" w:line="240" w:before="0" w:after="120"/>
    </w:pPr>
    <w:rPr>
      <w:rFonts w:ascii="Times New Roman" w:hAnsi="Times New Roman" w:eastAsia="Batang" w:cs="Times New Roman"/>
      <w:sz w:val="24"/>
      <w:szCs w:val="24"/>
      <w:lang w:val="ro-RO" w:eastAsia="ro-RO"/>
    </w:rPr>
  </w:style>
  <w:style w:type="paragraph" w:styleId="List">
    <w:name w:val="List"/>
    <w:basedOn w:val="TextBody"/>
    <w:rsid w:val="00ea1435"/>
    <w:pPr>
      <w:suppressAutoHyphens w:val="true"/>
      <w:spacing w:before="0" w:after="0"/>
      <w:jc w:val="both"/>
    </w:pPr>
    <w:rPr>
      <w:rFonts w:eastAsia="Times New Roman" w:cs="Tahoma"/>
      <w:szCs w:val="20"/>
      <w:lang w:eastAsia="ar-SA"/>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uiPriority w:val="99"/>
    <w:qFormat/>
    <w:rsid w:val="00ea1435"/>
    <w:pPr>
      <w:suppressLineNumbers/>
      <w:suppressAutoHyphens w:val="true"/>
      <w:spacing w:lineRule="auto" w:line="240" w:before="0" w:after="0"/>
    </w:pPr>
    <w:rPr>
      <w:rFonts w:ascii="Times New Roman" w:hAnsi="Times New Roman" w:eastAsia="Times New Roman" w:cs="Tahoma"/>
      <w:sz w:val="20"/>
      <w:szCs w:val="20"/>
      <w:lang w:val="ro-RO" w:eastAsia="ar-SA"/>
    </w:rPr>
  </w:style>
  <w:style w:type="paragraph" w:styleId="ListParagraph">
    <w:name w:val="List Paragraph"/>
    <w:basedOn w:val="Normal"/>
    <w:link w:val="ListParagraphChar"/>
    <w:qFormat/>
    <w:rsid w:val="004f19eb"/>
    <w:pPr>
      <w:spacing w:before="0" w:after="160"/>
      <w:ind w:left="720" w:hanging="0"/>
      <w:contextualSpacing/>
    </w:pPr>
    <w:rPr/>
  </w:style>
  <w:style w:type="paragraph" w:styleId="HTMLPreformatted">
    <w:name w:val="HTML Preformatted"/>
    <w:basedOn w:val="Normal"/>
    <w:link w:val="HTMLPreformattedChar"/>
    <w:unhideWhenUsed/>
    <w:qFormat/>
    <w:rsid w:val="009d0817"/>
    <w:pPr>
      <w:spacing w:lineRule="auto" w:line="240" w:before="0" w:after="0"/>
    </w:pPr>
    <w:rPr>
      <w:rFonts w:ascii="Consolas" w:hAnsi="Consolas"/>
      <w:sz w:val="20"/>
      <w:szCs w:val="20"/>
    </w:rPr>
  </w:style>
  <w:style w:type="paragraph" w:styleId="BalloonText">
    <w:name w:val="Balloon Text"/>
    <w:basedOn w:val="Normal"/>
    <w:link w:val="BalloonTextChar"/>
    <w:uiPriority w:val="99"/>
    <w:unhideWhenUsed/>
    <w:qFormat/>
    <w:rsid w:val="00047437"/>
    <w:pPr>
      <w:spacing w:lineRule="auto" w:line="240" w:before="0" w:after="0"/>
    </w:pPr>
    <w:rPr>
      <w:rFonts w:ascii="Segoe UI" w:hAnsi="Segoe UI" w:cs="Segoe UI"/>
      <w:sz w:val="18"/>
      <w:szCs w:val="18"/>
    </w:rPr>
  </w:style>
  <w:style w:type="paragraph" w:styleId="Annotationtext">
    <w:name w:val="annotation text"/>
    <w:basedOn w:val="Normal"/>
    <w:link w:val="CommentTextChar"/>
    <w:uiPriority w:val="99"/>
    <w:unhideWhenUsed/>
    <w:qFormat/>
    <w:rsid w:val="00047437"/>
    <w:pPr>
      <w:spacing w:lineRule="auto" w:line="240"/>
    </w:pPr>
    <w:rPr>
      <w:sz w:val="20"/>
      <w:szCs w:val="20"/>
    </w:rPr>
  </w:style>
  <w:style w:type="paragraph" w:styleId="Annotationsubject">
    <w:name w:val="annotation subject"/>
    <w:basedOn w:val="Annotationtext"/>
    <w:next w:val="Annotationtext"/>
    <w:link w:val="CommentSubjectChar"/>
    <w:unhideWhenUsed/>
    <w:qFormat/>
    <w:rsid w:val="00047437"/>
    <w:pPr/>
    <w:rPr>
      <w:b/>
      <w:bCs/>
    </w:rPr>
  </w:style>
  <w:style w:type="paragraph" w:styleId="Caption1">
    <w:name w:val="caption"/>
    <w:basedOn w:val="Normal"/>
    <w:next w:val="Normal"/>
    <w:link w:val="CaptionChar"/>
    <w:uiPriority w:val="35"/>
    <w:unhideWhenUsed/>
    <w:qFormat/>
    <w:rsid w:val="00ea1435"/>
    <w:pPr>
      <w:spacing w:lineRule="auto" w:line="240" w:before="0" w:after="200"/>
    </w:pPr>
    <w:rPr>
      <w:i/>
      <w:iCs/>
      <w:color w:val="44546A" w:themeColor="text2"/>
      <w:sz w:val="18"/>
      <w:szCs w:val="18"/>
      <w:lang w:val="ro-RO"/>
    </w:rPr>
  </w:style>
  <w:style w:type="paragraph" w:styleId="TOCHeading">
    <w:name w:val="TOC Heading"/>
    <w:basedOn w:val="Heading1"/>
    <w:next w:val="Normal"/>
    <w:uiPriority w:val="39"/>
    <w:unhideWhenUsed/>
    <w:qFormat/>
    <w:rsid w:val="00ea1435"/>
    <w:pPr/>
    <w:rPr/>
  </w:style>
  <w:style w:type="paragraph" w:styleId="Default" w:customStyle="1">
    <w:name w:val="Default"/>
    <w:uiPriority w:val="99"/>
    <w:qFormat/>
    <w:rsid w:val="00ea1435"/>
    <w:pPr>
      <w:widowControl/>
      <w:bidi w:val="0"/>
      <w:spacing w:lineRule="auto" w:line="240" w:before="0" w:after="0"/>
      <w:jc w:val="left"/>
    </w:pPr>
    <w:rPr>
      <w:rFonts w:ascii="Book Antiqua" w:hAnsi="Book Antiqua" w:eastAsia="Times New Roman" w:cs="Book Antiqua"/>
      <w:color w:val="000000"/>
      <w:kern w:val="0"/>
      <w:sz w:val="24"/>
      <w:szCs w:val="24"/>
      <w:lang w:val="ro-RO" w:eastAsia="ro-RO" w:bidi="ar-SA"/>
    </w:rPr>
  </w:style>
  <w:style w:type="paragraph" w:styleId="Contents1">
    <w:name w:val="TOC 1"/>
    <w:basedOn w:val="Normal"/>
    <w:next w:val="Normal"/>
    <w:autoRedefine/>
    <w:uiPriority w:val="39"/>
    <w:unhideWhenUsed/>
    <w:qFormat/>
    <w:rsid w:val="003872ba"/>
    <w:pPr>
      <w:tabs>
        <w:tab w:val="clear" w:pos="720"/>
        <w:tab w:val="left" w:pos="450" w:leader="none"/>
        <w:tab w:val="left" w:pos="540" w:leader="none"/>
        <w:tab w:val="right" w:pos="9360" w:leader="dot"/>
      </w:tabs>
      <w:spacing w:before="0" w:after="100"/>
      <w:jc w:val="both"/>
    </w:pPr>
    <w:rPr>
      <w:b/>
      <w:lang w:val="ro-RO"/>
    </w:rPr>
  </w:style>
  <w:style w:type="paragraph" w:styleId="Contents2">
    <w:name w:val="TOC 2"/>
    <w:basedOn w:val="Normal"/>
    <w:next w:val="Normal"/>
    <w:autoRedefine/>
    <w:uiPriority w:val="39"/>
    <w:unhideWhenUsed/>
    <w:qFormat/>
    <w:rsid w:val="0009257d"/>
    <w:pPr>
      <w:tabs>
        <w:tab w:val="clear" w:pos="720"/>
        <w:tab w:val="left" w:pos="450" w:leader="none"/>
        <w:tab w:val="right" w:pos="9350" w:leader="dot"/>
      </w:tabs>
      <w:spacing w:before="0" w:after="100"/>
      <w:ind w:left="220" w:hanging="0"/>
    </w:pPr>
    <w:rPr>
      <w:rFonts w:cs="Calibri" w:cstheme="minorHAnsi"/>
      <w:lang w:val="ro-RO"/>
    </w:rPr>
  </w:style>
  <w:style w:type="paragraph" w:styleId="Contents3">
    <w:name w:val="TOC 3"/>
    <w:basedOn w:val="Normal"/>
    <w:next w:val="Normal"/>
    <w:autoRedefine/>
    <w:uiPriority w:val="39"/>
    <w:unhideWhenUsed/>
    <w:qFormat/>
    <w:rsid w:val="00ea1435"/>
    <w:pPr>
      <w:tabs>
        <w:tab w:val="clear" w:pos="720"/>
        <w:tab w:val="right" w:pos="9350" w:leader="dot"/>
      </w:tabs>
      <w:spacing w:before="0" w:after="100"/>
      <w:ind w:left="440" w:hanging="0"/>
    </w:pPr>
    <w:rPr>
      <w:rFonts w:eastAsia="SimSun" w:cs="Calibri" w:cstheme="minorHAnsi"/>
      <w:i/>
      <w:lang w:val="ro-RO" w:eastAsia="ro-RO"/>
    </w:rPr>
  </w:style>
  <w:style w:type="paragraph" w:styleId="Tableoffigures">
    <w:name w:val="table of figures"/>
    <w:basedOn w:val="Normal"/>
    <w:next w:val="Normal"/>
    <w:uiPriority w:val="99"/>
    <w:unhideWhenUsed/>
    <w:qFormat/>
    <w:rsid w:val="00ea1435"/>
    <w:pPr>
      <w:spacing w:before="0" w:after="0"/>
    </w:pPr>
    <w:rPr>
      <w:lang w:val="ro-RO"/>
    </w:rPr>
  </w:style>
  <w:style w:type="paragraph" w:styleId="Header">
    <w:name w:val="Header"/>
    <w:basedOn w:val="Normal"/>
    <w:link w:val="HeaderChar"/>
    <w:uiPriority w:val="99"/>
    <w:unhideWhenUsed/>
    <w:qFormat/>
    <w:rsid w:val="00ea1435"/>
    <w:pPr>
      <w:tabs>
        <w:tab w:val="clear" w:pos="720"/>
        <w:tab w:val="center" w:pos="4536" w:leader="none"/>
        <w:tab w:val="right" w:pos="9072" w:leader="none"/>
      </w:tabs>
      <w:spacing w:lineRule="auto" w:line="240" w:before="0" w:after="0"/>
    </w:pPr>
    <w:rPr>
      <w:lang w:val="ro-RO"/>
    </w:rPr>
  </w:style>
  <w:style w:type="paragraph" w:styleId="Footer">
    <w:name w:val="Footer"/>
    <w:basedOn w:val="Normal"/>
    <w:link w:val="FooterChar"/>
    <w:uiPriority w:val="99"/>
    <w:unhideWhenUsed/>
    <w:rsid w:val="00ea1435"/>
    <w:pPr>
      <w:tabs>
        <w:tab w:val="clear" w:pos="720"/>
        <w:tab w:val="center" w:pos="4536" w:leader="none"/>
        <w:tab w:val="right" w:pos="9072" w:leader="none"/>
      </w:tabs>
      <w:spacing w:lineRule="auto" w:line="240" w:before="0" w:after="0"/>
    </w:pPr>
    <w:rPr>
      <w:lang w:val="ro-RO"/>
    </w:rPr>
  </w:style>
  <w:style w:type="paragraph" w:styleId="Contents4">
    <w:name w:val="TOC 4"/>
    <w:basedOn w:val="Normal"/>
    <w:next w:val="Normal"/>
    <w:autoRedefine/>
    <w:uiPriority w:val="39"/>
    <w:unhideWhenUsed/>
    <w:rsid w:val="00ea1435"/>
    <w:pPr>
      <w:spacing w:before="0" w:after="100"/>
      <w:ind w:left="660" w:hanging="0"/>
    </w:pPr>
    <w:rPr>
      <w:lang w:val="ro-RO"/>
    </w:rPr>
  </w:style>
  <w:style w:type="paragraph" w:styleId="NoSpacing">
    <w:name w:val="No Spacing"/>
    <w:link w:val="NoSpacingChar"/>
    <w:uiPriority w:val="1"/>
    <w:qFormat/>
    <w:rsid w:val="00ea1435"/>
    <w:pPr>
      <w:widowControl/>
      <w:bidi w:val="0"/>
      <w:spacing w:lineRule="auto" w:line="240" w:before="0" w:after="0"/>
      <w:jc w:val="both"/>
    </w:pPr>
    <w:rPr>
      <w:rFonts w:ascii="Calibri" w:hAnsi="Calibri" w:eastAsia="Times New Roman" w:cs="Times New Roman" w:asciiTheme="minorHAnsi" w:hAnsiTheme="minorHAnsi"/>
      <w:color w:val="auto"/>
      <w:kern w:val="0"/>
      <w:sz w:val="22"/>
      <w:szCs w:val="22"/>
      <w:lang w:val="ro-RO" w:eastAsia="ro-RO" w:bidi="ar-SA"/>
    </w:rPr>
  </w:style>
  <w:style w:type="paragraph" w:styleId="TITLUCAPITOL" w:customStyle="1">
    <w:name w:val="TITLU CAPITOL"/>
    <w:basedOn w:val="Normal"/>
    <w:link w:val="TITLUCAPITOLCaracter"/>
    <w:uiPriority w:val="99"/>
    <w:qFormat/>
    <w:rsid w:val="00ea1435"/>
    <w:pPr>
      <w:shd w:val="clear" w:color="auto" w:fill="F2F2F2" w:themeFill="background1" w:themeFillShade="f2"/>
      <w:spacing w:lineRule="auto" w:line="276" w:before="0" w:after="0"/>
      <w:ind w:right="-68" w:hanging="0"/>
      <w:jc w:val="center"/>
      <w:outlineLvl w:val="1"/>
    </w:pPr>
    <w:rPr>
      <w:rFonts w:ascii="Calibri" w:hAnsi="Calibri" w:eastAsia="Times New Roman" w:cs="Arial"/>
      <w:b/>
      <w:sz w:val="24"/>
      <w:szCs w:val="24"/>
      <w:lang w:val="ro-RO"/>
    </w:rPr>
  </w:style>
  <w:style w:type="paragraph" w:styleId="Caption2" w:customStyle="1">
    <w:name w:val="Caption2"/>
    <w:basedOn w:val="Caption1"/>
    <w:link w:val="captionChar1"/>
    <w:uiPriority w:val="99"/>
    <w:qFormat/>
    <w:rsid w:val="00ea1435"/>
    <w:pPr>
      <w:keepNext w:val="true"/>
      <w:spacing w:before="0" w:after="0"/>
      <w:jc w:val="center"/>
    </w:pPr>
    <w:rPr>
      <w:rFonts w:ascii="Calibri" w:hAnsi="Calibri" w:eastAsia="Times New Roman" w:cs="Times New Roman"/>
      <w:b/>
      <w:bCs/>
      <w:i w:val="false"/>
      <w:iCs w:val="false"/>
      <w:color w:val="002060"/>
      <w:sz w:val="16"/>
      <w:lang w:eastAsia="ro-RO"/>
    </w:rPr>
  </w:style>
  <w:style w:type="paragraph" w:styleId="Style11" w:customStyle="1">
    <w:name w:val="Style 1"/>
    <w:basedOn w:val="Normal"/>
    <w:uiPriority w:val="99"/>
    <w:qFormat/>
    <w:rsid w:val="00ea1435"/>
    <w:pPr>
      <w:spacing w:lineRule="auto" w:line="240" w:before="0" w:after="0"/>
      <w:ind w:right="-74" w:hanging="0"/>
      <w:jc w:val="center"/>
      <w:outlineLvl w:val="1"/>
    </w:pPr>
    <w:rPr>
      <w:rFonts w:ascii="Calibri" w:hAnsi="Calibri" w:eastAsia="Times New Roman" w:cs="Arial"/>
      <w:b/>
      <w:color w:val="002060"/>
      <w:sz w:val="20"/>
      <w:szCs w:val="24"/>
      <w:lang w:val="ro-RO"/>
    </w:rPr>
  </w:style>
  <w:style w:type="paragraph" w:styleId="Sursarap" w:customStyle="1">
    <w:name w:val="sursa rap"/>
    <w:basedOn w:val="Normal"/>
    <w:link w:val="sursarapChar"/>
    <w:uiPriority w:val="99"/>
    <w:qFormat/>
    <w:rsid w:val="00ea1435"/>
    <w:pPr>
      <w:spacing w:lineRule="auto" w:line="276" w:before="0" w:after="0"/>
      <w:ind w:left="1440" w:hanging="0"/>
    </w:pPr>
    <w:rPr>
      <w:rFonts w:ascii="Calibri" w:hAnsi="Calibri" w:eastAsia="Times New Roman" w:cs="Times New Roman"/>
      <w:i/>
      <w:sz w:val="20"/>
      <w:szCs w:val="20"/>
    </w:rPr>
  </w:style>
  <w:style w:type="paragraph" w:styleId="TITLUSUBCAPITOL" w:customStyle="1">
    <w:name w:val="TITLU SUBCAPITOL"/>
    <w:basedOn w:val="Normal"/>
    <w:link w:val="TITLUSUBCAPITOLCaracter"/>
    <w:uiPriority w:val="99"/>
    <w:qFormat/>
    <w:rsid w:val="00ea1435"/>
    <w:pPr>
      <w:spacing w:lineRule="auto" w:line="276" w:before="240" w:after="240"/>
      <w:ind w:right="-72" w:hanging="0"/>
      <w:jc w:val="center"/>
      <w:outlineLvl w:val="1"/>
    </w:pPr>
    <w:rPr>
      <w:rFonts w:ascii="Calibri" w:hAnsi="Calibri" w:eastAsia="Times New Roman" w:cs="Arial"/>
      <w:b/>
      <w:sz w:val="24"/>
      <w:szCs w:val="24"/>
      <w:lang w:val="ro-RO"/>
    </w:rPr>
  </w:style>
  <w:style w:type="paragraph" w:styleId="Captiontab" w:customStyle="1">
    <w:name w:val="caption tab"/>
    <w:basedOn w:val="Caption1"/>
    <w:link w:val="captiontabChar"/>
    <w:uiPriority w:val="99"/>
    <w:qFormat/>
    <w:rsid w:val="00ea1435"/>
    <w:pPr>
      <w:keepNext w:val="true"/>
      <w:spacing w:before="0" w:after="0"/>
      <w:jc w:val="center"/>
    </w:pPr>
    <w:rPr>
      <w:rFonts w:ascii="Calibri" w:hAnsi="Calibri" w:eastAsia="Times New Roman" w:cs="Times New Roman"/>
      <w:b/>
      <w:bCs/>
      <w:i w:val="false"/>
      <w:iCs w:val="false"/>
      <w:color w:val="000000"/>
      <w:sz w:val="20"/>
      <w:szCs w:val="20"/>
      <w:lang w:eastAsia="ro-RO"/>
    </w:rPr>
  </w:style>
  <w:style w:type="paragraph" w:styleId="Tabel" w:customStyle="1">
    <w:name w:val="tabel"/>
    <w:basedOn w:val="NoSpacing"/>
    <w:link w:val="tabelChar"/>
    <w:qFormat/>
    <w:rsid w:val="00ea1435"/>
    <w:pPr>
      <w:jc w:val="center"/>
    </w:pPr>
    <w:rPr>
      <w:color w:val="002060"/>
      <w:sz w:val="20"/>
      <w:szCs w:val="20"/>
    </w:rPr>
  </w:style>
  <w:style w:type="paragraph" w:styleId="Titlugraf" w:customStyle="1">
    <w:name w:val="titlu graf"/>
    <w:basedOn w:val="Caption2"/>
    <w:link w:val="titlugrafChar"/>
    <w:qFormat/>
    <w:rsid w:val="00ea1435"/>
    <w:pPr/>
    <w:rPr>
      <w:sz w:val="20"/>
    </w:rPr>
  </w:style>
  <w:style w:type="paragraph" w:styleId="SUBSUBCAPITOL" w:customStyle="1">
    <w:name w:val="SUB SUB CAPITOL"/>
    <w:basedOn w:val="Normal"/>
    <w:link w:val="SUBSUBCAPITOLCaracter"/>
    <w:qFormat/>
    <w:rsid w:val="00ea1435"/>
    <w:pPr>
      <w:spacing w:lineRule="auto" w:line="276" w:before="0" w:after="0"/>
      <w:ind w:right="-68" w:hanging="0"/>
      <w:jc w:val="center"/>
      <w:outlineLvl w:val="2"/>
    </w:pPr>
    <w:rPr>
      <w:rFonts w:ascii="Calibri" w:hAnsi="Calibri" w:eastAsia="SimSun" w:cs="Arial"/>
      <w:b/>
      <w:i/>
      <w:color w:val="5B9BD5" w:themeColor="accent1"/>
      <w:szCs w:val="24"/>
      <w:lang w:val="ro-RO" w:eastAsia="ro-RO"/>
    </w:rPr>
  </w:style>
  <w:style w:type="paragraph" w:styleId="1" w:customStyle="1">
    <w:name w:val="1"/>
    <w:basedOn w:val="Normal"/>
    <w:link w:val="1Char"/>
    <w:uiPriority w:val="99"/>
    <w:qFormat/>
    <w:rsid w:val="00ea1435"/>
    <w:pPr>
      <w:spacing w:lineRule="auto" w:line="276" w:before="0" w:after="0"/>
      <w:ind w:right="-68" w:hanging="0"/>
      <w:jc w:val="center"/>
      <w:outlineLvl w:val="0"/>
    </w:pPr>
    <w:rPr>
      <w:rFonts w:ascii="Calibri" w:hAnsi="Calibri" w:eastAsia="Times New Roman" w:cs="Arial"/>
      <w:b/>
      <w:color w:val="570D31"/>
      <w:sz w:val="24"/>
      <w:szCs w:val="24"/>
    </w:rPr>
  </w:style>
  <w:style w:type="paragraph" w:styleId="Default1" w:customStyle="1">
    <w:name w:val="default"/>
    <w:basedOn w:val="Normal"/>
    <w:uiPriority w:val="99"/>
    <w:qFormat/>
    <w:rsid w:val="00ea1435"/>
    <w:pPr>
      <w:spacing w:lineRule="auto" w:line="240" w:before="0" w:after="0"/>
    </w:pPr>
    <w:rPr>
      <w:rFonts w:ascii="Book Antiqua" w:hAnsi="Book Antiqua" w:cs="Times New Roman"/>
      <w:color w:val="000000"/>
      <w:sz w:val="24"/>
      <w:szCs w:val="24"/>
    </w:rPr>
  </w:style>
  <w:style w:type="paragraph" w:styleId="Footnote">
    <w:name w:val="Footnote Text"/>
    <w:basedOn w:val="Normal"/>
    <w:link w:val="FootnoteTextChar3"/>
    <w:uiPriority w:val="99"/>
    <w:qFormat/>
    <w:rsid w:val="00ea1435"/>
    <w:pPr>
      <w:spacing w:lineRule="auto" w:line="240" w:before="0" w:after="0"/>
    </w:pPr>
    <w:rPr>
      <w:rFonts w:ascii="Calibri" w:hAnsi="Calibri" w:eastAsia="Times New Roman" w:cs="Times New Roman"/>
      <w:sz w:val="20"/>
      <w:szCs w:val="20"/>
    </w:rPr>
  </w:style>
  <w:style w:type="paragraph" w:styleId="TextBodyIndent">
    <w:name w:val="Body Text Indent"/>
    <w:basedOn w:val="Normal"/>
    <w:link w:val="BodyTextIndentChar"/>
    <w:rsid w:val="00ea1435"/>
    <w:pPr>
      <w:tabs>
        <w:tab w:val="clear" w:pos="720"/>
        <w:tab w:val="left" w:pos="283" w:leader="none"/>
      </w:tabs>
      <w:overflowPunct w:val="true"/>
      <w:spacing w:lineRule="auto" w:line="240" w:before="0" w:after="0"/>
      <w:ind w:left="283" w:hanging="283"/>
      <w:jc w:val="both"/>
      <w:textAlignment w:val="baseline"/>
    </w:pPr>
    <w:rPr>
      <w:rFonts w:ascii="Times New Roman" w:hAnsi="Times New Roman" w:eastAsia="Times New Roman" w:cs="Times New Roman"/>
      <w:sz w:val="24"/>
      <w:szCs w:val="20"/>
      <w:lang w:val="en-GB" w:eastAsia="ro-RO"/>
    </w:rPr>
  </w:style>
  <w:style w:type="paragraph" w:styleId="Contents5">
    <w:name w:val="TOC 5"/>
    <w:basedOn w:val="Normal"/>
    <w:next w:val="Normal"/>
    <w:autoRedefine/>
    <w:uiPriority w:val="39"/>
    <w:rsid w:val="00ea1435"/>
    <w:pPr>
      <w:spacing w:lineRule="auto" w:line="276" w:before="0" w:after="0"/>
      <w:ind w:left="880" w:hanging="0"/>
    </w:pPr>
    <w:rPr>
      <w:rFonts w:ascii="Calibri" w:hAnsi="Calibri" w:eastAsia="PMingLiU" w:cs="Times New Roman"/>
      <w:sz w:val="20"/>
      <w:szCs w:val="20"/>
    </w:rPr>
  </w:style>
  <w:style w:type="paragraph" w:styleId="Contents6">
    <w:name w:val="TOC 6"/>
    <w:basedOn w:val="Normal"/>
    <w:next w:val="Normal"/>
    <w:autoRedefine/>
    <w:uiPriority w:val="39"/>
    <w:rsid w:val="00ea1435"/>
    <w:pPr>
      <w:spacing w:lineRule="auto" w:line="276" w:before="0" w:after="0"/>
      <w:ind w:left="1100" w:hanging="0"/>
    </w:pPr>
    <w:rPr>
      <w:rFonts w:ascii="Calibri" w:hAnsi="Calibri" w:eastAsia="PMingLiU" w:cs="Times New Roman"/>
      <w:sz w:val="20"/>
      <w:szCs w:val="20"/>
    </w:rPr>
  </w:style>
  <w:style w:type="paragraph" w:styleId="Contents7">
    <w:name w:val="TOC 7"/>
    <w:basedOn w:val="Normal"/>
    <w:next w:val="Normal"/>
    <w:autoRedefine/>
    <w:uiPriority w:val="39"/>
    <w:rsid w:val="00ea1435"/>
    <w:pPr>
      <w:spacing w:lineRule="auto" w:line="276" w:before="0" w:after="0"/>
      <w:ind w:left="1320" w:hanging="0"/>
    </w:pPr>
    <w:rPr>
      <w:rFonts w:ascii="Calibri" w:hAnsi="Calibri" w:eastAsia="PMingLiU" w:cs="Times New Roman"/>
      <w:sz w:val="20"/>
      <w:szCs w:val="20"/>
    </w:rPr>
  </w:style>
  <w:style w:type="paragraph" w:styleId="Contents8">
    <w:name w:val="TOC 8"/>
    <w:basedOn w:val="Normal"/>
    <w:next w:val="Normal"/>
    <w:autoRedefine/>
    <w:uiPriority w:val="39"/>
    <w:rsid w:val="00ea1435"/>
    <w:pPr>
      <w:spacing w:lineRule="auto" w:line="276" w:before="0" w:after="0"/>
      <w:ind w:left="1540" w:hanging="0"/>
    </w:pPr>
    <w:rPr>
      <w:rFonts w:ascii="Calibri" w:hAnsi="Calibri" w:eastAsia="PMingLiU" w:cs="Times New Roman"/>
      <w:sz w:val="20"/>
      <w:szCs w:val="20"/>
    </w:rPr>
  </w:style>
  <w:style w:type="paragraph" w:styleId="Contents9">
    <w:name w:val="TOC 9"/>
    <w:basedOn w:val="Normal"/>
    <w:next w:val="Normal"/>
    <w:autoRedefine/>
    <w:uiPriority w:val="39"/>
    <w:rsid w:val="00ea1435"/>
    <w:pPr>
      <w:spacing w:lineRule="auto" w:line="276" w:before="0" w:after="0"/>
      <w:ind w:left="1760" w:hanging="0"/>
    </w:pPr>
    <w:rPr>
      <w:rFonts w:ascii="Calibri" w:hAnsi="Calibri" w:eastAsia="PMingLiU" w:cs="Times New Roman"/>
      <w:sz w:val="20"/>
      <w:szCs w:val="20"/>
    </w:rPr>
  </w:style>
  <w:style w:type="paragraph" w:styleId="Heading51" w:customStyle="1">
    <w:name w:val="Heading 51"/>
    <w:basedOn w:val="Normal"/>
    <w:next w:val="Normal"/>
    <w:uiPriority w:val="99"/>
    <w:semiHidden/>
    <w:qFormat/>
    <w:rsid w:val="00ea1435"/>
    <w:pPr>
      <w:keepNext w:val="true"/>
      <w:keepLines/>
      <w:spacing w:lineRule="auto" w:line="276" w:before="200" w:after="0"/>
      <w:ind w:left="1008" w:hanging="1008"/>
      <w:outlineLvl w:val="4"/>
    </w:pPr>
    <w:rPr>
      <w:rFonts w:ascii="Cambria" w:hAnsi="Cambria" w:eastAsia="SimSun" w:cs="Times New Roman"/>
      <w:color w:val="65654B"/>
      <w:lang w:val="ro-RO" w:eastAsia="ro-RO"/>
    </w:rPr>
  </w:style>
  <w:style w:type="paragraph" w:styleId="Heading61" w:customStyle="1">
    <w:name w:val="Heading 61"/>
    <w:basedOn w:val="Normal"/>
    <w:next w:val="Normal"/>
    <w:uiPriority w:val="99"/>
    <w:semiHidden/>
    <w:qFormat/>
    <w:rsid w:val="00ea1435"/>
    <w:pPr>
      <w:keepNext w:val="true"/>
      <w:keepLines/>
      <w:spacing w:lineRule="auto" w:line="276" w:before="200" w:after="0"/>
      <w:ind w:left="1152" w:hanging="1152"/>
      <w:outlineLvl w:val="5"/>
    </w:pPr>
    <w:rPr>
      <w:rFonts w:ascii="Cambria" w:hAnsi="Cambria" w:eastAsia="SimSun" w:cs="Times New Roman"/>
      <w:i/>
      <w:iCs/>
      <w:color w:val="65654B"/>
      <w:lang w:val="ro-RO" w:eastAsia="ro-RO"/>
    </w:rPr>
  </w:style>
  <w:style w:type="paragraph" w:styleId="Heading71" w:customStyle="1">
    <w:name w:val="Heading 71"/>
    <w:basedOn w:val="Normal"/>
    <w:next w:val="Normal"/>
    <w:uiPriority w:val="99"/>
    <w:semiHidden/>
    <w:qFormat/>
    <w:rsid w:val="00ea1435"/>
    <w:pPr>
      <w:keepNext w:val="true"/>
      <w:keepLines/>
      <w:spacing w:lineRule="auto" w:line="276" w:before="200" w:after="0"/>
      <w:ind w:left="1296" w:hanging="1296"/>
      <w:outlineLvl w:val="6"/>
    </w:pPr>
    <w:rPr>
      <w:rFonts w:ascii="Cambria" w:hAnsi="Cambria" w:eastAsia="SimSun" w:cs="Times New Roman"/>
      <w:i/>
      <w:iCs/>
      <w:color w:val="404040"/>
      <w:lang w:val="ro-RO" w:eastAsia="ro-RO"/>
    </w:rPr>
  </w:style>
  <w:style w:type="paragraph" w:styleId="Heading81" w:customStyle="1">
    <w:name w:val="Heading 81"/>
    <w:basedOn w:val="Normal"/>
    <w:next w:val="Normal"/>
    <w:uiPriority w:val="99"/>
    <w:semiHidden/>
    <w:qFormat/>
    <w:rsid w:val="00ea1435"/>
    <w:pPr>
      <w:keepNext w:val="true"/>
      <w:keepLines/>
      <w:spacing w:lineRule="auto" w:line="276" w:before="200" w:after="0"/>
      <w:ind w:left="1440" w:hanging="1440"/>
      <w:outlineLvl w:val="7"/>
    </w:pPr>
    <w:rPr>
      <w:rFonts w:ascii="Cambria" w:hAnsi="Cambria" w:eastAsia="SimSun" w:cs="Times New Roman"/>
      <w:color w:val="404040"/>
      <w:sz w:val="20"/>
      <w:szCs w:val="20"/>
      <w:lang w:val="ro-RO" w:eastAsia="ro-RO"/>
    </w:rPr>
  </w:style>
  <w:style w:type="paragraph" w:styleId="Heading91" w:customStyle="1">
    <w:name w:val="Heading 91"/>
    <w:basedOn w:val="Normal"/>
    <w:next w:val="Normal"/>
    <w:uiPriority w:val="99"/>
    <w:semiHidden/>
    <w:qFormat/>
    <w:rsid w:val="00ea1435"/>
    <w:pPr>
      <w:keepNext w:val="true"/>
      <w:keepLines/>
      <w:spacing w:lineRule="auto" w:line="276" w:before="200" w:after="0"/>
      <w:ind w:left="1584" w:hanging="1584"/>
      <w:outlineLvl w:val="8"/>
    </w:pPr>
    <w:rPr>
      <w:rFonts w:ascii="Cambria" w:hAnsi="Cambria" w:eastAsia="SimSun" w:cs="Times New Roman"/>
      <w:i/>
      <w:iCs/>
      <w:color w:val="404040"/>
      <w:sz w:val="20"/>
      <w:szCs w:val="20"/>
      <w:lang w:val="ro-RO" w:eastAsia="ro-RO"/>
    </w:rPr>
  </w:style>
  <w:style w:type="paragraph" w:styleId="BodyText21" w:customStyle="1">
    <w:name w:val="Body Text 21"/>
    <w:basedOn w:val="Normal"/>
    <w:uiPriority w:val="99"/>
    <w:qFormat/>
    <w:rsid w:val="00ea1435"/>
    <w:pPr>
      <w:widowControl w:val="false"/>
      <w:spacing w:lineRule="auto" w:line="240" w:before="0" w:after="0"/>
      <w:jc w:val="both"/>
    </w:pPr>
    <w:rPr>
      <w:rFonts w:ascii="Times New Roman" w:hAnsi="Times New Roman" w:eastAsia="Times New Roman" w:cs="Times New Roman"/>
      <w:sz w:val="24"/>
      <w:szCs w:val="20"/>
      <w:lang w:val="ro-RO" w:eastAsia="ro-RO"/>
    </w:rPr>
  </w:style>
  <w:style w:type="paragraph" w:styleId="BodyText2">
    <w:name w:val="Body Text 2"/>
    <w:basedOn w:val="Normal"/>
    <w:link w:val="BodyText2Char"/>
    <w:qFormat/>
    <w:rsid w:val="00ea1435"/>
    <w:pPr>
      <w:spacing w:lineRule="auto" w:line="240" w:before="0" w:after="0"/>
      <w:jc w:val="both"/>
    </w:pPr>
    <w:rPr>
      <w:rFonts w:ascii="Times New Roman" w:hAnsi="Times New Roman" w:eastAsia="Times New Roman" w:cs="Times New Roman"/>
      <w:sz w:val="24"/>
      <w:szCs w:val="20"/>
      <w:lang w:val="ro-RO" w:eastAsia="ro-RO"/>
    </w:rPr>
  </w:style>
  <w:style w:type="paragraph" w:styleId="Title1" w:customStyle="1">
    <w:name w:val="Title1"/>
    <w:basedOn w:val="Normal"/>
    <w:next w:val="Normal"/>
    <w:uiPriority w:val="99"/>
    <w:qFormat/>
    <w:rsid w:val="00ea1435"/>
    <w:pPr>
      <w:pBdr>
        <w:bottom w:val="single" w:sz="8" w:space="4" w:color="BDBDA6"/>
      </w:pBdr>
      <w:spacing w:lineRule="auto" w:line="240" w:before="0" w:after="300"/>
      <w:contextualSpacing/>
    </w:pPr>
    <w:rPr>
      <w:rFonts w:ascii="Cambria" w:hAnsi="Cambria" w:eastAsia="SimSun" w:cs="Times New Roman"/>
      <w:color w:val="17365D"/>
      <w:spacing w:val="5"/>
      <w:kern w:val="2"/>
      <w:sz w:val="52"/>
      <w:szCs w:val="52"/>
      <w:lang w:val="ro-RO" w:eastAsia="ro-RO"/>
    </w:rPr>
  </w:style>
  <w:style w:type="paragraph" w:styleId="Revision">
    <w:name w:val="Revision"/>
    <w:uiPriority w:val="99"/>
    <w:semiHidden/>
    <w:qFormat/>
    <w:rsid w:val="00ea1435"/>
    <w:pPr>
      <w:widowControl/>
      <w:bidi w:val="0"/>
      <w:spacing w:lineRule="auto" w:line="240" w:before="0" w:after="0"/>
      <w:jc w:val="left"/>
    </w:pPr>
    <w:rPr>
      <w:rFonts w:ascii="Calibri" w:hAnsi="Calibri" w:eastAsia="SimSun" w:cs="Times New Roman" w:asciiTheme="minorHAnsi" w:hAnsiTheme="minorHAnsi"/>
      <w:color w:val="auto"/>
      <w:kern w:val="0"/>
      <w:sz w:val="22"/>
      <w:szCs w:val="22"/>
      <w:lang w:val="ro-RO" w:eastAsia="ro-RO" w:bidi="ar-SA"/>
    </w:rPr>
  </w:style>
  <w:style w:type="paragraph" w:styleId="NormalWeb">
    <w:name w:val="Normal (Web)"/>
    <w:basedOn w:val="Normal"/>
    <w:link w:val="NormalWebChar2"/>
    <w:uiPriority w:val="99"/>
    <w:qFormat/>
    <w:rsid w:val="00ea1435"/>
    <w:pPr>
      <w:spacing w:lineRule="auto" w:line="240" w:before="100" w:after="100"/>
    </w:pPr>
    <w:rPr>
      <w:rFonts w:ascii="Times New Roman" w:hAnsi="Times New Roman" w:eastAsia="Times New Roman" w:cs="Times New Roman"/>
      <w:sz w:val="24"/>
      <w:szCs w:val="24"/>
    </w:rPr>
  </w:style>
  <w:style w:type="paragraph" w:styleId="Subtitle">
    <w:name w:val="Subtitle"/>
    <w:basedOn w:val="Normal"/>
    <w:link w:val="SubtitleChar"/>
    <w:qFormat/>
    <w:rsid w:val="00ea1435"/>
    <w:pPr>
      <w:widowControl w:val="false"/>
      <w:spacing w:lineRule="auto" w:line="240" w:before="0" w:after="0"/>
      <w:jc w:val="both"/>
    </w:pPr>
    <w:rPr>
      <w:rFonts w:ascii="Times New Roman" w:hAnsi="Times New Roman" w:eastAsia="Times New Roman" w:cs="Times New Roman"/>
      <w:b/>
      <w:bCs/>
      <w:sz w:val="24"/>
      <w:szCs w:val="24"/>
      <w:lang w:val="en-AU"/>
    </w:rPr>
  </w:style>
  <w:style w:type="paragraph" w:styleId="BodyText3">
    <w:name w:val="Body Text 3"/>
    <w:basedOn w:val="Normal"/>
    <w:link w:val="BodyText3Char"/>
    <w:qFormat/>
    <w:rsid w:val="00ea1435"/>
    <w:pPr>
      <w:spacing w:lineRule="auto" w:line="240" w:before="0" w:after="120"/>
    </w:pPr>
    <w:rPr>
      <w:rFonts w:ascii="Times New Roman" w:hAnsi="Times New Roman" w:eastAsia="Times New Roman" w:cs="Times New Roman"/>
      <w:sz w:val="16"/>
      <w:szCs w:val="16"/>
    </w:rPr>
  </w:style>
  <w:style w:type="paragraph" w:styleId="BodyTextIndent2">
    <w:name w:val="Body Text Indent 2"/>
    <w:basedOn w:val="Normal"/>
    <w:link w:val="BodyTextIndent2Char"/>
    <w:qFormat/>
    <w:rsid w:val="00ea1435"/>
    <w:pPr>
      <w:spacing w:lineRule="auto" w:line="480" w:before="0" w:after="120"/>
      <w:ind w:left="360" w:hanging="0"/>
    </w:pPr>
    <w:rPr>
      <w:rFonts w:ascii="Times New Roman" w:hAnsi="Times New Roman" w:eastAsia="Times New Roman" w:cs="Times New Roman"/>
      <w:sz w:val="24"/>
      <w:szCs w:val="24"/>
    </w:rPr>
  </w:style>
  <w:style w:type="paragraph" w:styleId="BodyTextIndent3">
    <w:name w:val="Body Text Indent 3"/>
    <w:basedOn w:val="Normal"/>
    <w:link w:val="BodyTextIndent3Char"/>
    <w:qFormat/>
    <w:rsid w:val="00ea1435"/>
    <w:pPr>
      <w:spacing w:lineRule="auto" w:line="240" w:before="0" w:after="120"/>
      <w:ind w:left="360" w:hanging="0"/>
    </w:pPr>
    <w:rPr>
      <w:rFonts w:ascii="Times New Roman" w:hAnsi="Times New Roman" w:eastAsia="Times New Roman" w:cs="Times New Roman"/>
      <w:sz w:val="16"/>
      <w:szCs w:val="16"/>
    </w:rPr>
  </w:style>
  <w:style w:type="paragraph" w:styleId="PlainText">
    <w:name w:val="Plain Text"/>
    <w:basedOn w:val="Normal"/>
    <w:link w:val="PlainTextChar"/>
    <w:qFormat/>
    <w:rsid w:val="00ea1435"/>
    <w:pPr>
      <w:spacing w:lineRule="auto" w:line="240" w:beforeAutospacing="1" w:afterAutospacing="1"/>
    </w:pPr>
    <w:rPr>
      <w:rFonts w:ascii="Times New Roman" w:hAnsi="Times New Roman" w:eastAsia="Times New Roman" w:cs="Times New Roman"/>
      <w:sz w:val="24"/>
      <w:szCs w:val="24"/>
    </w:rPr>
  </w:style>
  <w:style w:type="paragraph" w:styleId="Body" w:customStyle="1">
    <w:name w:val="Body"/>
    <w:basedOn w:val="Normal"/>
    <w:uiPriority w:val="99"/>
    <w:qFormat/>
    <w:rsid w:val="00ea1435"/>
    <w:pPr>
      <w:suppressAutoHyphens w:val="true"/>
      <w:spacing w:lineRule="auto" w:line="288" w:before="0" w:after="140"/>
      <w:jc w:val="both"/>
    </w:pPr>
    <w:rPr>
      <w:rFonts w:ascii="Times New Roman" w:hAnsi="Times New Roman" w:eastAsia="Times New Roman" w:cs="Arial"/>
      <w:kern w:val="2"/>
      <w:sz w:val="20"/>
      <w:szCs w:val="20"/>
      <w:lang w:val="en-GB"/>
    </w:rPr>
  </w:style>
  <w:style w:type="paragraph" w:styleId="Blockquote" w:customStyle="1">
    <w:name w:val="Blockquote"/>
    <w:basedOn w:val="Normal"/>
    <w:uiPriority w:val="99"/>
    <w:qFormat/>
    <w:rsid w:val="00ea1435"/>
    <w:pPr>
      <w:snapToGrid w:val="false"/>
      <w:spacing w:lineRule="auto" w:line="240" w:before="100" w:after="100"/>
      <w:ind w:left="360" w:right="360" w:hanging="0"/>
    </w:pPr>
    <w:rPr>
      <w:rFonts w:ascii="Times New Roman" w:hAnsi="Times New Roman" w:eastAsia="Times New Roman" w:cs="Times New Roman"/>
      <w:sz w:val="24"/>
      <w:szCs w:val="24"/>
    </w:rPr>
  </w:style>
  <w:style w:type="paragraph" w:styleId="H4" w:customStyle="1">
    <w:name w:val="H4"/>
    <w:basedOn w:val="Normal"/>
    <w:next w:val="Normal"/>
    <w:uiPriority w:val="99"/>
    <w:qFormat/>
    <w:rsid w:val="00ea1435"/>
    <w:pPr>
      <w:keepNext w:val="true"/>
      <w:snapToGrid w:val="false"/>
      <w:spacing w:lineRule="auto" w:line="240" w:before="100" w:after="100"/>
      <w:outlineLvl w:val="4"/>
    </w:pPr>
    <w:rPr>
      <w:rFonts w:ascii="Times New Roman" w:hAnsi="Times New Roman" w:eastAsia="Times New Roman" w:cs="Times New Roman"/>
      <w:b/>
      <w:bCs/>
      <w:sz w:val="24"/>
      <w:szCs w:val="24"/>
    </w:rPr>
  </w:style>
  <w:style w:type="paragraph" w:styleId="WWBodyText31" w:customStyle="1">
    <w:name w:val="WW-Body Text 31"/>
    <w:basedOn w:val="Normal"/>
    <w:uiPriority w:val="99"/>
    <w:qFormat/>
    <w:rsid w:val="00ea1435"/>
    <w:pPr>
      <w:suppressAutoHyphens w:val="true"/>
      <w:spacing w:lineRule="auto" w:line="240" w:before="0" w:after="0"/>
      <w:jc w:val="both"/>
    </w:pPr>
    <w:rPr>
      <w:rFonts w:ascii="Times New Roman" w:hAnsi="Times New Roman" w:eastAsia="Times New Roman" w:cs="Times New Roman"/>
      <w:b/>
      <w:bCs/>
      <w:sz w:val="24"/>
      <w:szCs w:val="24"/>
      <w:lang w:val="ro-RO"/>
    </w:rPr>
  </w:style>
  <w:style w:type="paragraph" w:styleId="DefinitionTerm" w:customStyle="1">
    <w:name w:val="Definition Term"/>
    <w:basedOn w:val="Normal"/>
    <w:next w:val="Normal"/>
    <w:uiPriority w:val="99"/>
    <w:qFormat/>
    <w:rsid w:val="00ea1435"/>
    <w:pPr>
      <w:snapToGrid w:val="false"/>
      <w:spacing w:lineRule="auto" w:line="240" w:before="0" w:after="0"/>
    </w:pPr>
    <w:rPr>
      <w:rFonts w:ascii="Times New Roman" w:hAnsi="Times New Roman" w:eastAsia="Times New Roman" w:cs="Times New Roman"/>
      <w:sz w:val="24"/>
      <w:szCs w:val="24"/>
      <w:lang w:val="en-AU"/>
    </w:rPr>
  </w:style>
  <w:style w:type="paragraph" w:styleId="WWBodyText3" w:customStyle="1">
    <w:name w:val="WW-Body Text 3"/>
    <w:basedOn w:val="Normal"/>
    <w:uiPriority w:val="99"/>
    <w:qFormat/>
    <w:rsid w:val="00ea1435"/>
    <w:pPr>
      <w:tabs>
        <w:tab w:val="clear" w:pos="720"/>
        <w:tab w:val="left" w:pos="23" w:leader="none"/>
        <w:tab w:val="left" w:pos="743" w:leader="none"/>
        <w:tab w:val="left" w:pos="1463" w:leader="none"/>
      </w:tabs>
      <w:suppressAutoHyphens w:val="true"/>
      <w:spacing w:lineRule="auto" w:line="240" w:before="0" w:after="0"/>
      <w:jc w:val="both"/>
    </w:pPr>
    <w:rPr>
      <w:rFonts w:ascii="Times New Roman" w:hAnsi="Times New Roman" w:eastAsia="Times New Roman" w:cs="Times New Roman"/>
      <w:color w:val="0000FF"/>
      <w:spacing w:val="-3"/>
      <w:sz w:val="24"/>
      <w:szCs w:val="24"/>
      <w:lang w:val="ro-RO"/>
    </w:rPr>
  </w:style>
  <w:style w:type="paragraph" w:styleId="Indent2" w:customStyle="1">
    <w:name w:val="indent2"/>
    <w:basedOn w:val="Normal"/>
    <w:uiPriority w:val="99"/>
    <w:qFormat/>
    <w:rsid w:val="00ea1435"/>
    <w:pPr>
      <w:widowControl w:val="false"/>
      <w:snapToGrid w:val="false"/>
      <w:spacing w:lineRule="auto" w:line="240" w:before="60" w:after="0"/>
    </w:pPr>
    <w:rPr>
      <w:rFonts w:ascii="Times New Roman" w:hAnsi="Times New Roman" w:eastAsia="Times New Roman" w:cs="Times New Roman"/>
    </w:rPr>
  </w:style>
  <w:style w:type="paragraph" w:styleId="WWBodyText2" w:customStyle="1">
    <w:name w:val="WW-Body Text 2"/>
    <w:basedOn w:val="Normal"/>
    <w:uiPriority w:val="99"/>
    <w:qFormat/>
    <w:rsid w:val="00ea1435"/>
    <w:pPr>
      <w:suppressAutoHyphens w:val="true"/>
      <w:spacing w:lineRule="auto" w:line="240" w:before="0" w:after="0"/>
      <w:jc w:val="both"/>
    </w:pPr>
    <w:rPr>
      <w:rFonts w:ascii="Tahoma" w:hAnsi="Tahoma" w:eastAsia="Times New Roman" w:cs="Tahoma"/>
      <w:sz w:val="24"/>
      <w:szCs w:val="24"/>
    </w:rPr>
  </w:style>
  <w:style w:type="paragraph" w:styleId="Indent" w:customStyle="1">
    <w:name w:val="indent"/>
    <w:basedOn w:val="Normal"/>
    <w:uiPriority w:val="99"/>
    <w:qFormat/>
    <w:rsid w:val="00ea1435"/>
    <w:pPr>
      <w:widowControl w:val="false"/>
      <w:spacing w:lineRule="auto" w:line="240" w:before="60" w:after="0"/>
    </w:pPr>
    <w:rPr>
      <w:rFonts w:ascii="Times New Roman" w:hAnsi="Times New Roman" w:eastAsia="Times New Roman" w:cs="Times New Roman"/>
    </w:rPr>
  </w:style>
  <w:style w:type="paragraph" w:styleId="FooterFirst" w:customStyle="1">
    <w:name w:val="Footer First"/>
    <w:basedOn w:val="Footer"/>
    <w:uiPriority w:val="99"/>
    <w:qFormat/>
    <w:rsid w:val="00ea1435"/>
    <w:pPr>
      <w:keepLines/>
      <w:widowControl w:val="false"/>
      <w:tabs>
        <w:tab w:val="clear" w:pos="4536"/>
        <w:tab w:val="clear" w:pos="9072"/>
        <w:tab w:val="center" w:pos="4320" w:leader="none"/>
        <w:tab w:val="right" w:pos="8640" w:leader="none"/>
      </w:tabs>
      <w:spacing w:before="120" w:after="0"/>
      <w:jc w:val="center"/>
    </w:pPr>
    <w:rPr>
      <w:rFonts w:ascii="Arial" w:hAnsi="Arial" w:eastAsia="Times New Roman" w:cs="Arial"/>
      <w:b/>
      <w:bCs/>
      <w:sz w:val="20"/>
      <w:szCs w:val="20"/>
      <w:lang w:val="en-US"/>
    </w:rPr>
  </w:style>
  <w:style w:type="paragraph" w:styleId="TableText" w:customStyle="1">
    <w:name w:val="Table Text"/>
    <w:basedOn w:val="Normal"/>
    <w:uiPriority w:val="99"/>
    <w:qFormat/>
    <w:rsid w:val="00ea1435"/>
    <w:pPr>
      <w:widowControl w:val="false"/>
      <w:spacing w:lineRule="auto" w:line="240" w:before="60" w:after="60"/>
    </w:pPr>
    <w:rPr>
      <w:rFonts w:ascii="Arial" w:hAnsi="Arial" w:eastAsia="Times New Roman" w:cs="Arial"/>
      <w:sz w:val="20"/>
      <w:szCs w:val="20"/>
    </w:rPr>
  </w:style>
  <w:style w:type="paragraph" w:styleId="DefaultText" w:customStyle="1">
    <w:name w:val="Default Text"/>
    <w:basedOn w:val="Normal"/>
    <w:uiPriority w:val="99"/>
    <w:qFormat/>
    <w:rsid w:val="00ea1435"/>
    <w:pPr>
      <w:tabs>
        <w:tab w:val="clear" w:pos="720"/>
        <w:tab w:val="left" w:pos="858" w:leader="none"/>
        <w:tab w:val="left" w:pos="1436" w:leader="none"/>
        <w:tab w:val="left" w:pos="1996" w:leader="none"/>
        <w:tab w:val="left" w:pos="2573" w:leader="none"/>
        <w:tab w:val="left" w:pos="3150" w:leader="none"/>
        <w:tab w:val="left" w:pos="4288" w:leader="none"/>
        <w:tab w:val="left" w:pos="5426" w:leader="none"/>
        <w:tab w:val="left" w:pos="6564" w:leader="none"/>
        <w:tab w:val="decimal" w:pos="8647" w:leader="none"/>
      </w:tabs>
      <w:suppressAutoHyphens w:val="true"/>
      <w:spacing w:lineRule="atLeast" w:line="290" w:before="0" w:after="0"/>
    </w:pPr>
    <w:rPr>
      <w:rFonts w:ascii="Times New Roman" w:hAnsi="Times New Roman" w:eastAsia="Times New Roman" w:cs="Times New Roman"/>
      <w:sz w:val="24"/>
      <w:szCs w:val="24"/>
      <w:lang w:eastAsia="ar-SA"/>
    </w:rPr>
  </w:style>
  <w:style w:type="paragraph" w:styleId="Xl58" w:customStyle="1">
    <w:name w:val="xl58"/>
    <w:basedOn w:val="Normal"/>
    <w:uiPriority w:val="99"/>
    <w:qFormat/>
    <w:rsid w:val="00ea1435"/>
    <w:pPr>
      <w:suppressAutoHyphens w:val="true"/>
      <w:spacing w:lineRule="auto" w:line="240" w:before="100" w:after="100"/>
    </w:pPr>
    <w:rPr>
      <w:rFonts w:ascii="Arial" w:hAnsi="Arial" w:eastAsia="Arial Unicode MS" w:cs="Arial"/>
      <w:b/>
      <w:bCs/>
      <w:sz w:val="24"/>
      <w:szCs w:val="24"/>
      <w:lang w:val="en-GB" w:eastAsia="ar-SA"/>
    </w:rPr>
  </w:style>
  <w:style w:type="paragraph" w:styleId="HTMLBottomofForm">
    <w:name w:val="HTML Bottom of Form"/>
    <w:basedOn w:val="Normal"/>
    <w:next w:val="Normal"/>
    <w:link w:val="z-BottomofFormChar"/>
    <w:uiPriority w:val="99"/>
    <w:semiHidden/>
    <w:qFormat/>
    <w:rsid w:val="00ea1435"/>
    <w:pPr>
      <w:pBdr>
        <w:top w:val="single" w:sz="6" w:space="1" w:color="000000"/>
      </w:pBdr>
      <w:spacing w:lineRule="auto" w:line="276" w:before="0" w:after="0"/>
      <w:jc w:val="center"/>
    </w:pPr>
    <w:rPr>
      <w:rFonts w:ascii="Arial" w:hAnsi="Arial" w:eastAsia="SimSun" w:cs="Arial"/>
      <w:vanish/>
      <w:sz w:val="16"/>
      <w:szCs w:val="16"/>
      <w:lang w:val="ro-RO" w:eastAsia="ro-RO"/>
    </w:rPr>
  </w:style>
  <w:style w:type="paragraph" w:styleId="HTMLTopofForm">
    <w:name w:val="HTML Top of Form"/>
    <w:basedOn w:val="Normal"/>
    <w:next w:val="Normal"/>
    <w:link w:val="z-TopofFormChar"/>
    <w:uiPriority w:val="99"/>
    <w:qFormat/>
    <w:rsid w:val="00ea1435"/>
    <w:pPr>
      <w:pBdr>
        <w:bottom w:val="single" w:sz="6" w:space="1" w:color="000000"/>
      </w:pBdr>
      <w:spacing w:lineRule="auto" w:line="276" w:before="0" w:after="0"/>
      <w:jc w:val="center"/>
    </w:pPr>
    <w:rPr>
      <w:rFonts w:ascii="Arial" w:hAnsi="Arial" w:eastAsia="SimSun" w:cs="Arial"/>
      <w:vanish/>
      <w:sz w:val="16"/>
      <w:szCs w:val="16"/>
      <w:lang w:val="ro-RO" w:eastAsia="ro-RO"/>
    </w:rPr>
  </w:style>
  <w:style w:type="paragraph" w:styleId="Title">
    <w:name w:val="Title"/>
    <w:basedOn w:val="Normal"/>
    <w:next w:val="Normal"/>
    <w:link w:val="TitleChar1"/>
    <w:qFormat/>
    <w:rsid w:val="00ea1435"/>
    <w:pPr>
      <w:pBdr>
        <w:bottom w:val="single" w:sz="8" w:space="4" w:color="4F81BD"/>
      </w:pBdr>
      <w:spacing w:lineRule="auto" w:line="240" w:before="0" w:after="300"/>
      <w:contextualSpacing/>
    </w:pPr>
    <w:rPr>
      <w:rFonts w:ascii="Cambria" w:hAnsi="Cambria" w:eastAsia="SimSun" w:cs="Times New Roman"/>
      <w:color w:val="5B9BD5" w:themeColor="accent1"/>
      <w:spacing w:val="5"/>
      <w:kern w:val="2"/>
      <w:sz w:val="52"/>
      <w:szCs w:val="52"/>
    </w:rPr>
  </w:style>
  <w:style w:type="paragraph" w:styleId="Sursa" w:customStyle="1">
    <w:name w:val="sursa"/>
    <w:basedOn w:val="Normal"/>
    <w:link w:val="sursaChar"/>
    <w:uiPriority w:val="99"/>
    <w:qFormat/>
    <w:rsid w:val="00ea1435"/>
    <w:pPr>
      <w:spacing w:lineRule="auto" w:line="276" w:before="0" w:after="0"/>
    </w:pPr>
    <w:rPr>
      <w:rFonts w:ascii="Calibri" w:hAnsi="Calibri" w:eastAsia="Times New Roman" w:cs="Times New Roman"/>
      <w:i/>
      <w:sz w:val="18"/>
      <w:szCs w:val="18"/>
      <w:lang w:val="ro-RO" w:eastAsia="ro-RO"/>
    </w:rPr>
  </w:style>
  <w:style w:type="paragraph" w:styleId="Caption11" w:customStyle="1">
    <w:name w:val="Caption1"/>
    <w:basedOn w:val="Caption1"/>
    <w:link w:val="captionChar0"/>
    <w:qFormat/>
    <w:rsid w:val="00ea1435"/>
    <w:pPr>
      <w:keepNext w:val="true"/>
      <w:spacing w:before="0" w:after="0"/>
      <w:jc w:val="center"/>
    </w:pPr>
    <w:rPr>
      <w:rFonts w:ascii="Calibri" w:hAnsi="Calibri" w:eastAsia="Times New Roman" w:cs="Times New Roman"/>
      <w:b/>
      <w:bCs/>
      <w:i w:val="false"/>
      <w:iCs w:val="false"/>
      <w:color w:val="570D31"/>
      <w:sz w:val="20"/>
      <w:szCs w:val="20"/>
      <w:lang w:eastAsia="ro-RO"/>
    </w:rPr>
  </w:style>
  <w:style w:type="paragraph" w:styleId="Yiv323243878msonormal" w:customStyle="1">
    <w:name w:val="yiv323243878msonormal"/>
    <w:basedOn w:val="Normal"/>
    <w:uiPriority w:val="99"/>
    <w:qFormat/>
    <w:rsid w:val="00ea1435"/>
    <w:pPr>
      <w:spacing w:lineRule="auto" w:line="240" w:beforeAutospacing="1" w:afterAutospacing="1"/>
    </w:pPr>
    <w:rPr>
      <w:rFonts w:ascii="Times New Roman" w:hAnsi="Times New Roman" w:eastAsia="Times New Roman" w:cs="Times New Roman"/>
      <w:sz w:val="24"/>
      <w:szCs w:val="24"/>
    </w:rPr>
  </w:style>
  <w:style w:type="paragraph" w:styleId="IRA" w:customStyle="1">
    <w:name w:val="I.RA"/>
    <w:basedOn w:val="ListParagraph"/>
    <w:link w:val="IRAChar"/>
    <w:uiPriority w:val="99"/>
    <w:qFormat/>
    <w:rsid w:val="00ea1435"/>
    <w:pPr>
      <w:spacing w:lineRule="auto" w:line="240" w:before="0" w:after="0"/>
      <w:contextualSpacing/>
      <w:jc w:val="center"/>
    </w:pPr>
    <w:rPr>
      <w:rFonts w:ascii="Times New Roman" w:hAnsi="Times New Roman" w:cs="Times New Roman"/>
      <w:b/>
      <w:color w:val="570D31"/>
      <w:sz w:val="40"/>
      <w:szCs w:val="40"/>
    </w:rPr>
  </w:style>
  <w:style w:type="paragraph" w:styleId="CharCharCharCharCharCharCharCharCharCharCharCharCharCharCharCharCharCharCharCharCharCharCharCharCharCharCharChar" w:customStyle="1">
    <w:name w:val="Char Char Char Char Char Char Char Char Char Char Char Char Char Char Char Char Char Char Char Char Char Char Char Char Char Char Char Char"/>
    <w:basedOn w:val="Normal"/>
    <w:uiPriority w:val="99"/>
    <w:qFormat/>
    <w:rsid w:val="00ea1435"/>
    <w:pPr>
      <w:spacing w:lineRule="auto" w:line="240" w:before="0" w:after="0"/>
      <w:jc w:val="both"/>
    </w:pPr>
    <w:rPr>
      <w:rFonts w:ascii="Times New Roman" w:hAnsi="Times New Roman" w:eastAsia="MS Mincho" w:cs="Times New Roman"/>
      <w:szCs w:val="24"/>
      <w:lang w:val="pl-PL" w:eastAsia="pl-PL"/>
    </w:rPr>
  </w:style>
  <w:style w:type="paragraph" w:styleId="CharCharCharCharCharCharCharCharCharCharCharChar1" w:customStyle="1">
    <w:name w:val="Char Char Char Char Char Char Char Char Char Char Char Char1"/>
    <w:basedOn w:val="Normal"/>
    <w:uiPriority w:val="99"/>
    <w:qFormat/>
    <w:rsid w:val="00ea1435"/>
    <w:pPr>
      <w:spacing w:lineRule="auto" w:line="240" w:before="0" w:after="0"/>
      <w:jc w:val="both"/>
    </w:pPr>
    <w:rPr>
      <w:rFonts w:ascii="Times New Roman" w:hAnsi="Times New Roman" w:eastAsia="MS Mincho" w:cs="Times New Roman"/>
      <w:szCs w:val="24"/>
      <w:lang w:val="pl-PL" w:eastAsia="pl-PL"/>
    </w:rPr>
  </w:style>
  <w:style w:type="paragraph" w:styleId="Stil1Char" w:customStyle="1">
    <w:name w:val="Stil1 Char"/>
    <w:basedOn w:val="Normal"/>
    <w:link w:val="Stil1CharChar"/>
    <w:autoRedefine/>
    <w:uiPriority w:val="99"/>
    <w:qFormat/>
    <w:rsid w:val="00ea1435"/>
    <w:pPr>
      <w:snapToGrid w:val="false"/>
      <w:spacing w:lineRule="auto" w:line="240" w:before="0" w:after="0"/>
      <w:ind w:left="6480" w:right="389" w:hanging="0"/>
      <w:jc w:val="both"/>
    </w:pPr>
    <w:rPr>
      <w:rFonts w:ascii="Book Antiqua" w:hAnsi="Book Antiqua" w:cs="Book Antiqua"/>
      <w:b/>
      <w:color w:val="FFB100"/>
      <w:sz w:val="18"/>
      <w:szCs w:val="18"/>
    </w:rPr>
  </w:style>
  <w:style w:type="paragraph" w:styleId="CharCharCharCharCharCharCharCharChar" w:customStyle="1">
    <w:name w:val="Char Char Char Char Char Char Char Char Char"/>
    <w:basedOn w:val="Normal"/>
    <w:uiPriority w:val="99"/>
    <w:qFormat/>
    <w:rsid w:val="00ea1435"/>
    <w:pPr>
      <w:spacing w:lineRule="auto" w:line="240" w:before="0" w:after="0"/>
      <w:jc w:val="both"/>
    </w:pPr>
    <w:rPr>
      <w:rFonts w:ascii="Times New Roman" w:hAnsi="Times New Roman" w:eastAsia="MS Mincho" w:cs="Times New Roman"/>
      <w:szCs w:val="24"/>
      <w:lang w:val="pl-PL" w:eastAsia="pl-PL"/>
    </w:rPr>
  </w:style>
  <w:style w:type="paragraph" w:styleId="Listparagraf1" w:customStyle="1">
    <w:name w:val="Listă paragraf1"/>
    <w:basedOn w:val="Normal"/>
    <w:uiPriority w:val="34"/>
    <w:qFormat/>
    <w:rsid w:val="00ea1435"/>
    <w:pPr>
      <w:spacing w:lineRule="auto" w:line="276" w:before="0" w:after="0"/>
      <w:ind w:left="720" w:hanging="0"/>
      <w:jc w:val="both"/>
    </w:pPr>
    <w:rPr>
      <w:rFonts w:ascii="Calibri" w:hAnsi="Calibri" w:eastAsia="Batang" w:cs="Calibri"/>
      <w:lang w:val="ro-RO"/>
    </w:rPr>
  </w:style>
  <w:style w:type="paragraph" w:styleId="CharCharCharCharCharCharCharCharCharCharCaracterCharCaracterCharChar" w:customStyle="1">
    <w:name w:val="Char Char Char Char Char Char Char Char Char Char Caracter Char Caracter Char Char"/>
    <w:basedOn w:val="Normal"/>
    <w:uiPriority w:val="99"/>
    <w:qFormat/>
    <w:rsid w:val="00ea1435"/>
    <w:pPr>
      <w:spacing w:lineRule="auto" w:line="240" w:before="0" w:after="0"/>
      <w:jc w:val="both"/>
    </w:pPr>
    <w:rPr>
      <w:rFonts w:ascii="Times New Roman" w:hAnsi="Times New Roman" w:eastAsia="MS Mincho" w:cs="Times New Roman"/>
      <w:szCs w:val="24"/>
      <w:lang w:val="pl-PL" w:eastAsia="pl-PL"/>
    </w:rPr>
  </w:style>
  <w:style w:type="paragraph" w:styleId="NormalWeb8" w:customStyle="1">
    <w:name w:val="Normal (Web)8"/>
    <w:basedOn w:val="Normal"/>
    <w:uiPriority w:val="99"/>
    <w:qFormat/>
    <w:rsid w:val="00ea1435"/>
    <w:pPr>
      <w:spacing w:lineRule="auto" w:line="240" w:beforeAutospacing="1" w:after="150"/>
      <w:jc w:val="both"/>
    </w:pPr>
    <w:rPr>
      <w:rFonts w:ascii="Times New Roman" w:hAnsi="Times New Roman" w:eastAsia="Batang" w:cs="Times New Roman"/>
      <w:szCs w:val="24"/>
      <w:lang w:val="ro-RO"/>
    </w:rPr>
  </w:style>
  <w:style w:type="paragraph" w:styleId="CharCharCharCharCharCharCharCharCharCharCharCharCharCharChar" w:customStyle="1">
    <w:name w:val="Char Char Char Char Char Char Char Char Char Char Char Char Char Char Char"/>
    <w:basedOn w:val="Normal"/>
    <w:uiPriority w:val="99"/>
    <w:qFormat/>
    <w:rsid w:val="00ea1435"/>
    <w:pPr>
      <w:spacing w:lineRule="auto" w:line="240" w:before="0" w:after="0"/>
      <w:jc w:val="both"/>
    </w:pPr>
    <w:rPr>
      <w:rFonts w:ascii="Times New Roman" w:hAnsi="Times New Roman" w:eastAsia="MS Mincho" w:cs="Times New Roman"/>
      <w:szCs w:val="24"/>
      <w:lang w:val="pl-PL" w:eastAsia="pl-PL"/>
    </w:rPr>
  </w:style>
  <w:style w:type="paragraph" w:styleId="CharCharCharCharCharCharCharCharCharCharCharChar11" w:customStyle="1">
    <w:name w:val="Char Char Char Char Char Char Char Char Char Char Char Char11"/>
    <w:basedOn w:val="Normal"/>
    <w:uiPriority w:val="99"/>
    <w:qFormat/>
    <w:rsid w:val="00ea1435"/>
    <w:pPr>
      <w:spacing w:lineRule="auto" w:line="240" w:before="0" w:after="0"/>
      <w:jc w:val="both"/>
    </w:pPr>
    <w:rPr>
      <w:rFonts w:ascii="Times New Roman" w:hAnsi="Times New Roman" w:eastAsia="MS Mincho" w:cs="Times New Roman"/>
      <w:szCs w:val="24"/>
      <w:lang w:val="pl-PL" w:eastAsia="pl-PL"/>
    </w:rPr>
  </w:style>
  <w:style w:type="paragraph" w:styleId="TableContents" w:customStyle="1">
    <w:name w:val="Table Contents"/>
    <w:basedOn w:val="Normal"/>
    <w:uiPriority w:val="99"/>
    <w:qFormat/>
    <w:rsid w:val="00ea1435"/>
    <w:pPr>
      <w:suppressLineNumbers/>
      <w:suppressAutoHyphens w:val="true"/>
      <w:spacing w:lineRule="auto" w:line="240" w:before="0" w:after="0"/>
      <w:jc w:val="both"/>
    </w:pPr>
    <w:rPr>
      <w:rFonts w:ascii="Times New Roman" w:hAnsi="Times New Roman" w:eastAsia="Batang" w:cs="Times New Roman"/>
      <w:sz w:val="20"/>
      <w:szCs w:val="20"/>
      <w:lang w:val="ro-RO" w:eastAsia="ar-SA"/>
    </w:rPr>
  </w:style>
  <w:style w:type="paragraph" w:styleId="CharCharCharCharCharCharCharCharCharCharCharCharCharCharCharCharCharCharCharCharCharCharCharCharCharChar" w:customStyle="1">
    <w:name w:val="Char Char Char Char Char Char Char Char Char Char Char Char Char Char Char Char Char Char Char Char Char Char Char Char Char Char"/>
    <w:basedOn w:val="Normal"/>
    <w:uiPriority w:val="99"/>
    <w:qFormat/>
    <w:rsid w:val="00ea1435"/>
    <w:pPr>
      <w:spacing w:lineRule="auto" w:line="240" w:before="0" w:after="0"/>
      <w:jc w:val="both"/>
    </w:pPr>
    <w:rPr>
      <w:rFonts w:ascii="Times New Roman" w:hAnsi="Times New Roman" w:eastAsia="MS Mincho" w:cs="Times New Roman"/>
      <w:szCs w:val="24"/>
      <w:lang w:val="pl-PL" w:eastAsia="pl-PL"/>
    </w:rPr>
  </w:style>
  <w:style w:type="paragraph" w:styleId="Clear" w:customStyle="1">
    <w:name w:val="Clear"/>
    <w:basedOn w:val="Normal"/>
    <w:uiPriority w:val="99"/>
    <w:qFormat/>
    <w:rsid w:val="00ea1435"/>
    <w:pPr>
      <w:spacing w:lineRule="auto" w:line="240" w:before="0" w:after="0"/>
      <w:jc w:val="both"/>
    </w:pPr>
    <w:rPr>
      <w:rFonts w:ascii="Times New Roman" w:hAnsi="Times New Roman" w:eastAsia="Batang" w:cs="Times New Roman"/>
      <w:szCs w:val="24"/>
      <w:lang w:val="ro-RO"/>
    </w:rPr>
  </w:style>
  <w:style w:type="paragraph" w:styleId="DocumentMap">
    <w:name w:val="Document Map"/>
    <w:basedOn w:val="Normal"/>
    <w:link w:val="DocumentMapChar"/>
    <w:uiPriority w:val="99"/>
    <w:qFormat/>
    <w:rsid w:val="00ea1435"/>
    <w:pPr>
      <w:shd w:val="clear" w:color="auto" w:fill="000080"/>
      <w:spacing w:lineRule="auto" w:line="240" w:before="0" w:after="0"/>
      <w:jc w:val="both"/>
    </w:pPr>
    <w:rPr>
      <w:rFonts w:ascii="Tahoma" w:hAnsi="Tahoma" w:eastAsia="Batang" w:cs="Tahoma"/>
      <w:sz w:val="20"/>
      <w:szCs w:val="20"/>
      <w:lang w:val="ro-RO"/>
    </w:rPr>
  </w:style>
  <w:style w:type="paragraph" w:styleId="Fn8" w:customStyle="1">
    <w:name w:val="fn_8"/>
    <w:basedOn w:val="Normal"/>
    <w:uiPriority w:val="99"/>
    <w:qFormat/>
    <w:rsid w:val="00ea1435"/>
    <w:pPr>
      <w:spacing w:lineRule="auto" w:line="240" w:beforeAutospacing="1" w:afterAutospacing="1"/>
      <w:jc w:val="both"/>
    </w:pPr>
    <w:rPr>
      <w:rFonts w:ascii="Verdana" w:hAnsi="Verdana" w:eastAsia="Batang" w:cs="Verdana"/>
      <w:color w:val="272959"/>
      <w:sz w:val="16"/>
      <w:szCs w:val="16"/>
      <w:lang w:val="ro-RO" w:eastAsia="ko-KR"/>
    </w:rPr>
  </w:style>
  <w:style w:type="paragraph" w:styleId="CharCharCharCharCharCharCharCharChar1" w:customStyle="1">
    <w:name w:val="Char Char Char Char Char Char Char Char Char1"/>
    <w:basedOn w:val="Normal"/>
    <w:uiPriority w:val="99"/>
    <w:qFormat/>
    <w:rsid w:val="00ea1435"/>
    <w:pPr>
      <w:spacing w:lineRule="auto" w:line="240" w:before="0" w:after="0"/>
      <w:jc w:val="both"/>
    </w:pPr>
    <w:rPr>
      <w:rFonts w:ascii="Times New Roman" w:hAnsi="Times New Roman" w:eastAsia="MS Mincho" w:cs="Times New Roman"/>
      <w:szCs w:val="24"/>
      <w:lang w:val="pl-PL" w:eastAsia="pl-PL"/>
    </w:rPr>
  </w:style>
  <w:style w:type="paragraph" w:styleId="Clearfor" w:customStyle="1">
    <w:name w:val="Clear for"/>
    <w:basedOn w:val="Stil1Char"/>
    <w:uiPriority w:val="99"/>
    <w:qFormat/>
    <w:rsid w:val="00ea1435"/>
    <w:pPr/>
    <w:rPr>
      <w:rFonts w:eastAsia="Calibri"/>
    </w:rPr>
  </w:style>
  <w:style w:type="paragraph" w:styleId="List2">
    <w:name w:val="List Bullet 3"/>
    <w:basedOn w:val="Normal"/>
    <w:rsid w:val="00ea1435"/>
    <w:pPr>
      <w:suppressAutoHyphens w:val="true"/>
      <w:spacing w:lineRule="auto" w:line="240" w:before="0" w:after="0"/>
      <w:ind w:left="566" w:hanging="283"/>
      <w:jc w:val="both"/>
    </w:pPr>
    <w:rPr>
      <w:rFonts w:ascii="Garamond" w:hAnsi="Garamond" w:eastAsia="Batang" w:cs="Garamond"/>
      <w:lang w:val="fr-FR" w:eastAsia="ar-SA"/>
    </w:rPr>
  </w:style>
  <w:style w:type="paragraph" w:styleId="Endnote">
    <w:name w:val="Endnote Text"/>
    <w:basedOn w:val="Normal"/>
    <w:link w:val="EndnoteTextChar"/>
    <w:rsid w:val="00ea1435"/>
    <w:pPr>
      <w:spacing w:lineRule="auto" w:line="240" w:before="0" w:after="0"/>
      <w:jc w:val="both"/>
    </w:pPr>
    <w:rPr>
      <w:rFonts w:ascii="Times New Roman" w:hAnsi="Times New Roman" w:eastAsia="Batang" w:cs="Times New Roman"/>
      <w:sz w:val="20"/>
      <w:szCs w:val="20"/>
      <w:lang w:val="ro-RO"/>
    </w:rPr>
  </w:style>
  <w:style w:type="paragraph" w:styleId="Statut" w:customStyle="1">
    <w:name w:val="Statut"/>
    <w:basedOn w:val="Normal"/>
    <w:next w:val="Normal"/>
    <w:uiPriority w:val="99"/>
    <w:qFormat/>
    <w:rsid w:val="00ea1435"/>
    <w:pPr>
      <w:spacing w:lineRule="auto" w:line="240" w:before="360" w:after="0"/>
      <w:jc w:val="center"/>
    </w:pPr>
    <w:rPr>
      <w:rFonts w:ascii="Times New Roman" w:hAnsi="Times New Roman" w:eastAsia="Times New Roman" w:cs="Times New Roman"/>
      <w:szCs w:val="24"/>
      <w:lang w:val="ro-RO" w:eastAsia="en-GB"/>
    </w:rPr>
  </w:style>
  <w:style w:type="paragraph" w:styleId="Listparagraf2" w:customStyle="1">
    <w:name w:val="Listă paragraf2"/>
    <w:basedOn w:val="Normal"/>
    <w:uiPriority w:val="99"/>
    <w:qFormat/>
    <w:rsid w:val="00ea1435"/>
    <w:pPr>
      <w:suppressAutoHyphens w:val="true"/>
      <w:spacing w:lineRule="auto" w:line="240" w:before="0" w:after="0"/>
      <w:ind w:left="720" w:hanging="0"/>
      <w:contextualSpacing/>
      <w:jc w:val="both"/>
    </w:pPr>
    <w:rPr>
      <w:rFonts w:ascii="Times New Roman" w:hAnsi="Times New Roman" w:eastAsia="Times New Roman" w:cs="Times New Roman"/>
      <w:sz w:val="20"/>
      <w:szCs w:val="20"/>
      <w:lang w:val="ro-RO" w:eastAsia="ar-SA"/>
    </w:rPr>
  </w:style>
  <w:style w:type="paragraph" w:styleId="Style31" w:customStyle="1">
    <w:name w:val="Style 3"/>
    <w:basedOn w:val="Normal"/>
    <w:link w:val="Style3Char1"/>
    <w:uiPriority w:val="99"/>
    <w:qFormat/>
    <w:rsid w:val="00ea1435"/>
    <w:pPr>
      <w:widowControl w:val="false"/>
      <w:spacing w:lineRule="auto" w:line="240" w:before="0" w:after="0"/>
      <w:jc w:val="center"/>
    </w:pPr>
    <w:rPr>
      <w:rFonts w:ascii="Arial Narrow" w:hAnsi="Arial Narrow" w:eastAsia="Times New Roman" w:cs="RomHelvetica"/>
      <w:b/>
      <w:bCs/>
      <w:color w:val="000000"/>
      <w:szCs w:val="20"/>
      <w:lang w:val="ro-RO"/>
    </w:rPr>
  </w:style>
  <w:style w:type="paragraph" w:styleId="A3520normal" w:customStyle="1">
    <w:name w:val="a___35__20_normal"/>
    <w:basedOn w:val="Normal"/>
    <w:uiPriority w:val="99"/>
    <w:qFormat/>
    <w:rsid w:val="00ea1435"/>
    <w:pPr>
      <w:spacing w:lineRule="auto" w:line="240" w:before="0" w:after="120"/>
      <w:jc w:val="both"/>
    </w:pPr>
    <w:rPr>
      <w:rFonts w:ascii="Times New Roman" w:hAnsi="Times New Roman" w:eastAsia="Times New Roman" w:cs="Times New Roman"/>
      <w:szCs w:val="24"/>
      <w:lang w:val="ro-RO" w:eastAsia="ro-RO"/>
    </w:rPr>
  </w:style>
  <w:style w:type="paragraph" w:styleId="Fn81" w:customStyle="1">
    <w:name w:val="fn8"/>
    <w:basedOn w:val="Normal"/>
    <w:uiPriority w:val="99"/>
    <w:qFormat/>
    <w:rsid w:val="00ea1435"/>
    <w:pPr>
      <w:spacing w:lineRule="auto" w:line="240" w:beforeAutospacing="1" w:afterAutospacing="1"/>
      <w:jc w:val="both"/>
    </w:pPr>
    <w:rPr>
      <w:rFonts w:ascii="Verdana" w:hAnsi="Verdana" w:eastAsia="Batang" w:cs="Times New Roman"/>
      <w:color w:val="272959"/>
      <w:sz w:val="16"/>
      <w:szCs w:val="16"/>
      <w:lang w:val="ro-RO" w:eastAsia="ko-KR"/>
    </w:rPr>
  </w:style>
  <w:style w:type="paragraph" w:styleId="Normalweb11" w:customStyle="1">
    <w:name w:val="normalweb11"/>
    <w:basedOn w:val="Normal"/>
    <w:uiPriority w:val="99"/>
    <w:qFormat/>
    <w:rsid w:val="00ea1435"/>
    <w:pPr>
      <w:spacing w:lineRule="auto" w:line="240" w:beforeAutospacing="1" w:afterAutospacing="1"/>
      <w:jc w:val="both"/>
    </w:pPr>
    <w:rPr>
      <w:rFonts w:ascii="Times New Roman" w:hAnsi="Times New Roman" w:eastAsia="Times New Roman" w:cs="Times New Roman"/>
      <w:szCs w:val="24"/>
      <w:lang w:val="ro-RO" w:eastAsia="ro-RO"/>
    </w:rPr>
  </w:style>
  <w:style w:type="paragraph" w:styleId="Standard" w:customStyle="1">
    <w:name w:val="Standard"/>
    <w:uiPriority w:val="99"/>
    <w:qFormat/>
    <w:rsid w:val="00ea1435"/>
    <w:pPr>
      <w:widowControl/>
      <w:suppressAutoHyphens w:val="true"/>
      <w:bidi w:val="0"/>
      <w:spacing w:lineRule="auto" w:line="240" w:before="0" w:after="0"/>
      <w:jc w:val="left"/>
      <w:textAlignment w:val="baseline"/>
    </w:pPr>
    <w:rPr>
      <w:rFonts w:ascii="Times New Roman" w:hAnsi="Times New Roman" w:eastAsia="Batang" w:cs="Times New Roman"/>
      <w:color w:val="000000"/>
      <w:kern w:val="2"/>
      <w:sz w:val="24"/>
      <w:szCs w:val="24"/>
      <w:lang w:val="ro-RO" w:eastAsia="en-US" w:bidi="ar-SA"/>
    </w:rPr>
  </w:style>
  <w:style w:type="paragraph" w:styleId="IntenseQuote">
    <w:name w:val="Intense Quote"/>
    <w:basedOn w:val="Normal"/>
    <w:next w:val="Normal"/>
    <w:link w:val="IntenseQuoteChar"/>
    <w:uiPriority w:val="30"/>
    <w:qFormat/>
    <w:rsid w:val="00ea1435"/>
    <w:pPr>
      <w:pBdr>
        <w:bottom w:val="single" w:sz="4" w:space="4" w:color="4F81BD"/>
      </w:pBdr>
      <w:spacing w:lineRule="auto" w:line="276" w:before="200" w:after="280"/>
      <w:ind w:left="936" w:right="936" w:hanging="0"/>
    </w:pPr>
    <w:rPr>
      <w:rFonts w:ascii="Calibri" w:hAnsi="Calibri" w:eastAsia="Times New Roman" w:cs="Times New Roman"/>
      <w:b/>
      <w:bCs/>
      <w:i/>
      <w:iCs/>
      <w:color w:val="4F81BD"/>
    </w:rPr>
  </w:style>
  <w:style w:type="paragraph" w:styleId="Sursaraport" w:customStyle="1">
    <w:name w:val="sursa raport"/>
    <w:basedOn w:val="Sursarap"/>
    <w:link w:val="sursaraportChar"/>
    <w:uiPriority w:val="99"/>
    <w:qFormat/>
    <w:rsid w:val="00ea1435"/>
    <w:pPr>
      <w:ind w:left="550" w:hanging="0"/>
      <w:jc w:val="center"/>
    </w:pPr>
    <w:rPr>
      <w:sz w:val="18"/>
      <w:szCs w:val="18"/>
      <w:lang w:val="ro-RO"/>
    </w:rPr>
  </w:style>
  <w:style w:type="paragraph" w:styleId="11" w:customStyle="1">
    <w:name w:val="1."/>
    <w:basedOn w:val="Normal"/>
    <w:link w:val="1Char0"/>
    <w:uiPriority w:val="99"/>
    <w:qFormat/>
    <w:rsid w:val="00ea1435"/>
    <w:pPr>
      <w:spacing w:lineRule="auto" w:line="276" w:before="0" w:after="0"/>
      <w:ind w:right="-68" w:hanging="0"/>
      <w:jc w:val="center"/>
      <w:outlineLvl w:val="0"/>
    </w:pPr>
    <w:rPr>
      <w:rFonts w:ascii="Calibri" w:hAnsi="Calibri" w:eastAsia="Times New Roman" w:cs="Arial"/>
      <w:b/>
      <w:color w:val="570D31"/>
      <w:sz w:val="24"/>
      <w:szCs w:val="24"/>
    </w:rPr>
  </w:style>
  <w:style w:type="paragraph" w:styleId="111" w:customStyle="1">
    <w:name w:val="1.1"/>
    <w:basedOn w:val="Normal"/>
    <w:uiPriority w:val="99"/>
    <w:qFormat/>
    <w:rsid w:val="00ea1435"/>
    <w:pPr>
      <w:spacing w:lineRule="auto" w:line="276" w:before="0" w:after="0"/>
      <w:ind w:right="-68" w:hanging="0"/>
      <w:jc w:val="center"/>
      <w:outlineLvl w:val="2"/>
    </w:pPr>
    <w:rPr>
      <w:rFonts w:ascii="Calibri" w:hAnsi="Calibri" w:eastAsia="Times New Roman" w:cs="Arial"/>
      <w:b/>
      <w:color w:val="570D31"/>
      <w:sz w:val="24"/>
      <w:szCs w:val="24"/>
      <w:lang w:val="ro-RO"/>
    </w:rPr>
  </w:style>
  <w:style w:type="paragraph" w:styleId="1111" w:customStyle="1">
    <w:name w:val="1.1.1"/>
    <w:basedOn w:val="Normal"/>
    <w:link w:val="111Char"/>
    <w:uiPriority w:val="99"/>
    <w:qFormat/>
    <w:rsid w:val="00ea1435"/>
    <w:pPr>
      <w:keepNext w:val="true"/>
      <w:keepLines/>
      <w:spacing w:lineRule="auto" w:line="276" w:before="480" w:after="240"/>
      <w:jc w:val="center"/>
      <w:outlineLvl w:val="1"/>
    </w:pPr>
    <w:rPr>
      <w:rFonts w:ascii="Calibri" w:hAnsi="Calibri" w:eastAsia="SimSun" w:cs="Times New Roman"/>
      <w:b/>
      <w:bCs/>
      <w:i/>
      <w:color w:val="570D31"/>
      <w:sz w:val="24"/>
      <w:szCs w:val="24"/>
      <w:lang w:val="ro-RO" w:eastAsia="ro-RO"/>
    </w:rPr>
  </w:style>
  <w:style w:type="paragraph" w:styleId="IRA1" w:customStyle="1">
    <w:name w:val="I. RA"/>
    <w:basedOn w:val="ListParagraph"/>
    <w:link w:val="IRAChar0"/>
    <w:uiPriority w:val="99"/>
    <w:qFormat/>
    <w:rsid w:val="00ea1435"/>
    <w:pPr>
      <w:spacing w:lineRule="auto" w:line="240" w:before="0" w:after="0"/>
      <w:ind w:left="1080" w:hanging="720"/>
      <w:contextualSpacing/>
      <w:jc w:val="center"/>
    </w:pPr>
    <w:rPr>
      <w:rFonts w:ascii="Times New Roman" w:hAnsi="Times New Roman"/>
      <w:b/>
      <w:color w:val="570D31"/>
      <w:sz w:val="40"/>
      <w:szCs w:val="40"/>
    </w:rPr>
  </w:style>
  <w:style w:type="paragraph" w:styleId="SUBde4" w:customStyle="1">
    <w:name w:val="SUB de 4"/>
    <w:basedOn w:val="SUBSUBCAPITOL"/>
    <w:link w:val="SUBde4Caracter"/>
    <w:qFormat/>
    <w:rsid w:val="00ea1435"/>
    <w:pPr>
      <w:jc w:val="left"/>
    </w:pPr>
    <w:rPr>
      <w:i w:val="false"/>
    </w:rPr>
  </w:style>
  <w:style w:type="paragraph" w:styleId="BlockText">
    <w:name w:val="Block Text"/>
    <w:basedOn w:val="Normal"/>
    <w:qFormat/>
    <w:rsid w:val="00ea1435"/>
    <w:pPr>
      <w:tabs>
        <w:tab w:val="clear" w:pos="720"/>
        <w:tab w:val="left" w:pos="1134" w:leader="none"/>
      </w:tabs>
      <w:spacing w:lineRule="auto" w:line="240" w:before="0" w:after="0"/>
      <w:ind w:left="720" w:right="-1" w:hanging="0"/>
      <w:jc w:val="both"/>
    </w:pPr>
    <w:rPr>
      <w:rFonts w:ascii="Times New Roman" w:hAnsi="Times New Roman" w:eastAsia="Times New Roman" w:cs="Times New Roman"/>
      <w:sz w:val="24"/>
      <w:szCs w:val="20"/>
    </w:rPr>
  </w:style>
  <w:style w:type="paragraph" w:styleId="Xl25" w:customStyle="1">
    <w:name w:val="xl25"/>
    <w:basedOn w:val="Normal"/>
    <w:uiPriority w:val="99"/>
    <w:qFormat/>
    <w:rsid w:val="00ea1435"/>
    <w:pPr>
      <w:spacing w:lineRule="auto" w:line="240" w:beforeAutospacing="1" w:afterAutospacing="1"/>
    </w:pPr>
    <w:rPr>
      <w:rFonts w:ascii="Times New Roman" w:hAnsi="Times New Roman" w:eastAsia="Arial Unicode MS" w:cs="Times New Roman"/>
      <w:sz w:val="24"/>
      <w:szCs w:val="24"/>
    </w:rPr>
  </w:style>
  <w:style w:type="paragraph" w:styleId="Style12" w:customStyle="1">
    <w:name w:val="Style1"/>
    <w:uiPriority w:val="99"/>
    <w:qFormat/>
    <w:rsid w:val="00ea1435"/>
    <w:pPr>
      <w:widowControl/>
      <w:bidi w:val="0"/>
      <w:spacing w:lineRule="exact" w:line="300" w:before="0" w:after="60"/>
      <w:jc w:val="both"/>
    </w:pPr>
    <w:rPr>
      <w:rFonts w:ascii="Arial" w:hAnsi="Arial" w:eastAsia="Times New Roman" w:cs="Times New Roman"/>
      <w:color w:val="auto"/>
      <w:kern w:val="0"/>
      <w:sz w:val="22"/>
      <w:szCs w:val="20"/>
      <w:lang w:eastAsia="ro-RO" w:val="en-US" w:bidi="ar-SA"/>
    </w:rPr>
  </w:style>
  <w:style w:type="paragraph" w:styleId="ListBullet3">
    <w:name w:val="List Bullet 3"/>
    <w:basedOn w:val="Normal"/>
    <w:autoRedefine/>
    <w:qFormat/>
    <w:rsid w:val="00ea1435"/>
    <w:pPr>
      <w:spacing w:lineRule="auto" w:line="240" w:before="0" w:after="0"/>
      <w:ind w:left="566" w:hanging="0"/>
    </w:pPr>
    <w:rPr>
      <w:rFonts w:ascii="Times New Roman" w:hAnsi="Times New Roman" w:eastAsia="Times New Roman" w:cs="Times New Roman"/>
      <w:sz w:val="16"/>
      <w:szCs w:val="16"/>
      <w:lang w:val="fr-FR"/>
    </w:rPr>
  </w:style>
  <w:style w:type="paragraph" w:styleId="CompanyName" w:customStyle="1">
    <w:name w:val="Company Name"/>
    <w:basedOn w:val="Normal"/>
    <w:uiPriority w:val="99"/>
    <w:qFormat/>
    <w:rsid w:val="00ea1435"/>
    <w:pPr>
      <w:keepLines/>
      <w:pBdr>
        <w:top w:val="single" w:sz="6" w:space="9" w:color="000000"/>
        <w:left w:val="single" w:sz="6" w:space="9" w:color="000000"/>
        <w:bottom w:val="single" w:sz="6" w:space="9" w:color="000000"/>
        <w:right w:val="single" w:sz="6" w:space="9" w:color="000000"/>
      </w:pBdr>
      <w:shd w:val="solid" w:color="auto" w:fill="auto"/>
      <w:spacing w:lineRule="exact" w:line="320" w:before="0" w:after="0"/>
    </w:pPr>
    <w:rPr>
      <w:rFonts w:ascii="Arial Black" w:hAnsi="Arial Black" w:eastAsia="Times New Roman" w:cs="Times New Roman"/>
      <w:spacing w:val="-15"/>
      <w:sz w:val="32"/>
      <w:szCs w:val="20"/>
    </w:rPr>
  </w:style>
  <w:style w:type="paragraph" w:styleId="Bullet" w:customStyle="1">
    <w:name w:val="bullet"/>
    <w:basedOn w:val="Normal"/>
    <w:uiPriority w:val="99"/>
    <w:qFormat/>
    <w:rsid w:val="00ea1435"/>
    <w:pPr>
      <w:overflowPunct w:val="true"/>
      <w:spacing w:lineRule="auto" w:line="240" w:before="0" w:after="0"/>
      <w:ind w:left="439" w:hanging="259"/>
      <w:jc w:val="both"/>
      <w:textAlignment w:val="baseline"/>
    </w:pPr>
    <w:rPr>
      <w:rFonts w:ascii="Times New Roman" w:hAnsi="Times New Roman" w:eastAsia="Times New Roman" w:cs="Times New Roman"/>
      <w:szCs w:val="20"/>
    </w:rPr>
  </w:style>
  <w:style w:type="paragraph" w:styleId="WWListcumarcatori" w:customStyle="1">
    <w:name w:val="WW-Listă cu marcatori"/>
    <w:basedOn w:val="Normal"/>
    <w:uiPriority w:val="99"/>
    <w:qFormat/>
    <w:rsid w:val="00ea1435"/>
    <w:pPr>
      <w:suppressAutoHyphens w:val="true"/>
      <w:spacing w:lineRule="auto" w:line="240" w:before="0" w:after="0"/>
    </w:pPr>
    <w:rPr>
      <w:rFonts w:ascii="Times New Roman" w:hAnsi="Times New Roman" w:eastAsia="Times New Roman" w:cs="Times New Roman"/>
      <w:sz w:val="20"/>
      <w:szCs w:val="20"/>
      <w:lang w:val="ro-RO" w:eastAsia="ar-SA"/>
    </w:rPr>
  </w:style>
  <w:style w:type="paragraph" w:styleId="WWListacumarcatori2" w:customStyle="1">
    <w:name w:val="WW-Lista cu marcatori 2"/>
    <w:basedOn w:val="Normal"/>
    <w:uiPriority w:val="99"/>
    <w:qFormat/>
    <w:rsid w:val="00ea1435"/>
    <w:pPr>
      <w:suppressAutoHyphens w:val="true"/>
      <w:spacing w:lineRule="auto" w:line="240" w:before="0" w:after="0"/>
    </w:pPr>
    <w:rPr>
      <w:rFonts w:ascii="Times New Roman" w:hAnsi="Times New Roman" w:eastAsia="Times New Roman" w:cs="Times New Roman"/>
      <w:sz w:val="20"/>
      <w:szCs w:val="20"/>
      <w:lang w:val="ro-RO" w:eastAsia="ar-SA"/>
    </w:rPr>
  </w:style>
  <w:style w:type="paragraph" w:styleId="Picture" w:customStyle="1">
    <w:name w:val="Picture"/>
    <w:basedOn w:val="Normal"/>
    <w:uiPriority w:val="99"/>
    <w:qFormat/>
    <w:rsid w:val="00ea1435"/>
    <w:pPr>
      <w:suppressAutoHyphens w:val="true"/>
      <w:spacing w:lineRule="auto" w:line="240" w:before="0" w:after="0"/>
    </w:pPr>
    <w:rPr>
      <w:rFonts w:ascii="Times New Roman" w:hAnsi="Times New Roman" w:eastAsia="Times New Roman" w:cs="Times New Roman"/>
      <w:sz w:val="20"/>
      <w:szCs w:val="20"/>
      <w:lang w:val="ro-RO" w:eastAsia="ar-SA"/>
    </w:rPr>
  </w:style>
  <w:style w:type="paragraph" w:styleId="WWLegend" w:customStyle="1">
    <w:name w:val="WW-Legendă"/>
    <w:basedOn w:val="Normal"/>
    <w:next w:val="Normal"/>
    <w:uiPriority w:val="99"/>
    <w:qFormat/>
    <w:rsid w:val="00ea1435"/>
    <w:pPr>
      <w:suppressAutoHyphens w:val="true"/>
      <w:spacing w:lineRule="auto" w:line="240" w:before="120" w:after="120"/>
    </w:pPr>
    <w:rPr>
      <w:rFonts w:ascii="Times New Roman" w:hAnsi="Times New Roman" w:eastAsia="Times New Roman" w:cs="Times New Roman"/>
      <w:b/>
      <w:bCs/>
      <w:sz w:val="20"/>
      <w:szCs w:val="20"/>
      <w:lang w:val="ro-RO" w:eastAsia="ar-SA"/>
    </w:rPr>
  </w:style>
  <w:style w:type="paragraph" w:styleId="WWIndentcorptext2" w:customStyle="1">
    <w:name w:val="WW-Indent corp text 2"/>
    <w:basedOn w:val="Normal"/>
    <w:uiPriority w:val="99"/>
    <w:qFormat/>
    <w:rsid w:val="00ea1435"/>
    <w:pPr>
      <w:suppressAutoHyphens w:val="true"/>
      <w:spacing w:lineRule="auto" w:line="360" w:before="0" w:after="0"/>
      <w:ind w:left="-540" w:hanging="0"/>
    </w:pPr>
    <w:rPr>
      <w:rFonts w:ascii="Times New Roman" w:hAnsi="Times New Roman" w:eastAsia="Times New Roman" w:cs="Times New Roman"/>
      <w:sz w:val="24"/>
      <w:szCs w:val="20"/>
      <w:lang w:val="ro-RO" w:eastAsia="ar-SA"/>
    </w:rPr>
  </w:style>
  <w:style w:type="paragraph" w:styleId="FrameContents" w:customStyle="1">
    <w:name w:val="Frame Contents"/>
    <w:basedOn w:val="Normal"/>
    <w:qFormat/>
    <w:rsid w:val="00ea1435"/>
    <w:pPr>
      <w:suppressAutoHyphens w:val="true"/>
      <w:spacing w:lineRule="auto" w:line="276" w:before="0" w:after="200"/>
    </w:pPr>
    <w:rPr>
      <w:rFonts w:ascii="Calibri" w:hAnsi="Calibri" w:eastAsia="Times New Roman" w:cs="Times New Roman"/>
      <w:color w:val="00000A"/>
    </w:rPr>
  </w:style>
  <w:style w:type="paragraph" w:styleId="TableHeading" w:customStyle="1">
    <w:name w:val="Table Heading"/>
    <w:basedOn w:val="TableContents"/>
    <w:uiPriority w:val="99"/>
    <w:qFormat/>
    <w:rsid w:val="00ea1435"/>
    <w:pPr>
      <w:jc w:val="center"/>
    </w:pPr>
    <w:rPr>
      <w:rFonts w:eastAsia="Times New Roman"/>
      <w:b/>
      <w:bCs/>
      <w:i/>
      <w:iCs/>
      <w:sz w:val="24"/>
    </w:rPr>
  </w:style>
  <w:style w:type="paragraph" w:styleId="WWPlainText" w:customStyle="1">
    <w:name w:val="WW-Plain Text"/>
    <w:basedOn w:val="Normal"/>
    <w:uiPriority w:val="99"/>
    <w:qFormat/>
    <w:rsid w:val="00ea1435"/>
    <w:pPr>
      <w:suppressAutoHyphens w:val="true"/>
      <w:spacing w:lineRule="auto" w:line="240" w:before="0" w:after="0"/>
    </w:pPr>
    <w:rPr>
      <w:rFonts w:ascii="Courier New" w:hAnsi="Courier New" w:eastAsia="Times New Roman" w:cs="Times New Roman"/>
      <w:sz w:val="20"/>
      <w:szCs w:val="20"/>
    </w:rPr>
  </w:style>
  <w:style w:type="paragraph" w:styleId="ReturnAddress" w:customStyle="1">
    <w:name w:val="Return Address"/>
    <w:basedOn w:val="Normal"/>
    <w:uiPriority w:val="99"/>
    <w:qFormat/>
    <w:rsid w:val="00ea1435"/>
    <w:pPr>
      <w:keepLines/>
      <w:spacing w:lineRule="atLeast" w:line="200" w:before="0" w:after="0"/>
    </w:pPr>
    <w:rPr>
      <w:rFonts w:ascii="Arial" w:hAnsi="Arial" w:eastAsia="Times New Roman" w:cs="Times New Roman"/>
      <w:spacing w:val="-2"/>
      <w:sz w:val="16"/>
      <w:szCs w:val="20"/>
    </w:rPr>
  </w:style>
  <w:style w:type="paragraph" w:styleId="Subcap" w:customStyle="1">
    <w:name w:val="subcap"/>
    <w:basedOn w:val="Normal"/>
    <w:uiPriority w:val="99"/>
    <w:qFormat/>
    <w:rsid w:val="00ea1435"/>
    <w:pPr>
      <w:spacing w:lineRule="auto" w:line="240" w:before="0" w:after="0"/>
      <w:ind w:firstLine="567"/>
    </w:pPr>
    <w:rPr>
      <w:rFonts w:ascii="_Arial" w:hAnsi="_Arial" w:eastAsia="Times New Roman" w:cs="Times New Roman"/>
      <w:b/>
      <w:sz w:val="28"/>
      <w:szCs w:val="20"/>
    </w:rPr>
  </w:style>
  <w:style w:type="paragraph" w:styleId="Body1" w:customStyle="1">
    <w:name w:val="body"/>
    <w:basedOn w:val="TextBody"/>
    <w:uiPriority w:val="99"/>
    <w:qFormat/>
    <w:rsid w:val="00ea1435"/>
    <w:pPr>
      <w:spacing w:before="0" w:after="0"/>
      <w:ind w:left="284" w:right="284" w:firstLine="851"/>
      <w:jc w:val="both"/>
    </w:pPr>
    <w:rPr>
      <w:rFonts w:ascii="_TimesNewRoman" w:hAnsi="_TimesNewRoman" w:eastAsia="Times New Roman"/>
      <w:i/>
      <w:sz w:val="28"/>
      <w:szCs w:val="20"/>
      <w:lang w:val="en-US" w:eastAsia="en-US"/>
    </w:rPr>
  </w:style>
  <w:style w:type="paragraph" w:styleId="Normal1" w:customStyle="1">
    <w:name w:val="Normal 1"/>
    <w:basedOn w:val="Normal"/>
    <w:uiPriority w:val="99"/>
    <w:qFormat/>
    <w:rsid w:val="00ea1435"/>
    <w:pPr>
      <w:spacing w:lineRule="atLeast" w:line="240" w:before="0" w:after="0"/>
      <w:ind w:firstLine="567"/>
      <w:jc w:val="both"/>
    </w:pPr>
    <w:rPr>
      <w:rFonts w:ascii="Times New Roman" w:hAnsi="Times New Roman" w:eastAsia="Times New Roman" w:cs="Times New Roman"/>
      <w:sz w:val="24"/>
      <w:szCs w:val="20"/>
      <w:lang w:val="en-GB"/>
    </w:rPr>
  </w:style>
  <w:style w:type="paragraph" w:styleId="Tabeltext" w:customStyle="1">
    <w:name w:val="Tabel_text"/>
    <w:basedOn w:val="Normal"/>
    <w:uiPriority w:val="99"/>
    <w:qFormat/>
    <w:rsid w:val="00ea1435"/>
    <w:pPr>
      <w:spacing w:lineRule="auto" w:line="240" w:before="0" w:after="0"/>
      <w:jc w:val="both"/>
    </w:pPr>
    <w:rPr>
      <w:rFonts w:ascii="Times New Roman" w:hAnsi="Times New Roman" w:eastAsia="Times New Roman" w:cs="Times New Roman"/>
      <w:sz w:val="24"/>
      <w:szCs w:val="20"/>
    </w:rPr>
  </w:style>
  <w:style w:type="paragraph" w:styleId="Normalromhang" w:customStyle="1">
    <w:name w:val="Normal_rom_hang"/>
    <w:basedOn w:val="Normal"/>
    <w:uiPriority w:val="99"/>
    <w:qFormat/>
    <w:rsid w:val="00ea1435"/>
    <w:pPr>
      <w:spacing w:lineRule="auto" w:line="240" w:before="0" w:after="120"/>
      <w:ind w:left="357" w:hanging="357"/>
      <w:jc w:val="both"/>
    </w:pPr>
    <w:rPr>
      <w:rFonts w:ascii="RomJurnalist" w:hAnsi="RomJurnalist" w:eastAsia="Times New Roman" w:cs="Times New Roman"/>
      <w:spacing w:val="-3"/>
      <w:sz w:val="24"/>
      <w:szCs w:val="20"/>
      <w:lang w:eastAsia="zh-CN"/>
    </w:rPr>
  </w:style>
  <w:style w:type="paragraph" w:styleId="BodyText1" w:customStyle="1">
    <w:name w:val="Body Text1"/>
    <w:basedOn w:val="Normal"/>
    <w:uiPriority w:val="99"/>
    <w:qFormat/>
    <w:rsid w:val="00ea1435"/>
    <w:pPr>
      <w:spacing w:lineRule="auto" w:line="240" w:before="120" w:after="120"/>
    </w:pPr>
    <w:rPr>
      <w:rFonts w:ascii="Times New Roman" w:hAnsi="Times New Roman" w:eastAsia="Times New Roman" w:cs="Times New Roman"/>
      <w:szCs w:val="20"/>
    </w:rPr>
  </w:style>
  <w:style w:type="paragraph" w:styleId="Xl22" w:customStyle="1">
    <w:name w:val="xl22"/>
    <w:basedOn w:val="Normal"/>
    <w:uiPriority w:val="99"/>
    <w:qFormat/>
    <w:rsid w:val="00ea1435"/>
    <w:pPr>
      <w:pBdr>
        <w:left w:val="single" w:sz="4" w:space="0" w:color="000000"/>
        <w:bottom w:val="single" w:sz="4" w:space="0" w:color="000000"/>
        <w:right w:val="single" w:sz="8" w:space="0" w:color="000000"/>
      </w:pBdr>
      <w:spacing w:lineRule="auto" w:line="240" w:beforeAutospacing="1" w:afterAutospacing="1"/>
      <w:jc w:val="right"/>
      <w:textAlignment w:val="top"/>
    </w:pPr>
    <w:rPr>
      <w:rFonts w:ascii="Times New Roman" w:hAnsi="Times New Roman" w:eastAsia="Arial Unicode MS" w:cs="Times New Roman"/>
      <w:b/>
      <w:bCs/>
      <w:sz w:val="24"/>
      <w:szCs w:val="24"/>
      <w:lang w:val="ro-RO" w:eastAsia="ro-RO"/>
    </w:rPr>
  </w:style>
  <w:style w:type="paragraph" w:styleId="Xl24" w:customStyle="1">
    <w:name w:val="xl24"/>
    <w:basedOn w:val="Normal"/>
    <w:uiPriority w:val="99"/>
    <w:qFormat/>
    <w:rsid w:val="00ea1435"/>
    <w:pPr>
      <w:spacing w:lineRule="auto" w:line="240" w:beforeAutospacing="1" w:afterAutospacing="1"/>
    </w:pPr>
    <w:rPr>
      <w:rFonts w:ascii="Arial" w:hAnsi="Arial" w:eastAsia="Arial Unicode MS" w:cs="Arial"/>
      <w:b/>
      <w:bCs/>
      <w:sz w:val="24"/>
      <w:szCs w:val="24"/>
      <w:lang w:val="ro-RO" w:eastAsia="ro-RO"/>
    </w:rPr>
  </w:style>
  <w:style w:type="paragraph" w:styleId="Xl26" w:customStyle="1">
    <w:name w:val="xl26"/>
    <w:basedOn w:val="Normal"/>
    <w:uiPriority w:val="99"/>
    <w:qFormat/>
    <w:rsid w:val="00ea1435"/>
    <w:pPr>
      <w:pBdr>
        <w:top w:val="single" w:sz="4" w:space="0" w:color="000000"/>
        <w:bottom w:val="single" w:sz="4" w:space="0" w:color="000000"/>
      </w:pBdr>
      <w:spacing w:lineRule="auto" w:line="240" w:beforeAutospacing="1" w:afterAutospacing="1"/>
      <w:jc w:val="center"/>
    </w:pPr>
    <w:rPr>
      <w:rFonts w:ascii="Arial" w:hAnsi="Arial" w:eastAsia="Arial Unicode MS" w:cs="Arial"/>
      <w:b/>
      <w:bCs/>
      <w:sz w:val="24"/>
      <w:szCs w:val="24"/>
      <w:lang w:val="ro-RO" w:eastAsia="ro-RO"/>
    </w:rPr>
  </w:style>
  <w:style w:type="paragraph" w:styleId="Xl27" w:customStyle="1">
    <w:name w:val="xl27"/>
    <w:basedOn w:val="Normal"/>
    <w:uiPriority w:val="99"/>
    <w:qFormat/>
    <w:rsid w:val="00ea1435"/>
    <w:pPr>
      <w:pBdr>
        <w:top w:val="single" w:sz="4" w:space="0" w:color="000000"/>
        <w:bottom w:val="single" w:sz="4" w:space="0" w:color="000000"/>
        <w:right w:val="single" w:sz="4" w:space="0" w:color="000000"/>
      </w:pBdr>
      <w:spacing w:lineRule="auto" w:line="240" w:beforeAutospacing="1" w:afterAutospacing="1"/>
      <w:jc w:val="center"/>
    </w:pPr>
    <w:rPr>
      <w:rFonts w:ascii="Arial" w:hAnsi="Arial" w:eastAsia="Arial Unicode MS" w:cs="Arial"/>
      <w:b/>
      <w:bCs/>
      <w:sz w:val="24"/>
      <w:szCs w:val="24"/>
      <w:lang w:val="ro-RO" w:eastAsia="ro-RO"/>
    </w:rPr>
  </w:style>
  <w:style w:type="paragraph" w:styleId="Xl28" w:customStyle="1">
    <w:name w:val="xl28"/>
    <w:basedOn w:val="Normal"/>
    <w:uiPriority w:val="99"/>
    <w:qFormat/>
    <w:rsid w:val="00ea1435"/>
    <w:pPr>
      <w:pBdr>
        <w:top w:val="single" w:sz="8" w:space="0" w:color="000000"/>
        <w:left w:val="single" w:sz="8" w:space="0" w:color="000000"/>
      </w:pBdr>
      <w:spacing w:lineRule="auto" w:line="240" w:beforeAutospacing="1" w:afterAutospacing="1"/>
      <w:jc w:val="center"/>
      <w:textAlignment w:val="top"/>
    </w:pPr>
    <w:rPr>
      <w:rFonts w:ascii="Times New Roman" w:hAnsi="Times New Roman" w:eastAsia="Arial Unicode MS" w:cs="Times New Roman"/>
      <w:b/>
      <w:bCs/>
      <w:sz w:val="24"/>
      <w:szCs w:val="24"/>
      <w:lang w:val="ro-RO" w:eastAsia="ro-RO"/>
    </w:rPr>
  </w:style>
  <w:style w:type="paragraph" w:styleId="Xl29" w:customStyle="1">
    <w:name w:val="xl29"/>
    <w:basedOn w:val="Normal"/>
    <w:uiPriority w:val="99"/>
    <w:qFormat/>
    <w:rsid w:val="00ea1435"/>
    <w:pPr>
      <w:pBdr>
        <w:left w:val="single" w:sz="8" w:space="0" w:color="000000"/>
        <w:bottom w:val="single" w:sz="8" w:space="0" w:color="000000"/>
      </w:pBdr>
      <w:spacing w:lineRule="auto" w:line="240" w:beforeAutospacing="1" w:afterAutospacing="1"/>
      <w:jc w:val="center"/>
      <w:textAlignment w:val="top"/>
    </w:pPr>
    <w:rPr>
      <w:rFonts w:ascii="Times New Roman" w:hAnsi="Times New Roman" w:eastAsia="Arial Unicode MS" w:cs="Times New Roman"/>
      <w:b/>
      <w:bCs/>
      <w:sz w:val="24"/>
      <w:szCs w:val="24"/>
      <w:lang w:val="ro-RO" w:eastAsia="ro-RO"/>
    </w:rPr>
  </w:style>
  <w:style w:type="paragraph" w:styleId="Xl30" w:customStyle="1">
    <w:name w:val="xl30"/>
    <w:basedOn w:val="Normal"/>
    <w:uiPriority w:val="99"/>
    <w:qFormat/>
    <w:rsid w:val="00ea1435"/>
    <w:pPr>
      <w:pBdr>
        <w:bottom w:val="single" w:sz="8" w:space="0" w:color="000000"/>
      </w:pBdr>
      <w:spacing w:lineRule="auto" w:line="240" w:beforeAutospacing="1" w:afterAutospacing="1"/>
      <w:jc w:val="center"/>
      <w:textAlignment w:val="top"/>
    </w:pPr>
    <w:rPr>
      <w:rFonts w:ascii="Times New Roman" w:hAnsi="Times New Roman" w:eastAsia="Arial Unicode MS" w:cs="Times New Roman"/>
      <w:b/>
      <w:bCs/>
      <w:sz w:val="24"/>
      <w:szCs w:val="24"/>
      <w:lang w:val="ro-RO" w:eastAsia="ro-RO"/>
    </w:rPr>
  </w:style>
  <w:style w:type="paragraph" w:styleId="Xl31" w:customStyle="1">
    <w:name w:val="xl31"/>
    <w:basedOn w:val="Normal"/>
    <w:uiPriority w:val="99"/>
    <w:qFormat/>
    <w:rsid w:val="00ea1435"/>
    <w:pPr>
      <w:pBdr>
        <w:bottom w:val="single" w:sz="8" w:space="0" w:color="000000"/>
        <w:right w:val="single" w:sz="8" w:space="0" w:color="000000"/>
      </w:pBdr>
      <w:spacing w:lineRule="auto" w:line="240" w:beforeAutospacing="1" w:afterAutospacing="1"/>
      <w:jc w:val="center"/>
      <w:textAlignment w:val="top"/>
    </w:pPr>
    <w:rPr>
      <w:rFonts w:ascii="Times New Roman" w:hAnsi="Times New Roman" w:eastAsia="Arial Unicode MS" w:cs="Times New Roman"/>
      <w:b/>
      <w:bCs/>
      <w:sz w:val="24"/>
      <w:szCs w:val="24"/>
      <w:lang w:val="ro-RO" w:eastAsia="ro-RO"/>
    </w:rPr>
  </w:style>
  <w:style w:type="paragraph" w:styleId="Xl32" w:customStyle="1">
    <w:name w:val="xl32"/>
    <w:basedOn w:val="Normal"/>
    <w:uiPriority w:val="99"/>
    <w:qFormat/>
    <w:rsid w:val="00ea1435"/>
    <w:pPr>
      <w:pBdr>
        <w:top w:val="single" w:sz="8" w:space="0" w:color="000000"/>
        <w:bottom w:val="single" w:sz="8" w:space="0" w:color="000000"/>
        <w:right w:val="single" w:sz="8" w:space="0" w:color="000000"/>
      </w:pBdr>
      <w:spacing w:lineRule="auto" w:line="240" w:beforeAutospacing="1" w:afterAutospacing="1"/>
      <w:jc w:val="center"/>
      <w:textAlignment w:val="top"/>
    </w:pPr>
    <w:rPr>
      <w:rFonts w:ascii="Times New Roman" w:hAnsi="Times New Roman" w:eastAsia="Arial Unicode MS" w:cs="Times New Roman"/>
      <w:b/>
      <w:bCs/>
      <w:sz w:val="24"/>
      <w:szCs w:val="24"/>
      <w:lang w:val="ro-RO" w:eastAsia="ro-RO"/>
    </w:rPr>
  </w:style>
  <w:style w:type="paragraph" w:styleId="Xl33" w:customStyle="1">
    <w:name w:val="xl33"/>
    <w:basedOn w:val="Normal"/>
    <w:uiPriority w:val="99"/>
    <w:qFormat/>
    <w:rsid w:val="00ea1435"/>
    <w:pPr>
      <w:pBdr>
        <w:top w:val="single" w:sz="8" w:space="0" w:color="000000"/>
        <w:left w:val="single" w:sz="8" w:space="0" w:color="000000"/>
        <w:bottom w:val="single" w:sz="8" w:space="0" w:color="000000"/>
        <w:right w:val="single" w:sz="4" w:space="0" w:color="000000"/>
      </w:pBdr>
      <w:spacing w:lineRule="auto" w:line="240" w:beforeAutospacing="1" w:afterAutospacing="1"/>
      <w:jc w:val="center"/>
      <w:textAlignment w:val="top"/>
    </w:pPr>
    <w:rPr>
      <w:rFonts w:ascii="Times New Roman" w:hAnsi="Times New Roman" w:eastAsia="Arial Unicode MS" w:cs="Times New Roman"/>
      <w:b/>
      <w:bCs/>
      <w:sz w:val="24"/>
      <w:szCs w:val="24"/>
      <w:lang w:val="ro-RO" w:eastAsia="ro-RO"/>
    </w:rPr>
  </w:style>
  <w:style w:type="paragraph" w:styleId="Xl34" w:customStyle="1">
    <w:name w:val="xl34"/>
    <w:basedOn w:val="Normal"/>
    <w:uiPriority w:val="99"/>
    <w:qFormat/>
    <w:rsid w:val="00ea1435"/>
    <w:pPr>
      <w:pBdr>
        <w:top w:val="single" w:sz="8" w:space="0" w:color="000000"/>
        <w:left w:val="single" w:sz="4" w:space="0" w:color="000000"/>
        <w:bottom w:val="single" w:sz="8" w:space="0" w:color="000000"/>
        <w:right w:val="single" w:sz="4" w:space="0" w:color="000000"/>
      </w:pBdr>
      <w:spacing w:lineRule="auto" w:line="240" w:beforeAutospacing="1" w:afterAutospacing="1"/>
      <w:jc w:val="center"/>
      <w:textAlignment w:val="top"/>
    </w:pPr>
    <w:rPr>
      <w:rFonts w:ascii="Times New Roman" w:hAnsi="Times New Roman" w:eastAsia="Arial Unicode MS" w:cs="Times New Roman"/>
      <w:b/>
      <w:bCs/>
      <w:sz w:val="24"/>
      <w:szCs w:val="24"/>
      <w:lang w:val="ro-RO" w:eastAsia="ro-RO"/>
    </w:rPr>
  </w:style>
  <w:style w:type="paragraph" w:styleId="Xl35" w:customStyle="1">
    <w:name w:val="xl35"/>
    <w:basedOn w:val="Normal"/>
    <w:uiPriority w:val="99"/>
    <w:qFormat/>
    <w:rsid w:val="00ea1435"/>
    <w:pPr>
      <w:pBdr>
        <w:top w:val="single" w:sz="8" w:space="0" w:color="000000"/>
        <w:left w:val="single" w:sz="4" w:space="0" w:color="000000"/>
        <w:bottom w:val="single" w:sz="8" w:space="0" w:color="000000"/>
        <w:right w:val="single" w:sz="8" w:space="0" w:color="000000"/>
      </w:pBdr>
      <w:spacing w:lineRule="auto" w:line="240" w:beforeAutospacing="1" w:afterAutospacing="1"/>
      <w:jc w:val="center"/>
      <w:textAlignment w:val="top"/>
    </w:pPr>
    <w:rPr>
      <w:rFonts w:ascii="Times New Roman" w:hAnsi="Times New Roman" w:eastAsia="Arial Unicode MS" w:cs="Times New Roman"/>
      <w:b/>
      <w:bCs/>
      <w:sz w:val="24"/>
      <w:szCs w:val="24"/>
      <w:lang w:val="ro-RO" w:eastAsia="ro-RO"/>
    </w:rPr>
  </w:style>
  <w:style w:type="paragraph" w:styleId="Xl36" w:customStyle="1">
    <w:name w:val="xl36"/>
    <w:basedOn w:val="Normal"/>
    <w:uiPriority w:val="99"/>
    <w:qFormat/>
    <w:rsid w:val="00ea1435"/>
    <w:pPr>
      <w:pBdr>
        <w:left w:val="single" w:sz="8" w:space="0" w:color="000000"/>
        <w:bottom w:val="single" w:sz="4" w:space="0" w:color="000000"/>
      </w:pBdr>
      <w:spacing w:lineRule="auto" w:line="240" w:beforeAutospacing="1" w:afterAutospacing="1"/>
      <w:textAlignment w:val="top"/>
    </w:pPr>
    <w:rPr>
      <w:rFonts w:ascii="Times New Roman" w:hAnsi="Times New Roman" w:eastAsia="Arial Unicode MS" w:cs="Times New Roman"/>
      <w:b/>
      <w:bCs/>
      <w:sz w:val="24"/>
      <w:szCs w:val="24"/>
      <w:lang w:val="ro-RO" w:eastAsia="ro-RO"/>
    </w:rPr>
  </w:style>
  <w:style w:type="paragraph" w:styleId="Xl37" w:customStyle="1">
    <w:name w:val="xl37"/>
    <w:basedOn w:val="Normal"/>
    <w:uiPriority w:val="99"/>
    <w:qFormat/>
    <w:rsid w:val="00ea1435"/>
    <w:pPr>
      <w:pBdr>
        <w:left w:val="single" w:sz="8" w:space="0" w:color="000000"/>
        <w:bottom w:val="single" w:sz="4" w:space="0" w:color="000000"/>
        <w:right w:val="single" w:sz="4" w:space="0" w:color="000000"/>
      </w:pBdr>
      <w:spacing w:lineRule="auto" w:line="240" w:beforeAutospacing="1" w:afterAutospacing="1"/>
      <w:jc w:val="right"/>
      <w:textAlignment w:val="top"/>
    </w:pPr>
    <w:rPr>
      <w:rFonts w:ascii="Times New Roman" w:hAnsi="Times New Roman" w:eastAsia="Arial Unicode MS" w:cs="Times New Roman"/>
      <w:b/>
      <w:bCs/>
      <w:sz w:val="24"/>
      <w:szCs w:val="24"/>
      <w:lang w:val="ro-RO" w:eastAsia="ro-RO"/>
    </w:rPr>
  </w:style>
  <w:style w:type="paragraph" w:styleId="Xl38" w:customStyle="1">
    <w:name w:val="xl38"/>
    <w:basedOn w:val="Normal"/>
    <w:uiPriority w:val="99"/>
    <w:qFormat/>
    <w:rsid w:val="00ea1435"/>
    <w:pPr>
      <w:pBdr>
        <w:left w:val="single" w:sz="4" w:space="0" w:color="000000"/>
        <w:bottom w:val="single" w:sz="4" w:space="0" w:color="000000"/>
        <w:right w:val="single" w:sz="4" w:space="0" w:color="000000"/>
      </w:pBdr>
      <w:spacing w:lineRule="auto" w:line="240" w:beforeAutospacing="1" w:afterAutospacing="1"/>
      <w:jc w:val="right"/>
      <w:textAlignment w:val="top"/>
    </w:pPr>
    <w:rPr>
      <w:rFonts w:ascii="Times New Roman" w:hAnsi="Times New Roman" w:eastAsia="Arial Unicode MS" w:cs="Times New Roman"/>
      <w:b/>
      <w:bCs/>
      <w:sz w:val="24"/>
      <w:szCs w:val="24"/>
      <w:lang w:val="ro-RO" w:eastAsia="ro-RO"/>
    </w:rPr>
  </w:style>
  <w:style w:type="paragraph" w:styleId="Xl39" w:customStyle="1">
    <w:name w:val="xl39"/>
    <w:basedOn w:val="Normal"/>
    <w:uiPriority w:val="99"/>
    <w:qFormat/>
    <w:rsid w:val="00ea1435"/>
    <w:pPr>
      <w:pBdr>
        <w:left w:val="single" w:sz="4" w:space="0" w:color="000000"/>
        <w:bottom w:val="single" w:sz="4" w:space="0" w:color="000000"/>
        <w:right w:val="single" w:sz="8" w:space="0" w:color="000000"/>
      </w:pBdr>
      <w:spacing w:lineRule="auto" w:line="240" w:beforeAutospacing="1" w:afterAutospacing="1"/>
      <w:jc w:val="right"/>
      <w:textAlignment w:val="top"/>
    </w:pPr>
    <w:rPr>
      <w:rFonts w:ascii="Times New Roman" w:hAnsi="Times New Roman" w:eastAsia="Arial Unicode MS" w:cs="Times New Roman"/>
      <w:b/>
      <w:bCs/>
      <w:sz w:val="24"/>
      <w:szCs w:val="24"/>
      <w:lang w:val="ro-RO" w:eastAsia="ro-RO"/>
    </w:rPr>
  </w:style>
  <w:style w:type="paragraph" w:styleId="Logo" w:customStyle="1">
    <w:name w:val="Logo"/>
    <w:basedOn w:val="Normal"/>
    <w:uiPriority w:val="99"/>
    <w:qFormat/>
    <w:rsid w:val="00ea1435"/>
    <w:pPr>
      <w:spacing w:lineRule="auto" w:line="240" w:before="0" w:after="0"/>
    </w:pPr>
    <w:rPr>
      <w:rFonts w:ascii="Times New Roman" w:hAnsi="Times New Roman" w:eastAsia="Times New Roman" w:cs="Times New Roman"/>
      <w:sz w:val="20"/>
      <w:szCs w:val="20"/>
      <w:lang w:val="en-AU"/>
    </w:rPr>
  </w:style>
  <w:style w:type="paragraph" w:styleId="ListBullet">
    <w:name w:val="List Bullet"/>
    <w:basedOn w:val="Normal"/>
    <w:autoRedefine/>
    <w:qFormat/>
    <w:rsid w:val="00ea1435"/>
    <w:pPr>
      <w:spacing w:lineRule="auto" w:line="240" w:before="0" w:after="0"/>
      <w:jc w:val="both"/>
    </w:pPr>
    <w:rPr>
      <w:rFonts w:ascii="Times New Roman" w:hAnsi="Times New Roman" w:eastAsia="Times New Roman" w:cs="Times New Roman"/>
      <w:sz w:val="24"/>
      <w:szCs w:val="20"/>
    </w:rPr>
  </w:style>
  <w:style w:type="paragraph" w:styleId="WWCaption" w:customStyle="1">
    <w:name w:val="WW-Caption"/>
    <w:basedOn w:val="Normal"/>
    <w:uiPriority w:val="99"/>
    <w:qFormat/>
    <w:rsid w:val="00ea1435"/>
    <w:pPr>
      <w:suppressLineNumbers/>
      <w:suppressAutoHyphens w:val="true"/>
      <w:spacing w:lineRule="auto" w:line="240" w:before="120" w:after="120"/>
    </w:pPr>
    <w:rPr>
      <w:rFonts w:ascii="Times New Roman" w:hAnsi="Times New Roman" w:eastAsia="Times New Roman" w:cs="Tahoma"/>
      <w:i/>
      <w:iCs/>
      <w:sz w:val="20"/>
      <w:szCs w:val="20"/>
      <w:lang w:val="ro-RO" w:eastAsia="ar-SA"/>
    </w:rPr>
  </w:style>
  <w:style w:type="paragraph" w:styleId="WWIndex" w:customStyle="1">
    <w:name w:val="WW-Index"/>
    <w:basedOn w:val="Normal"/>
    <w:uiPriority w:val="99"/>
    <w:qFormat/>
    <w:rsid w:val="00ea1435"/>
    <w:pPr>
      <w:suppressLineNumbers/>
      <w:suppressAutoHyphens w:val="true"/>
      <w:spacing w:lineRule="auto" w:line="240" w:before="0" w:after="0"/>
    </w:pPr>
    <w:rPr>
      <w:rFonts w:ascii="Times New Roman" w:hAnsi="Times New Roman" w:eastAsia="Times New Roman" w:cs="Tahoma"/>
      <w:sz w:val="20"/>
      <w:szCs w:val="20"/>
      <w:lang w:val="ro-RO" w:eastAsia="ar-SA"/>
    </w:rPr>
  </w:style>
  <w:style w:type="paragraph" w:styleId="WWHeading" w:customStyle="1">
    <w:name w:val="WW-Heading"/>
    <w:basedOn w:val="Normal"/>
    <w:next w:val="TextBody"/>
    <w:uiPriority w:val="99"/>
    <w:qFormat/>
    <w:rsid w:val="00ea1435"/>
    <w:pPr>
      <w:keepNext w:val="true"/>
      <w:suppressAutoHyphens w:val="true"/>
      <w:spacing w:lineRule="auto" w:line="240" w:before="240" w:after="120"/>
    </w:pPr>
    <w:rPr>
      <w:rFonts w:ascii="Arial" w:hAnsi="Arial" w:eastAsia="Lucida Sans Unicode" w:cs="Tahoma"/>
      <w:sz w:val="28"/>
      <w:szCs w:val="28"/>
      <w:lang w:val="ro-RO" w:eastAsia="ar-SA"/>
    </w:rPr>
  </w:style>
  <w:style w:type="paragraph" w:styleId="WWCaption1" w:customStyle="1">
    <w:name w:val="WW-Caption1"/>
    <w:basedOn w:val="Normal"/>
    <w:uiPriority w:val="99"/>
    <w:qFormat/>
    <w:rsid w:val="00ea1435"/>
    <w:pPr>
      <w:suppressLineNumbers/>
      <w:suppressAutoHyphens w:val="true"/>
      <w:spacing w:lineRule="auto" w:line="240" w:before="120" w:after="120"/>
    </w:pPr>
    <w:rPr>
      <w:rFonts w:ascii="Times New Roman" w:hAnsi="Times New Roman" w:eastAsia="Times New Roman" w:cs="Tahoma"/>
      <w:i/>
      <w:iCs/>
      <w:sz w:val="20"/>
      <w:szCs w:val="20"/>
      <w:lang w:val="ro-RO" w:eastAsia="ar-SA"/>
    </w:rPr>
  </w:style>
  <w:style w:type="paragraph" w:styleId="WWIndex1" w:customStyle="1">
    <w:name w:val="WW-Index1"/>
    <w:basedOn w:val="Normal"/>
    <w:uiPriority w:val="99"/>
    <w:qFormat/>
    <w:rsid w:val="00ea1435"/>
    <w:pPr>
      <w:suppressLineNumbers/>
      <w:suppressAutoHyphens w:val="true"/>
      <w:spacing w:lineRule="auto" w:line="240" w:before="0" w:after="0"/>
    </w:pPr>
    <w:rPr>
      <w:rFonts w:ascii="Times New Roman" w:hAnsi="Times New Roman" w:eastAsia="Times New Roman" w:cs="Tahoma"/>
      <w:sz w:val="20"/>
      <w:szCs w:val="20"/>
      <w:lang w:val="ro-RO" w:eastAsia="ar-SA"/>
    </w:rPr>
  </w:style>
  <w:style w:type="paragraph" w:styleId="WWHeading1" w:customStyle="1">
    <w:name w:val="WW-Heading1"/>
    <w:basedOn w:val="Normal"/>
    <w:next w:val="TextBody"/>
    <w:uiPriority w:val="99"/>
    <w:qFormat/>
    <w:rsid w:val="00ea1435"/>
    <w:pPr>
      <w:keepNext w:val="true"/>
      <w:suppressAutoHyphens w:val="true"/>
      <w:spacing w:lineRule="auto" w:line="240" w:before="240" w:after="120"/>
    </w:pPr>
    <w:rPr>
      <w:rFonts w:ascii="Arial" w:hAnsi="Arial" w:eastAsia="Lucida Sans Unicode" w:cs="Tahoma"/>
      <w:sz w:val="28"/>
      <w:szCs w:val="28"/>
      <w:lang w:val="ro-RO" w:eastAsia="ar-SA"/>
    </w:rPr>
  </w:style>
  <w:style w:type="paragraph" w:styleId="WWTableContents" w:customStyle="1">
    <w:name w:val="WW-Table Contents"/>
    <w:basedOn w:val="TextBody"/>
    <w:uiPriority w:val="99"/>
    <w:qFormat/>
    <w:rsid w:val="00ea1435"/>
    <w:pPr>
      <w:suppressLineNumbers/>
      <w:suppressAutoHyphens w:val="true"/>
      <w:spacing w:before="0" w:after="0"/>
      <w:jc w:val="both"/>
    </w:pPr>
    <w:rPr>
      <w:rFonts w:eastAsia="Times New Roman"/>
      <w:szCs w:val="20"/>
      <w:lang w:eastAsia="ar-SA"/>
    </w:rPr>
  </w:style>
  <w:style w:type="paragraph" w:styleId="WWTableContents1" w:customStyle="1">
    <w:name w:val="WW-Table Contents1"/>
    <w:basedOn w:val="TextBody"/>
    <w:uiPriority w:val="99"/>
    <w:qFormat/>
    <w:rsid w:val="00ea1435"/>
    <w:pPr>
      <w:suppressLineNumbers/>
      <w:suppressAutoHyphens w:val="true"/>
      <w:spacing w:before="0" w:after="0"/>
      <w:jc w:val="both"/>
    </w:pPr>
    <w:rPr>
      <w:rFonts w:eastAsia="Times New Roman"/>
      <w:szCs w:val="20"/>
      <w:lang w:eastAsia="ar-SA"/>
    </w:rPr>
  </w:style>
  <w:style w:type="paragraph" w:styleId="WWTableHeading" w:customStyle="1">
    <w:name w:val="WW-Table Heading"/>
    <w:basedOn w:val="WWTableContents"/>
    <w:uiPriority w:val="99"/>
    <w:qFormat/>
    <w:rsid w:val="00ea1435"/>
    <w:pPr>
      <w:jc w:val="center"/>
    </w:pPr>
    <w:rPr>
      <w:b/>
      <w:bCs/>
      <w:i/>
      <w:iCs/>
    </w:rPr>
  </w:style>
  <w:style w:type="paragraph" w:styleId="WWTableHeading1" w:customStyle="1">
    <w:name w:val="WW-Table Heading1"/>
    <w:basedOn w:val="WWTableContents1"/>
    <w:uiPriority w:val="99"/>
    <w:qFormat/>
    <w:rsid w:val="00ea1435"/>
    <w:pPr>
      <w:jc w:val="center"/>
    </w:pPr>
    <w:rPr>
      <w:b/>
      <w:bCs/>
      <w:i/>
      <w:iCs/>
    </w:rPr>
  </w:style>
  <w:style w:type="paragraph" w:styleId="WWFramecontents" w:customStyle="1">
    <w:name w:val="WW-Frame contents"/>
    <w:basedOn w:val="TextBody"/>
    <w:uiPriority w:val="99"/>
    <w:qFormat/>
    <w:rsid w:val="00ea1435"/>
    <w:pPr>
      <w:suppressAutoHyphens w:val="true"/>
      <w:spacing w:before="0" w:after="0"/>
      <w:jc w:val="both"/>
    </w:pPr>
    <w:rPr>
      <w:rFonts w:eastAsia="Times New Roman"/>
      <w:szCs w:val="20"/>
      <w:lang w:eastAsia="ar-SA"/>
    </w:rPr>
  </w:style>
  <w:style w:type="paragraph" w:styleId="WWFramecontents1" w:customStyle="1">
    <w:name w:val="WW-Frame contents1"/>
    <w:basedOn w:val="TextBody"/>
    <w:uiPriority w:val="99"/>
    <w:qFormat/>
    <w:rsid w:val="00ea1435"/>
    <w:pPr>
      <w:suppressAutoHyphens w:val="true"/>
      <w:spacing w:before="0" w:after="0"/>
      <w:jc w:val="both"/>
    </w:pPr>
    <w:rPr>
      <w:rFonts w:eastAsia="Times New Roman"/>
      <w:szCs w:val="20"/>
      <w:lang w:eastAsia="ar-SA"/>
    </w:rPr>
  </w:style>
  <w:style w:type="paragraph" w:styleId="WWTableContents111" w:customStyle="1">
    <w:name w:val="WW-Table Contents111"/>
    <w:basedOn w:val="TextBody"/>
    <w:uiPriority w:val="99"/>
    <w:qFormat/>
    <w:rsid w:val="00ea1435"/>
    <w:pPr>
      <w:suppressLineNumbers/>
      <w:suppressAutoHyphens w:val="true"/>
      <w:spacing w:before="0" w:after="0"/>
      <w:jc w:val="both"/>
    </w:pPr>
    <w:rPr>
      <w:rFonts w:eastAsia="Times New Roman"/>
      <w:szCs w:val="20"/>
      <w:lang w:eastAsia="ar-SA"/>
    </w:rPr>
  </w:style>
  <w:style w:type="paragraph" w:styleId="WWCaption11" w:customStyle="1">
    <w:name w:val="WW-Caption11"/>
    <w:basedOn w:val="Normal"/>
    <w:next w:val="Normal"/>
    <w:uiPriority w:val="99"/>
    <w:qFormat/>
    <w:rsid w:val="00ea1435"/>
    <w:pPr>
      <w:suppressAutoHyphens w:val="true"/>
      <w:spacing w:lineRule="auto" w:line="240" w:before="0" w:after="0"/>
      <w:jc w:val="both"/>
    </w:pPr>
    <w:rPr>
      <w:rFonts w:ascii="Times New Roman" w:hAnsi="Times New Roman" w:eastAsia="Times New Roman" w:cs="Times New Roman"/>
      <w:b/>
      <w:sz w:val="20"/>
      <w:szCs w:val="20"/>
      <w:lang w:val="ro-RO" w:eastAsia="ar-SA"/>
    </w:rPr>
  </w:style>
  <w:style w:type="paragraph" w:styleId="H41" w:customStyle="1">
    <w:name w:val="h4"/>
    <w:basedOn w:val="Normal"/>
    <w:uiPriority w:val="99"/>
    <w:qFormat/>
    <w:rsid w:val="00ea1435"/>
    <w:pPr>
      <w:widowControl w:val="false"/>
      <w:overflowPunct w:val="true"/>
      <w:spacing w:lineRule="auto" w:line="240" w:before="0" w:after="0"/>
      <w:textAlignment w:val="baseline"/>
    </w:pPr>
    <w:rPr>
      <w:rFonts w:ascii="NewtonC" w:hAnsi="NewtonC" w:eastAsia="Times New Roman" w:cs="Times New Roman"/>
      <w:b/>
      <w:i/>
      <w:sz w:val="24"/>
      <w:szCs w:val="20"/>
      <w:lang w:val="en-GB"/>
    </w:rPr>
  </w:style>
  <w:style w:type="paragraph" w:styleId="BodyCopy" w:customStyle="1">
    <w:name w:val="Body Copy"/>
    <w:basedOn w:val="Normal"/>
    <w:uiPriority w:val="99"/>
    <w:qFormat/>
    <w:rsid w:val="00ea1435"/>
    <w:pPr>
      <w:overflowPunct w:val="true"/>
      <w:spacing w:lineRule="exact" w:line="280" w:before="0" w:after="0"/>
      <w:jc w:val="both"/>
      <w:textAlignment w:val="baseline"/>
    </w:pPr>
    <w:rPr>
      <w:rFonts w:ascii="Times" w:hAnsi="Times" w:eastAsia="Times New Roman" w:cs="Times New Roman"/>
      <w:sz w:val="24"/>
      <w:szCs w:val="20"/>
    </w:rPr>
  </w:style>
  <w:style w:type="paragraph" w:styleId="036" w:customStyle="1">
    <w:name w:val="036"/>
    <w:basedOn w:val="Normal"/>
    <w:next w:val="Normal"/>
    <w:uiPriority w:val="99"/>
    <w:qFormat/>
    <w:rsid w:val="00ea1435"/>
    <w:pPr>
      <w:tabs>
        <w:tab w:val="clear" w:pos="720"/>
        <w:tab w:val="left" w:pos="6560" w:leader="none"/>
        <w:tab w:val="right" w:pos="9380" w:leader="none"/>
      </w:tabs>
      <w:overflowPunct w:val="true"/>
      <w:spacing w:lineRule="atLeast" w:line="280" w:before="0" w:after="560"/>
      <w:textAlignment w:val="baseline"/>
    </w:pPr>
    <w:rPr>
      <w:rFonts w:ascii="Times New Roman" w:hAnsi="Times New Roman" w:eastAsia="Times New Roman" w:cs="Times New Roman"/>
      <w:sz w:val="24"/>
      <w:szCs w:val="20"/>
      <w:lang w:val="nl-NL"/>
    </w:rPr>
  </w:style>
  <w:style w:type="paragraph" w:styleId="IndentedMatter" w:customStyle="1">
    <w:name w:val="Indented Matter"/>
    <w:basedOn w:val="Normal"/>
    <w:uiPriority w:val="99"/>
    <w:qFormat/>
    <w:rsid w:val="00ea1435"/>
    <w:pPr>
      <w:widowControl w:val="false"/>
      <w:overflowPunct w:val="true"/>
      <w:spacing w:lineRule="atLeast" w:line="280" w:before="0" w:after="0"/>
      <w:ind w:left="547" w:hanging="0"/>
      <w:jc w:val="both"/>
      <w:textAlignment w:val="baseline"/>
    </w:pPr>
    <w:rPr>
      <w:rFonts w:ascii="Times New Roman" w:hAnsi="Times New Roman" w:eastAsia="Times New Roman" w:cs="Times New Roman"/>
      <w:sz w:val="24"/>
      <w:szCs w:val="20"/>
    </w:rPr>
  </w:style>
  <w:style w:type="paragraph" w:styleId="Font5" w:customStyle="1">
    <w:name w:val="font5"/>
    <w:basedOn w:val="Normal"/>
    <w:uiPriority w:val="99"/>
    <w:qFormat/>
    <w:rsid w:val="00ea1435"/>
    <w:pPr>
      <w:spacing w:lineRule="auto" w:line="240" w:beforeAutospacing="1" w:afterAutospacing="1"/>
    </w:pPr>
    <w:rPr>
      <w:rFonts w:ascii="Times New Roman" w:hAnsi="Times New Roman" w:eastAsia="Arial Unicode MS" w:cs="Times New Roman"/>
      <w:sz w:val="20"/>
      <w:szCs w:val="20"/>
    </w:rPr>
  </w:style>
  <w:style w:type="paragraph" w:styleId="Heading1txt" w:customStyle="1">
    <w:name w:val="heading1txt"/>
    <w:basedOn w:val="TextBody"/>
    <w:uiPriority w:val="99"/>
    <w:qFormat/>
    <w:rsid w:val="00ea1435"/>
    <w:pPr>
      <w:spacing w:before="120" w:after="120"/>
      <w:jc w:val="both"/>
    </w:pPr>
    <w:rPr>
      <w:rFonts w:eastAsia="Times New Roman"/>
      <w:szCs w:val="20"/>
      <w:lang w:val="en-US" w:eastAsia="en-US"/>
    </w:rPr>
  </w:style>
  <w:style w:type="paragraph" w:styleId="Paragrafo" w:customStyle="1">
    <w:name w:val="paragrafo"/>
    <w:uiPriority w:val="99"/>
    <w:qFormat/>
    <w:rsid w:val="00ea1435"/>
    <w:pPr>
      <w:widowControl/>
      <w:bidi w:val="0"/>
      <w:spacing w:lineRule="auto" w:line="240" w:before="135" w:after="0"/>
      <w:ind w:firstLine="426"/>
      <w:jc w:val="both"/>
    </w:pPr>
    <w:rPr>
      <w:rFonts w:ascii="Times New Roman" w:hAnsi="Times New Roman" w:eastAsia="Times New Roman" w:cs="Times New Roman"/>
      <w:color w:val="auto"/>
      <w:kern w:val="0"/>
      <w:sz w:val="20"/>
      <w:szCs w:val="20"/>
      <w:lang w:val="it-IT" w:eastAsia="it-IT" w:bidi="ar-SA"/>
    </w:rPr>
  </w:style>
  <w:style w:type="paragraph" w:styleId="Tables" w:customStyle="1">
    <w:name w:val="Tables"/>
    <w:basedOn w:val="Normal"/>
    <w:uiPriority w:val="99"/>
    <w:qFormat/>
    <w:rsid w:val="00ea1435"/>
    <w:pPr>
      <w:widowControl w:val="false"/>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spacing w:lineRule="auto" w:line="240" w:before="0" w:after="0"/>
      <w:jc w:val="both"/>
    </w:pPr>
    <w:rPr>
      <w:rFonts w:ascii="Times New Roman" w:hAnsi="Times New Roman" w:eastAsia="Times New Roman" w:cs="Times New Roman"/>
      <w:szCs w:val="20"/>
      <w:lang w:val="en-GB" w:eastAsia="ro-RO"/>
    </w:rPr>
  </w:style>
  <w:style w:type="paragraph" w:styleId="WWIndex11" w:customStyle="1">
    <w:name w:val="WW-Index11"/>
    <w:basedOn w:val="Normal"/>
    <w:uiPriority w:val="99"/>
    <w:qFormat/>
    <w:rsid w:val="00ea1435"/>
    <w:pPr>
      <w:suppressLineNumbers/>
      <w:suppressAutoHyphens w:val="true"/>
      <w:spacing w:lineRule="auto" w:line="240" w:before="0" w:after="0"/>
    </w:pPr>
    <w:rPr>
      <w:rFonts w:ascii="Times New Roman" w:hAnsi="Times New Roman" w:eastAsia="Times New Roman" w:cs="Tahoma"/>
      <w:sz w:val="20"/>
      <w:szCs w:val="20"/>
      <w:lang w:val="ro-RO" w:eastAsia="ar-SA"/>
    </w:rPr>
  </w:style>
  <w:style w:type="paragraph" w:styleId="WWHeading11" w:customStyle="1">
    <w:name w:val="WW-Heading11"/>
    <w:basedOn w:val="Normal"/>
    <w:next w:val="TextBody"/>
    <w:uiPriority w:val="99"/>
    <w:qFormat/>
    <w:rsid w:val="00ea1435"/>
    <w:pPr>
      <w:keepNext w:val="true"/>
      <w:suppressAutoHyphens w:val="true"/>
      <w:spacing w:lineRule="auto" w:line="240" w:before="240" w:after="120"/>
    </w:pPr>
    <w:rPr>
      <w:rFonts w:ascii="Arial" w:hAnsi="Arial" w:eastAsia="Lucida Sans Unicode" w:cs="Tahoma"/>
      <w:sz w:val="28"/>
      <w:szCs w:val="28"/>
      <w:lang w:val="ro-RO" w:eastAsia="ar-SA"/>
    </w:rPr>
  </w:style>
  <w:style w:type="paragraph" w:styleId="WWCaption111" w:customStyle="1">
    <w:name w:val="WW-Caption111"/>
    <w:basedOn w:val="Normal"/>
    <w:uiPriority w:val="99"/>
    <w:qFormat/>
    <w:rsid w:val="00ea1435"/>
    <w:pPr>
      <w:suppressLineNumbers/>
      <w:suppressAutoHyphens w:val="true"/>
      <w:spacing w:lineRule="auto" w:line="240" w:before="120" w:after="120"/>
    </w:pPr>
    <w:rPr>
      <w:rFonts w:ascii="Times New Roman" w:hAnsi="Times New Roman" w:eastAsia="Times New Roman" w:cs="Tahoma"/>
      <w:i/>
      <w:iCs/>
      <w:sz w:val="20"/>
      <w:szCs w:val="20"/>
      <w:lang w:val="ro-RO" w:eastAsia="ar-SA"/>
    </w:rPr>
  </w:style>
  <w:style w:type="paragraph" w:styleId="WWIndex111" w:customStyle="1">
    <w:name w:val="WW-Index111"/>
    <w:basedOn w:val="Normal"/>
    <w:uiPriority w:val="99"/>
    <w:qFormat/>
    <w:rsid w:val="00ea1435"/>
    <w:pPr>
      <w:suppressLineNumbers/>
      <w:suppressAutoHyphens w:val="true"/>
      <w:spacing w:lineRule="auto" w:line="240" w:before="0" w:after="0"/>
    </w:pPr>
    <w:rPr>
      <w:rFonts w:ascii="Times New Roman" w:hAnsi="Times New Roman" w:eastAsia="Times New Roman" w:cs="Tahoma"/>
      <w:sz w:val="20"/>
      <w:szCs w:val="20"/>
      <w:lang w:val="ro-RO" w:eastAsia="ar-SA"/>
    </w:rPr>
  </w:style>
  <w:style w:type="paragraph" w:styleId="WWHeading111" w:customStyle="1">
    <w:name w:val="WW-Heading111"/>
    <w:basedOn w:val="Normal"/>
    <w:next w:val="TextBody"/>
    <w:uiPriority w:val="99"/>
    <w:qFormat/>
    <w:rsid w:val="00ea1435"/>
    <w:pPr>
      <w:keepNext w:val="true"/>
      <w:suppressAutoHyphens w:val="true"/>
      <w:spacing w:lineRule="auto" w:line="240" w:before="240" w:after="120"/>
    </w:pPr>
    <w:rPr>
      <w:rFonts w:ascii="Arial" w:hAnsi="Arial" w:eastAsia="Lucida Sans Unicode" w:cs="Tahoma"/>
      <w:sz w:val="28"/>
      <w:szCs w:val="28"/>
      <w:lang w:val="ro-RO" w:eastAsia="ar-SA"/>
    </w:rPr>
  </w:style>
  <w:style w:type="paragraph" w:styleId="WWIndex1111" w:customStyle="1">
    <w:name w:val="WW-Index1111"/>
    <w:basedOn w:val="Normal"/>
    <w:uiPriority w:val="99"/>
    <w:qFormat/>
    <w:rsid w:val="00ea1435"/>
    <w:pPr>
      <w:suppressLineNumbers/>
      <w:suppressAutoHyphens w:val="true"/>
      <w:spacing w:lineRule="auto" w:line="240" w:before="0" w:after="0"/>
    </w:pPr>
    <w:rPr>
      <w:rFonts w:ascii="Times New Roman" w:hAnsi="Times New Roman" w:eastAsia="Times New Roman" w:cs="Tahoma"/>
      <w:sz w:val="20"/>
      <w:szCs w:val="20"/>
      <w:lang w:val="ro-RO" w:eastAsia="ar-SA"/>
    </w:rPr>
  </w:style>
  <w:style w:type="paragraph" w:styleId="WWHeading1111" w:customStyle="1">
    <w:name w:val="WW-Heading1111"/>
    <w:basedOn w:val="Normal"/>
    <w:next w:val="TextBody"/>
    <w:uiPriority w:val="99"/>
    <w:qFormat/>
    <w:rsid w:val="00ea1435"/>
    <w:pPr>
      <w:keepNext w:val="true"/>
      <w:suppressAutoHyphens w:val="true"/>
      <w:spacing w:lineRule="auto" w:line="240" w:before="240" w:after="120"/>
    </w:pPr>
    <w:rPr>
      <w:rFonts w:ascii="Arial" w:hAnsi="Arial" w:eastAsia="Lucida Sans Unicode" w:cs="Tahoma"/>
      <w:sz w:val="28"/>
      <w:szCs w:val="28"/>
      <w:lang w:val="ro-RO" w:eastAsia="ar-SA"/>
    </w:rPr>
  </w:style>
  <w:style w:type="paragraph" w:styleId="WWFramecontents11" w:customStyle="1">
    <w:name w:val="WW-Frame contents11"/>
    <w:basedOn w:val="TextBody"/>
    <w:uiPriority w:val="99"/>
    <w:qFormat/>
    <w:rsid w:val="00ea1435"/>
    <w:pPr>
      <w:suppressAutoHyphens w:val="true"/>
      <w:spacing w:before="0" w:after="0"/>
      <w:jc w:val="both"/>
    </w:pPr>
    <w:rPr>
      <w:rFonts w:eastAsia="Times New Roman"/>
      <w:szCs w:val="20"/>
      <w:lang w:eastAsia="ar-SA"/>
    </w:rPr>
  </w:style>
  <w:style w:type="paragraph" w:styleId="WWFramecontents111" w:customStyle="1">
    <w:name w:val="WW-Frame contents111"/>
    <w:basedOn w:val="TextBody"/>
    <w:uiPriority w:val="99"/>
    <w:qFormat/>
    <w:rsid w:val="00ea1435"/>
    <w:pPr>
      <w:suppressAutoHyphens w:val="true"/>
      <w:spacing w:before="0" w:after="0"/>
      <w:jc w:val="both"/>
    </w:pPr>
    <w:rPr>
      <w:rFonts w:eastAsia="Times New Roman"/>
      <w:szCs w:val="20"/>
      <w:lang w:eastAsia="ar-SA"/>
    </w:rPr>
  </w:style>
  <w:style w:type="paragraph" w:styleId="WWFramecontents1111" w:customStyle="1">
    <w:name w:val="WW-Frame contents1111"/>
    <w:basedOn w:val="TextBody"/>
    <w:uiPriority w:val="99"/>
    <w:qFormat/>
    <w:rsid w:val="00ea1435"/>
    <w:pPr>
      <w:suppressAutoHyphens w:val="true"/>
      <w:spacing w:before="0" w:after="0"/>
      <w:jc w:val="both"/>
    </w:pPr>
    <w:rPr>
      <w:rFonts w:eastAsia="Times New Roman"/>
      <w:szCs w:val="20"/>
      <w:lang w:eastAsia="ar-SA"/>
    </w:rPr>
  </w:style>
  <w:style w:type="paragraph" w:styleId="WWTableContents11" w:customStyle="1">
    <w:name w:val="WW-Table Contents11"/>
    <w:basedOn w:val="TextBody"/>
    <w:uiPriority w:val="99"/>
    <w:qFormat/>
    <w:rsid w:val="00ea1435"/>
    <w:pPr>
      <w:suppressLineNumbers/>
      <w:suppressAutoHyphens w:val="true"/>
      <w:spacing w:before="0" w:after="0"/>
      <w:jc w:val="both"/>
    </w:pPr>
    <w:rPr>
      <w:rFonts w:eastAsia="Times New Roman"/>
      <w:szCs w:val="20"/>
      <w:lang w:eastAsia="ar-SA"/>
    </w:rPr>
  </w:style>
  <w:style w:type="paragraph" w:styleId="WWTableContents1111" w:customStyle="1">
    <w:name w:val="WW-Table Contents1111"/>
    <w:basedOn w:val="TextBody"/>
    <w:uiPriority w:val="99"/>
    <w:qFormat/>
    <w:rsid w:val="00ea1435"/>
    <w:pPr>
      <w:suppressLineNumbers/>
      <w:suppressAutoHyphens w:val="true"/>
      <w:spacing w:before="0" w:after="0"/>
      <w:jc w:val="both"/>
    </w:pPr>
    <w:rPr>
      <w:rFonts w:eastAsia="Times New Roman"/>
      <w:szCs w:val="20"/>
      <w:lang w:eastAsia="ar-SA"/>
    </w:rPr>
  </w:style>
  <w:style w:type="paragraph" w:styleId="WWTableHeading11" w:customStyle="1">
    <w:name w:val="WW-Table Heading11"/>
    <w:basedOn w:val="WWTableContents11"/>
    <w:uiPriority w:val="99"/>
    <w:qFormat/>
    <w:rsid w:val="00ea1435"/>
    <w:pPr>
      <w:jc w:val="center"/>
    </w:pPr>
    <w:rPr>
      <w:b/>
      <w:bCs/>
      <w:i/>
      <w:iCs/>
    </w:rPr>
  </w:style>
  <w:style w:type="paragraph" w:styleId="Indent1" w:customStyle="1">
    <w:name w:val="Indent"/>
    <w:basedOn w:val="Normal"/>
    <w:uiPriority w:val="99"/>
    <w:qFormat/>
    <w:rsid w:val="00ea1435"/>
    <w:pPr>
      <w:spacing w:lineRule="auto" w:line="240" w:before="0" w:after="0"/>
      <w:ind w:left="720" w:hanging="720"/>
    </w:pPr>
    <w:rPr>
      <w:rFonts w:ascii="Times New Roman" w:hAnsi="Times New Roman" w:eastAsia="Times New Roman" w:cs="Times New Roman"/>
      <w:sz w:val="24"/>
      <w:szCs w:val="24"/>
    </w:rPr>
  </w:style>
  <w:style w:type="paragraph" w:styleId="H2" w:customStyle="1">
    <w:name w:val="H2"/>
    <w:basedOn w:val="Normal"/>
    <w:next w:val="Normal"/>
    <w:uiPriority w:val="99"/>
    <w:qFormat/>
    <w:rsid w:val="00ea1435"/>
    <w:pPr>
      <w:keepNext w:val="true"/>
      <w:spacing w:lineRule="auto" w:line="240" w:before="100" w:after="100"/>
      <w:outlineLvl w:val="2"/>
    </w:pPr>
    <w:rPr>
      <w:rFonts w:ascii="Times New Roman" w:hAnsi="Times New Roman" w:eastAsia="Times New Roman" w:cs="Times New Roman"/>
      <w:b/>
      <w:bCs/>
      <w:sz w:val="36"/>
      <w:szCs w:val="36"/>
    </w:rPr>
  </w:style>
  <w:style w:type="paragraph" w:styleId="Indent21" w:customStyle="1">
    <w:name w:val="Indent 2"/>
    <w:uiPriority w:val="99"/>
    <w:qFormat/>
    <w:rsid w:val="00ea1435"/>
    <w:pPr>
      <w:widowControl/>
      <w:tabs>
        <w:tab w:val="clear" w:pos="720"/>
        <w:tab w:val="left" w:pos="980" w:leader="none"/>
      </w:tabs>
      <w:suppressAutoHyphens w:val="true"/>
      <w:bidi w:val="0"/>
      <w:spacing w:lineRule="atLeast" w:line="240" w:before="0" w:after="60"/>
      <w:ind w:left="980" w:hanging="420"/>
      <w:jc w:val="both"/>
    </w:pPr>
    <w:rPr>
      <w:rFonts w:ascii="Times New Roman" w:hAnsi="Times New Roman" w:eastAsia="Times New Roman" w:cs="Times New Roman"/>
      <w:color w:val="000000"/>
      <w:w w:val="100"/>
      <w:kern w:val="0"/>
      <w:sz w:val="20"/>
      <w:szCs w:val="20"/>
      <w:lang w:val="en-GB" w:eastAsia="en-US" w:bidi="ar-SA"/>
    </w:rPr>
  </w:style>
  <w:style w:type="paragraph" w:styleId="Heading2IMP" w:customStyle="1">
    <w:name w:val="Heading 2_IMP"/>
    <w:basedOn w:val="Normal"/>
    <w:next w:val="Normal"/>
    <w:uiPriority w:val="99"/>
    <w:qFormat/>
    <w:rsid w:val="00ea1435"/>
    <w:pPr>
      <w:suppressAutoHyphens w:val="true"/>
      <w:spacing w:lineRule="auto" w:line="228" w:before="0" w:after="0"/>
      <w:jc w:val="center"/>
    </w:pPr>
    <w:rPr>
      <w:rFonts w:ascii="Arial" w:hAnsi="Arial" w:eastAsia="HG Mincho Light J" w:cs="Times New Roman"/>
      <w:b/>
      <w:sz w:val="24"/>
      <w:szCs w:val="20"/>
    </w:rPr>
  </w:style>
  <w:style w:type="paragraph" w:styleId="Heading1IMP" w:customStyle="1">
    <w:name w:val="Heading 1_IMP"/>
    <w:basedOn w:val="Normal"/>
    <w:next w:val="Normal"/>
    <w:uiPriority w:val="99"/>
    <w:qFormat/>
    <w:rsid w:val="00ea1435"/>
    <w:pPr>
      <w:suppressAutoHyphens w:val="true"/>
      <w:spacing w:lineRule="auto" w:line="228" w:before="0" w:after="0"/>
      <w:jc w:val="center"/>
    </w:pPr>
    <w:rPr>
      <w:rFonts w:ascii="Arial" w:hAnsi="Arial" w:eastAsia="HG Mincho Light J" w:cs="Times New Roman"/>
      <w:sz w:val="24"/>
      <w:szCs w:val="20"/>
    </w:rPr>
  </w:style>
  <w:style w:type="paragraph" w:styleId="TextSubBulet2" w:customStyle="1">
    <w:name w:val="TextSubBulet2"/>
    <w:basedOn w:val="Normal"/>
    <w:uiPriority w:val="99"/>
    <w:qFormat/>
    <w:rsid w:val="00ea1435"/>
    <w:pPr>
      <w:tabs>
        <w:tab w:val="clear" w:pos="720"/>
        <w:tab w:val="left" w:pos="425" w:leader="none"/>
      </w:tabs>
      <w:spacing w:lineRule="auto" w:line="240" w:before="0" w:after="120"/>
      <w:ind w:left="720" w:hanging="0"/>
      <w:jc w:val="both"/>
    </w:pPr>
    <w:rPr>
      <w:rFonts w:ascii="Times New Roman" w:hAnsi="Times New Roman" w:eastAsia="Times New Roman" w:cs="Times New Roman"/>
      <w:sz w:val="24"/>
      <w:szCs w:val="24"/>
      <w:lang w:val="ro-RO"/>
    </w:rPr>
  </w:style>
  <w:style w:type="paragraph" w:styleId="CharCharCharCharCharChar" w:customStyle="1">
    <w:name w:val="Char Char Char Char Char Char"/>
    <w:basedOn w:val="Normal"/>
    <w:uiPriority w:val="99"/>
    <w:qFormat/>
    <w:rsid w:val="00ea1435"/>
    <w:pPr>
      <w:spacing w:lineRule="exact" w:line="240"/>
    </w:pPr>
    <w:rPr>
      <w:rFonts w:ascii="Verdana" w:hAnsi="Verdana" w:eastAsia="Times New Roman" w:cs="Times New Roman"/>
      <w:sz w:val="20"/>
      <w:szCs w:val="20"/>
    </w:rPr>
  </w:style>
  <w:style w:type="paragraph" w:styleId="CharCharCharCharCharCharCharCharCharCharCharChar" w:customStyle="1">
    <w:name w:val="Char Char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1CharCharCharCharCharCharCharCharCharCharCharCharCharChar" w:customStyle="1">
    <w:name w:val="Char Char Char Char Char Char1 Char Char Char Char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CharCharCharCharCharCharCharCharCharCharCharChar" w:customStyle="1">
    <w:name w:val="Char Char Char Char Char Char Char Char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Char" w:customStyle="1">
    <w:name w:val="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CharCharCharCharChar" w:customStyle="1">
    <w:name w:val="Char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CharCharCharCharCharCharCharCharCharCharCharCharCharCharCharCharChar" w:customStyle="1">
    <w:name w:val="Char Char Char Char Char Char Char Char Char Char Char Char Char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CharCharCharCharCharChar1CharCharCharCharCharCharCharCharCharCharCharCharCharCharChar" w:customStyle="1">
    <w:name w:val="Char Char Char Char Char Char Char Char Char Char Char Char1 Char Char Char Char Char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CharCharCharChar1CharCharCharCharCharCharCharCharCharChar" w:customStyle="1">
    <w:name w:val="Char Char Char Char Char Char Char Char Char Char1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CharCharCharChar1CharCharCharCharCharCharCharCharCharCharCharCharCharCharCharChar" w:customStyle="1">
    <w:name w:val="Char Char Char Char Char Char Char Char Char Char1 Char Char Char Char Char Char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CharCharCharCharCharCharCharCharCharCharCharCharChar" w:customStyle="1">
    <w:name w:val="Char Char Char Char Char Char Char Char Char Char Char Char Char Char Char Char Char"/>
    <w:basedOn w:val="Normal"/>
    <w:uiPriority w:val="99"/>
    <w:qFormat/>
    <w:rsid w:val="00ea1435"/>
    <w:pPr>
      <w:spacing w:lineRule="exact" w:line="240"/>
    </w:pPr>
    <w:rPr>
      <w:rFonts w:ascii="Verdana" w:hAnsi="Verdana" w:eastAsia="Times New Roman" w:cs="Times New Roman"/>
      <w:sz w:val="20"/>
      <w:szCs w:val="20"/>
      <w:lang w:val="ro-RO"/>
    </w:rPr>
  </w:style>
  <w:style w:type="paragraph" w:styleId="CharCharCharCharCharCharCharCharCharCharCharCharCharCharCharCharCharCharCharChar" w:customStyle="1">
    <w:name w:val="Char Char Char Char Char Char Char Char Char Char Char Char Char Char Char Char Char Char Char Char"/>
    <w:basedOn w:val="Normal"/>
    <w:uiPriority w:val="99"/>
    <w:qFormat/>
    <w:rsid w:val="00ea1435"/>
    <w:pPr>
      <w:spacing w:lineRule="exact" w:line="240"/>
    </w:pPr>
    <w:rPr>
      <w:rFonts w:ascii="Verdana" w:hAnsi="Verdana" w:eastAsia="Times New Roman" w:cs="Times New Roman"/>
      <w:sz w:val="20"/>
      <w:szCs w:val="20"/>
      <w:lang w:val="ro-RO"/>
    </w:rPr>
  </w:style>
  <w:style w:type="paragraph" w:styleId="CharCharCharCharCharCharCharCharCharCharCaracterCharCaracterChar" w:customStyle="1">
    <w:name w:val="Char Char Char Char Char Char Char Char Char Char Caracter Char Caracte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Xl41" w:customStyle="1">
    <w:name w:val="xl41"/>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DocumentLabel" w:customStyle="1">
    <w:name w:val="Document Label"/>
    <w:basedOn w:val="Normal"/>
    <w:uiPriority w:val="99"/>
    <w:qFormat/>
    <w:rsid w:val="00ea1435"/>
    <w:pPr>
      <w:keepNext w:val="true"/>
      <w:keepLines/>
      <w:spacing w:lineRule="atLeast" w:line="240" w:before="400" w:after="120"/>
      <w:ind w:left="-840" w:hanging="0"/>
    </w:pPr>
    <w:rPr>
      <w:rFonts w:ascii="Arial Black" w:hAnsi="Arial Black" w:eastAsia="Times New Roman" w:cs="Times New Roman"/>
      <w:spacing w:val="-100"/>
      <w:kern w:val="2"/>
      <w:sz w:val="108"/>
      <w:szCs w:val="20"/>
    </w:rPr>
  </w:style>
  <w:style w:type="paragraph" w:styleId="MessageHeader">
    <w:name w:val="Message Header"/>
    <w:basedOn w:val="TextBody"/>
    <w:link w:val="MessageHeaderChar"/>
    <w:qFormat/>
    <w:rsid w:val="00ea1435"/>
    <w:pPr>
      <w:keepLines/>
      <w:tabs>
        <w:tab w:val="left" w:pos="720" w:leader="none"/>
        <w:tab w:val="left" w:pos="4320" w:leader="none"/>
        <w:tab w:val="left" w:pos="5040" w:leader="none"/>
        <w:tab w:val="right" w:pos="8640" w:leader="none"/>
      </w:tabs>
      <w:spacing w:lineRule="atLeast" w:line="440" w:before="0" w:after="40"/>
      <w:ind w:left="720" w:hanging="720"/>
    </w:pPr>
    <w:rPr>
      <w:rFonts w:ascii="Arial" w:hAnsi="Arial" w:eastAsia="Times New Roman"/>
      <w:spacing w:val="-5"/>
      <w:sz w:val="26"/>
      <w:szCs w:val="20"/>
      <w:lang w:val="en-US" w:eastAsia="en-US"/>
    </w:rPr>
  </w:style>
  <w:style w:type="paragraph" w:styleId="MessageHeaderFirst" w:customStyle="1">
    <w:name w:val="Message Header First"/>
    <w:basedOn w:val="MessageHeader"/>
    <w:next w:val="MessageHeader"/>
    <w:uiPriority w:val="99"/>
    <w:qFormat/>
    <w:rsid w:val="00ea1435"/>
    <w:pPr/>
    <w:rPr/>
  </w:style>
  <w:style w:type="paragraph" w:styleId="Xl42" w:customStyle="1">
    <w:name w:val="xl42"/>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43" w:customStyle="1">
    <w:name w:val="xl43"/>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44" w:customStyle="1">
    <w:name w:val="xl44"/>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45" w:customStyle="1">
    <w:name w:val="xl45"/>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46" w:customStyle="1">
    <w:name w:val="xl46"/>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47" w:customStyle="1">
    <w:name w:val="xl47"/>
    <w:basedOn w:val="Normal"/>
    <w:uiPriority w:val="99"/>
    <w:qFormat/>
    <w:rsid w:val="00ea1435"/>
    <w:pPr>
      <w:pBdr>
        <w:top w:val="single" w:sz="4" w:space="0" w:color="000000"/>
        <w:left w:val="single" w:sz="4" w:space="0" w:color="000000"/>
        <w:bottom w:val="single" w:sz="4" w:space="0" w:color="000000"/>
        <w:right w:val="single" w:sz="4" w:space="0" w:color="000000"/>
      </w:pBdr>
      <w:shd w:val="clear" w:color="FFFFFF" w:fill="99CCFF"/>
      <w:spacing w:lineRule="auto" w:line="240" w:beforeAutospacing="1" w:afterAutospacing="1"/>
    </w:pPr>
    <w:rPr>
      <w:rFonts w:ascii="Arial Unicode MS" w:hAnsi="Arial Unicode MS" w:eastAsia="Arial Unicode MS" w:cs="Arial Unicode MS"/>
      <w:sz w:val="24"/>
      <w:szCs w:val="24"/>
      <w:lang w:val="ro-RO" w:eastAsia="ro-RO"/>
    </w:rPr>
  </w:style>
  <w:style w:type="paragraph" w:styleId="Xl48" w:customStyle="1">
    <w:name w:val="xl48"/>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49" w:customStyle="1">
    <w:name w:val="xl49"/>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0" w:customStyle="1">
    <w:name w:val="xl50"/>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1" w:customStyle="1">
    <w:name w:val="xl51"/>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2" w:customStyle="1">
    <w:name w:val="xl52"/>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3" w:customStyle="1">
    <w:name w:val="xl53"/>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4" w:customStyle="1">
    <w:name w:val="xl54"/>
    <w:basedOn w:val="Normal"/>
    <w:uiPriority w:val="99"/>
    <w:qFormat/>
    <w:rsid w:val="00ea1435"/>
    <w:pPr>
      <w:pBdr>
        <w:top w:val="single" w:sz="4" w:space="0" w:color="000000"/>
        <w:left w:val="single" w:sz="4" w:space="0" w:color="000000"/>
        <w:bottom w:val="single" w:sz="4" w:space="0" w:color="000000"/>
        <w:right w:val="single" w:sz="4" w:space="0" w:color="000000"/>
      </w:pBdr>
      <w:shd w:val="clear" w:color="FFFFFF" w:fill="FFFF00"/>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5" w:customStyle="1">
    <w:name w:val="xl55"/>
    <w:basedOn w:val="Normal"/>
    <w:uiPriority w:val="99"/>
    <w:qFormat/>
    <w:rsid w:val="00ea1435"/>
    <w:pPr>
      <w:pBdr>
        <w:top w:val="single" w:sz="4" w:space="0" w:color="000000"/>
        <w:left w:val="single" w:sz="4" w:space="0" w:color="000000"/>
        <w:bottom w:val="single" w:sz="4" w:space="0" w:color="000000"/>
        <w:right w:val="single" w:sz="4" w:space="0" w:color="000000"/>
      </w:pBdr>
      <w:shd w:val="clear" w:color="FFFFFF" w:fill="FFFF00"/>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6" w:customStyle="1">
    <w:name w:val="xl56"/>
    <w:basedOn w:val="Normal"/>
    <w:uiPriority w:val="99"/>
    <w:qFormat/>
    <w:rsid w:val="00ea1435"/>
    <w:pPr>
      <w:pBdr>
        <w:top w:val="single" w:sz="4" w:space="0" w:color="000000"/>
        <w:left w:val="single" w:sz="4" w:space="0" w:color="000000"/>
        <w:bottom w:val="single" w:sz="4" w:space="0" w:color="000000"/>
        <w:right w:val="single" w:sz="4" w:space="0" w:color="000000"/>
      </w:pBdr>
      <w:shd w:val="clear" w:color="FFFFFF" w:fill="FFFF00"/>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7" w:customStyle="1">
    <w:name w:val="xl57"/>
    <w:basedOn w:val="Normal"/>
    <w:uiPriority w:val="99"/>
    <w:qFormat/>
    <w:rsid w:val="00ea1435"/>
    <w:pPr>
      <w:pBdr>
        <w:top w:val="single" w:sz="4" w:space="0" w:color="000000"/>
        <w:left w:val="single" w:sz="4" w:space="0" w:color="000000"/>
        <w:bottom w:val="single" w:sz="4" w:space="0" w:color="000000"/>
        <w:right w:val="single" w:sz="4" w:space="0" w:color="000000"/>
      </w:pBdr>
      <w:shd w:val="clear" w:color="FFFFFF" w:fill="FFFF00"/>
      <w:spacing w:lineRule="auto" w:line="240" w:beforeAutospacing="1" w:afterAutospacing="1"/>
    </w:pPr>
    <w:rPr>
      <w:rFonts w:ascii="Arial Unicode MS" w:hAnsi="Arial Unicode MS" w:eastAsia="Arial Unicode MS" w:cs="Arial Unicode MS"/>
      <w:sz w:val="24"/>
      <w:szCs w:val="24"/>
      <w:lang w:val="ro-RO" w:eastAsia="ro-RO"/>
    </w:rPr>
  </w:style>
  <w:style w:type="paragraph" w:styleId="Xl59" w:customStyle="1">
    <w:name w:val="xl59"/>
    <w:basedOn w:val="Normal"/>
    <w:uiPriority w:val="99"/>
    <w:qFormat/>
    <w:rsid w:val="00ea1435"/>
    <w:pPr>
      <w:pBdr>
        <w:top w:val="single" w:sz="4" w:space="0" w:color="000000"/>
        <w:left w:val="single" w:sz="4" w:space="0" w:color="000000"/>
        <w:bottom w:val="single" w:sz="4" w:space="0" w:color="000000"/>
        <w:right w:val="single" w:sz="4" w:space="0" w:color="000000"/>
      </w:pBdr>
      <w:shd w:val="clear" w:color="FFFFFF" w:fill="FFFF00"/>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0" w:customStyle="1">
    <w:name w:val="xl60"/>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1" w:customStyle="1">
    <w:name w:val="xl61"/>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2" w:customStyle="1">
    <w:name w:val="xl62"/>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3" w:customStyle="1">
    <w:name w:val="xl63"/>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4" w:customStyle="1">
    <w:name w:val="xl64"/>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5" w:customStyle="1">
    <w:name w:val="xl65"/>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6" w:customStyle="1">
    <w:name w:val="xl66"/>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7" w:customStyle="1">
    <w:name w:val="xl67"/>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8" w:customStyle="1">
    <w:name w:val="xl68"/>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69" w:customStyle="1">
    <w:name w:val="xl69"/>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70" w:customStyle="1">
    <w:name w:val="xl70"/>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Xl71" w:customStyle="1">
    <w:name w:val="xl71"/>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Font6" w:customStyle="1">
    <w:name w:val="font6"/>
    <w:basedOn w:val="Normal"/>
    <w:uiPriority w:val="99"/>
    <w:qFormat/>
    <w:rsid w:val="00ea1435"/>
    <w:pPr>
      <w:spacing w:lineRule="auto" w:line="240" w:beforeAutospacing="1" w:afterAutospacing="1"/>
    </w:pPr>
    <w:rPr>
      <w:rFonts w:ascii="Times New Roman" w:hAnsi="Times New Roman" w:eastAsia="Arial Unicode MS" w:cs="Times New Roman"/>
      <w:sz w:val="24"/>
      <w:szCs w:val="24"/>
      <w:lang w:val="ro-RO" w:eastAsia="ro-RO"/>
    </w:rPr>
  </w:style>
  <w:style w:type="paragraph" w:styleId="Bodytext211" w:customStyle="1">
    <w:name w:val="bodytext21"/>
    <w:basedOn w:val="Normal"/>
    <w:uiPriority w:val="99"/>
    <w:qFormat/>
    <w:rsid w:val="00ea1435"/>
    <w:pPr>
      <w:spacing w:lineRule="auto" w:line="240" w:beforeAutospacing="1" w:afterAutospacing="1"/>
    </w:pPr>
    <w:rPr>
      <w:rFonts w:ascii="Arial Unicode MS" w:hAnsi="Arial Unicode MS" w:eastAsia="Arial Unicode MS" w:cs="Arial Unicode MS"/>
      <w:sz w:val="24"/>
      <w:szCs w:val="24"/>
      <w:lang w:val="ro-RO" w:eastAsia="ro-RO"/>
    </w:rPr>
  </w:style>
  <w:style w:type="paragraph" w:styleId="CharChar14CharCharChar" w:customStyle="1">
    <w:name w:val="Char Char14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3CharCharCharCharCharCharCharChar" w:customStyle="1">
    <w:name w:val="Char3 Char Char Char Char Char Char Char Char"/>
    <w:basedOn w:val="Normal"/>
    <w:uiPriority w:val="99"/>
    <w:qFormat/>
    <w:rsid w:val="00ea1435"/>
    <w:pPr>
      <w:spacing w:lineRule="exact" w:line="240"/>
    </w:pPr>
    <w:rPr>
      <w:rFonts w:ascii="Tahoma" w:hAnsi="Tahoma" w:eastAsia="Times New Roman" w:cs="Times New Roman"/>
      <w:sz w:val="20"/>
      <w:szCs w:val="20"/>
      <w:lang w:val="ro-RO"/>
    </w:rPr>
  </w:style>
  <w:style w:type="paragraph" w:styleId="CharCharCharCharCharCharCharCharCharCharCaracterCharCaracterChar1" w:customStyle="1">
    <w:name w:val="Char Char Char Char Char Char Char Char Char Char Caracter Char Caracter Char1"/>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DefaultParagraphFontParaChar" w:customStyle="1">
    <w:name w:val="Default Paragraph Font Para Char"/>
    <w:basedOn w:val="Normal"/>
    <w:uiPriority w:val="99"/>
    <w:qFormat/>
    <w:rsid w:val="00ea1435"/>
    <w:pPr>
      <w:spacing w:lineRule="exact" w:line="240"/>
    </w:pPr>
    <w:rPr>
      <w:rFonts w:ascii="Verdana" w:hAnsi="Verdana" w:eastAsia="Times New Roman" w:cs="Times New Roman"/>
      <w:sz w:val="20"/>
      <w:szCs w:val="20"/>
      <w:lang w:val="ro-RO"/>
    </w:rPr>
  </w:style>
  <w:style w:type="paragraph" w:styleId="Texte0" w:customStyle="1">
    <w:name w:val="Texte 0"/>
    <w:basedOn w:val="Normal"/>
    <w:link w:val="Texte0Car"/>
    <w:qFormat/>
    <w:rsid w:val="00ea1435"/>
    <w:pPr>
      <w:spacing w:lineRule="auto" w:line="240" w:before="120" w:after="120"/>
      <w:ind w:left="113" w:right="57" w:hanging="0"/>
      <w:jc w:val="both"/>
    </w:pPr>
    <w:rPr>
      <w:rFonts w:ascii="TimesNewRoman" w:hAnsi="TimesNewRoman" w:eastAsia="Times New Roman" w:cs="TimesNewRoman"/>
      <w:lang w:val="en-GB" w:eastAsia="fr-FR"/>
    </w:rPr>
  </w:style>
  <w:style w:type="paragraph" w:styleId="Textbox" w:customStyle="1">
    <w:name w:val="Text_box"/>
    <w:basedOn w:val="Normal"/>
    <w:uiPriority w:val="99"/>
    <w:qFormat/>
    <w:rsid w:val="00ea1435"/>
    <w:pPr>
      <w:spacing w:lineRule="auto" w:line="240" w:before="0" w:after="0"/>
    </w:pPr>
    <w:rPr>
      <w:rFonts w:ascii="Times New Roman" w:hAnsi="Times New Roman" w:eastAsia="Times New Roman" w:cs="Times New Roman"/>
      <w:sz w:val="20"/>
      <w:szCs w:val="20"/>
      <w:lang w:val="ro-RO"/>
    </w:rPr>
  </w:style>
  <w:style w:type="paragraph" w:styleId="CharCharCharCharCharCharCharCharCharCharCharCharCharCharCharCharCharCharCharCharCharCharCharCharCharCharChar" w:customStyle="1">
    <w:name w:val="Char Char Char Char Char Char Char Char Char Char Char Char Char Char Char Char Char Char Char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Style21" w:customStyle="1">
    <w:name w:val="style2"/>
    <w:basedOn w:val="Normal"/>
    <w:uiPriority w:val="99"/>
    <w:qFormat/>
    <w:rsid w:val="00ea1435"/>
    <w:pPr>
      <w:spacing w:lineRule="atLeast" w:line="300" w:beforeAutospacing="1" w:afterAutospacing="1"/>
    </w:pPr>
    <w:rPr>
      <w:rFonts w:ascii="Arial" w:hAnsi="Arial" w:eastAsia="Times New Roman" w:cs="Arial"/>
      <w:b/>
      <w:bCs/>
      <w:color w:val="000000"/>
      <w:sz w:val="14"/>
      <w:szCs w:val="14"/>
    </w:rPr>
  </w:style>
  <w:style w:type="paragraph" w:styleId="CharChar1CharCharChar" w:customStyle="1">
    <w:name w:val="Char Char1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MELegal3" w:customStyle="1">
    <w:name w:val="ME Legal 3"/>
    <w:basedOn w:val="Normal"/>
    <w:next w:val="Normal"/>
    <w:uiPriority w:val="99"/>
    <w:qFormat/>
    <w:rsid w:val="00ea1435"/>
    <w:pPr>
      <w:tabs>
        <w:tab w:val="clear" w:pos="720"/>
        <w:tab w:val="left" w:pos="1840" w:leader="none"/>
      </w:tabs>
      <w:spacing w:lineRule="auto" w:line="240" w:before="0" w:after="240"/>
      <w:ind w:left="1840" w:hanging="850"/>
      <w:outlineLvl w:val="2"/>
    </w:pPr>
    <w:rPr>
      <w:rFonts w:ascii="Times New Roman" w:hAnsi="Times New Roman" w:eastAsia="Times New Roman" w:cs="Times New Roman"/>
      <w:sz w:val="20"/>
      <w:szCs w:val="20"/>
      <w:lang w:val="en-AU"/>
    </w:rPr>
  </w:style>
  <w:style w:type="paragraph" w:styleId="MELegal4" w:customStyle="1">
    <w:name w:val="ME Legal 4"/>
    <w:basedOn w:val="Normal"/>
    <w:next w:val="Normal"/>
    <w:uiPriority w:val="99"/>
    <w:qFormat/>
    <w:rsid w:val="00ea1435"/>
    <w:pPr>
      <w:tabs>
        <w:tab w:val="clear" w:pos="720"/>
        <w:tab w:val="left" w:pos="2552" w:leader="none"/>
      </w:tabs>
      <w:spacing w:lineRule="auto" w:line="240" w:before="0" w:after="240"/>
      <w:ind w:left="2552" w:hanging="851"/>
      <w:outlineLvl w:val="3"/>
    </w:pPr>
    <w:rPr>
      <w:rFonts w:ascii="Times New (W1)" w:hAnsi="Times New (W1)" w:eastAsia="Times New Roman" w:cs="Times New Roman"/>
      <w:sz w:val="20"/>
      <w:szCs w:val="20"/>
      <w:lang w:val="en-AU"/>
    </w:rPr>
  </w:style>
  <w:style w:type="paragraph" w:styleId="MELegal5" w:customStyle="1">
    <w:name w:val="ME Legal 5"/>
    <w:basedOn w:val="Normal"/>
    <w:next w:val="Normal"/>
    <w:uiPriority w:val="99"/>
    <w:qFormat/>
    <w:rsid w:val="00ea1435"/>
    <w:pPr>
      <w:tabs>
        <w:tab w:val="clear" w:pos="720"/>
        <w:tab w:val="left" w:pos="3402" w:leader="none"/>
      </w:tabs>
      <w:spacing w:lineRule="auto" w:line="240" w:before="0" w:after="240"/>
      <w:ind w:left="3402" w:hanging="850"/>
      <w:outlineLvl w:val="4"/>
    </w:pPr>
    <w:rPr>
      <w:rFonts w:ascii="Times New Roman" w:hAnsi="Times New Roman" w:eastAsia="Times New Roman" w:cs="Times New Roman"/>
      <w:sz w:val="24"/>
      <w:szCs w:val="20"/>
      <w:lang w:val="en-AU"/>
    </w:rPr>
  </w:style>
  <w:style w:type="paragraph" w:styleId="MELegal2" w:customStyle="1">
    <w:name w:val="ME Legal 2"/>
    <w:basedOn w:val="Normal"/>
    <w:next w:val="Normal"/>
    <w:uiPriority w:val="99"/>
    <w:qFormat/>
    <w:rsid w:val="00ea1435"/>
    <w:pPr>
      <w:tabs>
        <w:tab w:val="clear" w:pos="720"/>
        <w:tab w:val="left" w:pos="851" w:leader="none"/>
      </w:tabs>
      <w:spacing w:lineRule="auto" w:line="240" w:before="0" w:after="240"/>
      <w:ind w:left="851" w:hanging="851"/>
      <w:outlineLvl w:val="1"/>
    </w:pPr>
    <w:rPr>
      <w:rFonts w:ascii="Times New Roman" w:hAnsi="Times New Roman" w:eastAsia="Times New Roman" w:cs="Times New Roman"/>
      <w:sz w:val="20"/>
      <w:szCs w:val="20"/>
      <w:lang w:val="en-AU"/>
    </w:rPr>
  </w:style>
  <w:style w:type="paragraph" w:styleId="MELegal6" w:customStyle="1">
    <w:name w:val="ME Legal 6"/>
    <w:basedOn w:val="Normal"/>
    <w:next w:val="Normal"/>
    <w:uiPriority w:val="99"/>
    <w:qFormat/>
    <w:rsid w:val="00ea1435"/>
    <w:pPr>
      <w:tabs>
        <w:tab w:val="clear" w:pos="720"/>
        <w:tab w:val="left" w:pos="4253" w:leader="none"/>
      </w:tabs>
      <w:spacing w:lineRule="auto" w:line="240" w:before="0" w:after="240"/>
      <w:ind w:left="4253" w:hanging="851"/>
      <w:outlineLvl w:val="5"/>
    </w:pPr>
    <w:rPr>
      <w:rFonts w:ascii="Times New Roman" w:hAnsi="Times New Roman" w:eastAsia="Times New Roman" w:cs="Times New Roman"/>
      <w:sz w:val="24"/>
      <w:szCs w:val="20"/>
      <w:lang w:val="en-AU"/>
    </w:rPr>
  </w:style>
  <w:style w:type="paragraph" w:styleId="MELegal1" w:customStyle="1">
    <w:name w:val="ME Legal 1"/>
    <w:basedOn w:val="Normal"/>
    <w:next w:val="Normal"/>
    <w:uiPriority w:val="99"/>
    <w:qFormat/>
    <w:rsid w:val="00ea1435"/>
    <w:pPr>
      <w:keepNext w:val="true"/>
      <w:keepLines/>
      <w:tabs>
        <w:tab w:val="clear" w:pos="720"/>
        <w:tab w:val="left" w:pos="851" w:leader="none"/>
      </w:tabs>
      <w:spacing w:lineRule="auto" w:line="240" w:before="0" w:after="240"/>
      <w:ind w:left="851" w:hanging="851"/>
      <w:outlineLvl w:val="0"/>
    </w:pPr>
    <w:rPr>
      <w:rFonts w:ascii="Times New Roman Bold" w:hAnsi="Times New Roman Bold" w:eastAsia="Times New Roman" w:cs="Times New Roman"/>
      <w:b/>
      <w:sz w:val="20"/>
      <w:szCs w:val="20"/>
      <w:lang w:val="en-AU"/>
    </w:rPr>
  </w:style>
  <w:style w:type="paragraph" w:styleId="MELegal7" w:customStyle="1">
    <w:name w:val="ME Legal 7"/>
    <w:basedOn w:val="Normal"/>
    <w:next w:val="Normal"/>
    <w:uiPriority w:val="99"/>
    <w:qFormat/>
    <w:rsid w:val="00ea1435"/>
    <w:pPr>
      <w:tabs>
        <w:tab w:val="clear" w:pos="720"/>
        <w:tab w:val="left" w:pos="5103" w:leader="none"/>
      </w:tabs>
      <w:spacing w:lineRule="auto" w:line="240" w:before="0" w:after="240"/>
      <w:ind w:left="5103" w:hanging="850"/>
      <w:outlineLvl w:val="6"/>
    </w:pPr>
    <w:rPr>
      <w:rFonts w:ascii="Times New Roman" w:hAnsi="Times New Roman" w:eastAsia="Times New Roman" w:cs="Times New Roman"/>
      <w:sz w:val="24"/>
      <w:szCs w:val="20"/>
      <w:lang w:val="en-AU"/>
    </w:rPr>
  </w:style>
  <w:style w:type="paragraph" w:styleId="Ch3list" w:customStyle="1">
    <w:name w:val="Ch3_list"/>
    <w:basedOn w:val="Normal"/>
    <w:uiPriority w:val="99"/>
    <w:qFormat/>
    <w:rsid w:val="00ea1435"/>
    <w:pPr>
      <w:spacing w:lineRule="auto" w:line="240" w:before="0" w:after="0"/>
      <w:jc w:val="both"/>
    </w:pPr>
    <w:rPr>
      <w:rFonts w:ascii="Times New Roman" w:hAnsi="Times New Roman" w:eastAsia="Times New Roman" w:cs="Times New Roman"/>
      <w:sz w:val="24"/>
      <w:szCs w:val="20"/>
      <w:lang w:val="hu-HU" w:eastAsia="hu-HU"/>
    </w:rPr>
  </w:style>
  <w:style w:type="paragraph" w:styleId="Ch3listfk" w:customStyle="1">
    <w:name w:val="Ch3_list_fk"/>
    <w:basedOn w:val="Ch3list"/>
    <w:uiPriority w:val="99"/>
    <w:qFormat/>
    <w:rsid w:val="00ea1435"/>
    <w:pPr/>
    <w:rPr>
      <w:b/>
      <w:lang w:val="en-GB"/>
    </w:rPr>
  </w:style>
  <w:style w:type="paragraph" w:styleId="Ch3listA" w:customStyle="1">
    <w:name w:val="Ch3_list _A"/>
    <w:basedOn w:val="Ch3list"/>
    <w:uiPriority w:val="99"/>
    <w:qFormat/>
    <w:rsid w:val="00ea1435"/>
    <w:pPr/>
    <w:rPr>
      <w:u w:val="single"/>
    </w:rPr>
  </w:style>
  <w:style w:type="paragraph" w:styleId="Default11" w:customStyle="1">
    <w:name w:val="Default1"/>
    <w:basedOn w:val="Normal"/>
    <w:next w:val="Normal"/>
    <w:uiPriority w:val="99"/>
    <w:qFormat/>
    <w:rsid w:val="00ea1435"/>
    <w:pPr>
      <w:spacing w:lineRule="auto" w:line="240" w:before="0" w:after="0"/>
    </w:pPr>
    <w:rPr>
      <w:rFonts w:ascii="Times New Roman" w:hAnsi="Times New Roman" w:eastAsia="Times New Roman" w:cs="Times New Roman"/>
      <w:sz w:val="24"/>
      <w:szCs w:val="24"/>
    </w:rPr>
  </w:style>
  <w:style w:type="paragraph" w:styleId="CharCharChar1Char" w:customStyle="1">
    <w:name w:val="Char Char Char1 Char"/>
    <w:basedOn w:val="Normal"/>
    <w:uiPriority w:val="99"/>
    <w:qFormat/>
    <w:rsid w:val="00ea1435"/>
    <w:pPr>
      <w:spacing w:lineRule="exact" w:line="240"/>
    </w:pPr>
    <w:rPr>
      <w:rFonts w:ascii="Tahoma" w:hAnsi="Tahoma" w:eastAsia="Times New Roman" w:cs="Times New Roman"/>
      <w:sz w:val="20"/>
      <w:szCs w:val="20"/>
      <w:lang w:val="ro-RO"/>
    </w:rPr>
  </w:style>
  <w:style w:type="paragraph" w:styleId="CharCharCharCharCharCharCharCharCharChar1CharCharCharCharCharCharCharCharCharCharCharCharCharCharCharChar1CharCharCharCharCharCharCharChar" w:customStyle="1">
    <w:name w:val="Char Char Char Char Char Char Char Char Char Char1 Char Char Char Char Char Char Char Char Char Char Char Char Char Char Char Char1 Char Char Char Cha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ManualNumPar1" w:customStyle="1">
    <w:name w:val="Manual NumPar 1"/>
    <w:basedOn w:val="Normal"/>
    <w:next w:val="Normal"/>
    <w:uiPriority w:val="99"/>
    <w:qFormat/>
    <w:rsid w:val="00ea1435"/>
    <w:pPr>
      <w:spacing w:lineRule="auto" w:line="360" w:before="120" w:after="120"/>
      <w:ind w:left="850" w:hanging="850"/>
    </w:pPr>
    <w:rPr>
      <w:rFonts w:ascii="Times New Roman" w:hAnsi="Times New Roman" w:eastAsia="Times New Roman" w:cs="Times New Roman"/>
      <w:sz w:val="24"/>
      <w:szCs w:val="20"/>
      <w:lang w:val="en-GB" w:eastAsia="zh-CN"/>
    </w:rPr>
  </w:style>
  <w:style w:type="paragraph" w:styleId="ManualNumPar2" w:customStyle="1">
    <w:name w:val="Manual NumPar 2"/>
    <w:basedOn w:val="Normal"/>
    <w:next w:val="Normal"/>
    <w:uiPriority w:val="99"/>
    <w:qFormat/>
    <w:rsid w:val="00ea1435"/>
    <w:pPr>
      <w:spacing w:lineRule="auto" w:line="360" w:before="120" w:after="120"/>
      <w:ind w:left="850" w:hanging="850"/>
    </w:pPr>
    <w:rPr>
      <w:rFonts w:ascii="Times New Roman" w:hAnsi="Times New Roman" w:eastAsia="Times New Roman" w:cs="Times New Roman"/>
      <w:sz w:val="24"/>
      <w:szCs w:val="20"/>
      <w:lang w:val="en-GB" w:eastAsia="zh-CN"/>
    </w:rPr>
  </w:style>
  <w:style w:type="paragraph" w:styleId="Ln2acttitlu" w:customStyle="1">
    <w:name w:val="ln2acttitlu"/>
    <w:basedOn w:val="Normal"/>
    <w:uiPriority w:val="99"/>
    <w:qFormat/>
    <w:rsid w:val="00ea1435"/>
    <w:pPr>
      <w:spacing w:lineRule="auto" w:line="240" w:beforeAutospacing="1" w:afterAutospacing="1"/>
      <w:jc w:val="center"/>
    </w:pPr>
    <w:rPr>
      <w:rFonts w:ascii="Arial" w:hAnsi="Arial" w:eastAsia="Times New Roman" w:cs="Arial"/>
      <w:color w:val="000010"/>
    </w:rPr>
  </w:style>
  <w:style w:type="paragraph" w:styleId="SectionTitle" w:customStyle="1">
    <w:name w:val="SectionTitle"/>
    <w:basedOn w:val="Normal"/>
    <w:next w:val="Heading1"/>
    <w:uiPriority w:val="99"/>
    <w:qFormat/>
    <w:rsid w:val="00ea1435"/>
    <w:pPr>
      <w:keepNext w:val="true"/>
      <w:spacing w:lineRule="auto" w:line="360" w:before="120" w:after="360"/>
      <w:jc w:val="center"/>
    </w:pPr>
    <w:rPr>
      <w:rFonts w:ascii="Times New Roman" w:hAnsi="Times New Roman" w:eastAsia="Times New Roman" w:cs="Times New Roman"/>
      <w:b/>
      <w:smallCaps/>
      <w:sz w:val="28"/>
      <w:szCs w:val="20"/>
      <w:lang w:val="en-GB" w:eastAsia="zh-CN"/>
    </w:rPr>
  </w:style>
  <w:style w:type="paragraph" w:styleId="Titrearticle" w:customStyle="1">
    <w:name w:val="Titre article"/>
    <w:basedOn w:val="Normal"/>
    <w:next w:val="Normal"/>
    <w:uiPriority w:val="99"/>
    <w:qFormat/>
    <w:rsid w:val="00ea1435"/>
    <w:pPr>
      <w:keepNext w:val="true"/>
      <w:spacing w:lineRule="auto" w:line="360" w:before="360" w:after="120"/>
      <w:jc w:val="center"/>
    </w:pPr>
    <w:rPr>
      <w:rFonts w:ascii="Times New Roman" w:hAnsi="Times New Roman" w:eastAsia="Times New Roman" w:cs="Times New Roman"/>
      <w:i/>
      <w:sz w:val="24"/>
      <w:szCs w:val="20"/>
      <w:lang w:val="en-GB" w:eastAsia="zh-CN"/>
    </w:rPr>
  </w:style>
  <w:style w:type="paragraph" w:styleId="Point0" w:customStyle="1">
    <w:name w:val="Point 0"/>
    <w:basedOn w:val="Normal"/>
    <w:uiPriority w:val="99"/>
    <w:qFormat/>
    <w:rsid w:val="00ea1435"/>
    <w:pPr>
      <w:spacing w:lineRule="auto" w:line="360" w:before="120" w:after="120"/>
      <w:ind w:left="850" w:hanging="850"/>
    </w:pPr>
    <w:rPr>
      <w:rFonts w:ascii="Times New Roman" w:hAnsi="Times New Roman" w:eastAsia="Times New Roman" w:cs="Times New Roman"/>
      <w:sz w:val="24"/>
      <w:szCs w:val="20"/>
      <w:lang w:val="en-GB" w:eastAsia="zh-CN"/>
    </w:rPr>
  </w:style>
  <w:style w:type="paragraph" w:styleId="ListContinue">
    <w:name w:val="List Continue"/>
    <w:basedOn w:val="Normal"/>
    <w:qFormat/>
    <w:rsid w:val="00ea1435"/>
    <w:pPr>
      <w:spacing w:lineRule="auto" w:line="240" w:before="0" w:after="120"/>
      <w:ind w:left="360" w:hanging="0"/>
    </w:pPr>
    <w:rPr>
      <w:rFonts w:ascii="Times New Roman" w:hAnsi="Times New Roman" w:eastAsia="Times New Roman" w:cs="Times New Roman"/>
      <w:sz w:val="24"/>
      <w:szCs w:val="24"/>
      <w:lang w:val="en-GB"/>
    </w:rPr>
  </w:style>
  <w:style w:type="paragraph" w:styleId="Annexetitreacte" w:customStyle="1">
    <w:name w:val="Annexe titre (acte)"/>
    <w:basedOn w:val="Normal"/>
    <w:next w:val="Normal"/>
    <w:uiPriority w:val="99"/>
    <w:qFormat/>
    <w:rsid w:val="00ea1435"/>
    <w:pPr>
      <w:spacing w:lineRule="auto" w:line="360" w:before="120" w:after="120"/>
      <w:jc w:val="center"/>
    </w:pPr>
    <w:rPr>
      <w:rFonts w:ascii="Times New Roman" w:hAnsi="Times New Roman" w:eastAsia="Times New Roman" w:cs="Times New Roman"/>
      <w:b/>
      <w:sz w:val="24"/>
      <w:szCs w:val="20"/>
      <w:u w:val="single"/>
      <w:lang w:val="en-GB" w:eastAsia="zh-CN"/>
    </w:rPr>
  </w:style>
  <w:style w:type="paragraph" w:styleId="Text1" w:customStyle="1">
    <w:name w:val="Text 1"/>
    <w:basedOn w:val="Normal"/>
    <w:uiPriority w:val="99"/>
    <w:qFormat/>
    <w:rsid w:val="00ea1435"/>
    <w:pPr>
      <w:spacing w:lineRule="auto" w:line="240" w:before="120" w:after="120"/>
      <w:ind w:left="850" w:hanging="0"/>
      <w:jc w:val="both"/>
    </w:pPr>
    <w:rPr>
      <w:rFonts w:ascii="Times New Roman" w:hAnsi="Times New Roman" w:eastAsia="Times New Roman" w:cs="Times New Roman"/>
      <w:sz w:val="24"/>
      <w:szCs w:val="20"/>
      <w:lang w:val="en-GB" w:eastAsia="zh-CN"/>
    </w:rPr>
  </w:style>
  <w:style w:type="paragraph" w:styleId="Point1Caracter" w:customStyle="1">
    <w:name w:val="Point 1 Caracter"/>
    <w:basedOn w:val="Normal"/>
    <w:link w:val="Point1CaracterCaracter"/>
    <w:qFormat/>
    <w:rsid w:val="00ea1435"/>
    <w:pPr>
      <w:spacing w:lineRule="auto" w:line="360" w:before="120" w:after="120"/>
      <w:ind w:left="1417" w:hanging="567"/>
    </w:pPr>
    <w:rPr>
      <w:rFonts w:ascii="Times New Roman" w:hAnsi="Times New Roman" w:eastAsia="SimSun" w:cs="Times New Roman"/>
      <w:sz w:val="24"/>
      <w:szCs w:val="24"/>
      <w:lang w:val="en-GB" w:eastAsia="zh-CN"/>
    </w:rPr>
  </w:style>
  <w:style w:type="paragraph" w:styleId="Point1" w:customStyle="1">
    <w:name w:val="Point 1"/>
    <w:basedOn w:val="Normal"/>
    <w:link w:val="Point1Char"/>
    <w:qFormat/>
    <w:rsid w:val="00ea1435"/>
    <w:pPr>
      <w:spacing w:lineRule="auto" w:line="360" w:before="120" w:after="120"/>
      <w:ind w:left="1417" w:hanging="567"/>
    </w:pPr>
    <w:rPr>
      <w:rFonts w:ascii="Times New Roman" w:hAnsi="Times New Roman" w:eastAsia="Times New Roman" w:cs="Times New Roman"/>
      <w:sz w:val="24"/>
      <w:szCs w:val="20"/>
      <w:lang w:val="en-GB"/>
    </w:rPr>
  </w:style>
  <w:style w:type="paragraph" w:styleId="QuotedText" w:customStyle="1">
    <w:name w:val="Quoted Text"/>
    <w:basedOn w:val="Normal"/>
    <w:uiPriority w:val="99"/>
    <w:qFormat/>
    <w:rsid w:val="00ea1435"/>
    <w:pPr>
      <w:spacing w:lineRule="auto" w:line="360" w:before="120" w:after="120"/>
      <w:ind w:left="1417" w:hanging="0"/>
    </w:pPr>
    <w:rPr>
      <w:rFonts w:ascii="Times New Roman" w:hAnsi="Times New Roman" w:eastAsia="Times New Roman" w:cs="Times New Roman"/>
      <w:sz w:val="24"/>
      <w:szCs w:val="20"/>
      <w:lang w:val="en-GB"/>
    </w:rPr>
  </w:style>
  <w:style w:type="paragraph" w:styleId="Point2" w:customStyle="1">
    <w:name w:val="Point 2"/>
    <w:basedOn w:val="Normal"/>
    <w:uiPriority w:val="99"/>
    <w:qFormat/>
    <w:rsid w:val="00ea1435"/>
    <w:pPr>
      <w:spacing w:lineRule="auto" w:line="360" w:before="120" w:after="120"/>
      <w:ind w:left="1984" w:hanging="567"/>
    </w:pPr>
    <w:rPr>
      <w:rFonts w:ascii="Times New Roman" w:hAnsi="Times New Roman" w:eastAsia="Times New Roman" w:cs="Times New Roman"/>
      <w:sz w:val="24"/>
      <w:szCs w:val="20"/>
      <w:lang w:val="en-GB"/>
    </w:rPr>
  </w:style>
  <w:style w:type="paragraph" w:styleId="Datedadoption" w:customStyle="1">
    <w:name w:val="Date d'adoption"/>
    <w:basedOn w:val="Normal"/>
    <w:next w:val="Titreobjet"/>
    <w:link w:val="DatedadoptionChar"/>
    <w:qFormat/>
    <w:rsid w:val="00ea1435"/>
    <w:pPr>
      <w:spacing w:lineRule="auto" w:line="360" w:before="360" w:after="0"/>
      <w:jc w:val="center"/>
    </w:pPr>
    <w:rPr>
      <w:rFonts w:ascii="Times New Roman" w:hAnsi="Times New Roman" w:eastAsia="Times New Roman" w:cs="Times New Roman"/>
      <w:b/>
      <w:sz w:val="24"/>
      <w:szCs w:val="20"/>
      <w:lang w:val="en-GB"/>
    </w:rPr>
  </w:style>
  <w:style w:type="paragraph" w:styleId="Titreobjet" w:customStyle="1">
    <w:name w:val="Titre objet"/>
    <w:basedOn w:val="Normal"/>
    <w:next w:val="Normal"/>
    <w:uiPriority w:val="99"/>
    <w:qFormat/>
    <w:rsid w:val="00ea1435"/>
    <w:pPr>
      <w:spacing w:lineRule="auto" w:line="360" w:before="360" w:after="360"/>
      <w:jc w:val="center"/>
    </w:pPr>
    <w:rPr>
      <w:rFonts w:ascii="Times New Roman" w:hAnsi="Times New Roman" w:eastAsia="Times New Roman" w:cs="Times New Roman"/>
      <w:b/>
      <w:sz w:val="24"/>
      <w:szCs w:val="20"/>
      <w:lang w:val="en-GB"/>
    </w:rPr>
  </w:style>
  <w:style w:type="paragraph" w:styleId="Typedudocument" w:customStyle="1">
    <w:name w:val="Type du document"/>
    <w:basedOn w:val="Normal"/>
    <w:next w:val="Datedadoption"/>
    <w:uiPriority w:val="99"/>
    <w:qFormat/>
    <w:rsid w:val="00ea1435"/>
    <w:pPr>
      <w:spacing w:lineRule="auto" w:line="360" w:before="360" w:after="0"/>
      <w:jc w:val="center"/>
    </w:pPr>
    <w:rPr>
      <w:rFonts w:ascii="Times New Roman" w:hAnsi="Times New Roman" w:eastAsia="Times New Roman" w:cs="Times New Roman"/>
      <w:b/>
      <w:sz w:val="24"/>
      <w:szCs w:val="20"/>
      <w:lang w:val="en-GB"/>
    </w:rPr>
  </w:style>
  <w:style w:type="paragraph" w:styleId="DCCTitlu" w:customStyle="1">
    <w:name w:val="DCCTitlu"/>
    <w:basedOn w:val="Normal"/>
    <w:uiPriority w:val="99"/>
    <w:qFormat/>
    <w:rsid w:val="00ea1435"/>
    <w:pPr>
      <w:suppressAutoHyphens w:val="true"/>
      <w:spacing w:lineRule="auto" w:line="240" w:before="120" w:after="120"/>
      <w:ind w:left="2160" w:hanging="2160"/>
      <w:jc w:val="both"/>
    </w:pPr>
    <w:rPr>
      <w:rFonts w:ascii="Times New Roman" w:hAnsi="Times New Roman" w:eastAsia="Times New Roman" w:cs="Century Gothic"/>
      <w:b/>
      <w:sz w:val="24"/>
      <w:szCs w:val="20"/>
      <w:lang w:val="it-IT" w:eastAsia="ar-SA"/>
    </w:rPr>
  </w:style>
  <w:style w:type="paragraph" w:styleId="CharCharCharCharCharCharCharCharCharCharCaracterCharCaracterCharCharCharChar" w:customStyle="1">
    <w:name w:val="Char Char Char Char Char Char Char Char Char Char Caracter Char Caracter Char Char Char Char"/>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harCharCharChar" w:customStyle="1">
    <w:name w:val="Char Char Char Char"/>
    <w:basedOn w:val="Normal"/>
    <w:uiPriority w:val="99"/>
    <w:qFormat/>
    <w:rsid w:val="00ea1435"/>
    <w:pPr>
      <w:spacing w:lineRule="exact" w:line="240"/>
    </w:pPr>
    <w:rPr>
      <w:rFonts w:ascii="Tahoma" w:hAnsi="Tahoma" w:eastAsia="Times New Roman" w:cs="Times New Roman"/>
      <w:sz w:val="20"/>
      <w:szCs w:val="20"/>
      <w:lang w:val="ro-RO"/>
    </w:rPr>
  </w:style>
  <w:style w:type="paragraph" w:styleId="Char2" w:customStyle="1">
    <w:name w:val="Char2"/>
    <w:basedOn w:val="Normal"/>
    <w:uiPriority w:val="99"/>
    <w:qFormat/>
    <w:rsid w:val="00ea1435"/>
    <w:pPr>
      <w:spacing w:lineRule="exact" w:line="240"/>
    </w:pPr>
    <w:rPr>
      <w:rFonts w:ascii="Tahoma" w:hAnsi="Tahoma" w:eastAsia="Times New Roman" w:cs="Times New Roman"/>
      <w:sz w:val="20"/>
      <w:szCs w:val="20"/>
      <w:lang w:val="ro-RO"/>
    </w:rPr>
  </w:style>
  <w:style w:type="paragraph" w:styleId="CharCharCharCharCharCharCharCharCharCharCaracterCharCaracterCharCharCharChar1" w:customStyle="1">
    <w:name w:val="Char Char Char Char Char Char Char Char Char Char Caracter Char Caracter Char Char Char Char1"/>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M14" w:customStyle="1">
    <w:name w:val="CM14"/>
    <w:basedOn w:val="Default"/>
    <w:next w:val="Default"/>
    <w:uiPriority w:val="99"/>
    <w:qFormat/>
    <w:rsid w:val="00ea1435"/>
    <w:pPr>
      <w:widowControl w:val="false"/>
    </w:pPr>
    <w:rPr>
      <w:rFonts w:ascii="Times New Roman" w:hAnsi="Times New Roman" w:cs="Times New Roman"/>
      <w:color w:val="auto"/>
    </w:rPr>
  </w:style>
  <w:style w:type="paragraph" w:styleId="CM13" w:customStyle="1">
    <w:name w:val="CM13"/>
    <w:basedOn w:val="Default"/>
    <w:next w:val="Default"/>
    <w:uiPriority w:val="99"/>
    <w:qFormat/>
    <w:rsid w:val="00ea1435"/>
    <w:pPr>
      <w:widowControl w:val="false"/>
    </w:pPr>
    <w:rPr>
      <w:rFonts w:ascii="Times New Roman" w:hAnsi="Times New Roman" w:cs="Times New Roman"/>
      <w:color w:val="auto"/>
    </w:rPr>
  </w:style>
  <w:style w:type="paragraph" w:styleId="Style7" w:customStyle="1">
    <w:name w:val="Style7"/>
    <w:basedOn w:val="Normal"/>
    <w:uiPriority w:val="99"/>
    <w:qFormat/>
    <w:rsid w:val="00ea1435"/>
    <w:pPr>
      <w:widowControl w:val="false"/>
      <w:spacing w:lineRule="exact" w:line="274" w:before="0" w:after="0"/>
      <w:jc w:val="both"/>
    </w:pPr>
    <w:rPr>
      <w:rFonts w:ascii="Times New Roman" w:hAnsi="Times New Roman" w:eastAsia="Times New Roman" w:cs="Times New Roman"/>
      <w:sz w:val="24"/>
      <w:szCs w:val="24"/>
    </w:rPr>
  </w:style>
  <w:style w:type="paragraph" w:styleId="CharChar14CharCharChar1" w:customStyle="1">
    <w:name w:val="Char Char14 Char Char Char1"/>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BodyTextIndent21" w:customStyle="1">
    <w:name w:val="Body Text Indent 21"/>
    <w:basedOn w:val="Normal"/>
    <w:uiPriority w:val="99"/>
    <w:qFormat/>
    <w:rsid w:val="00ea1435"/>
    <w:pPr>
      <w:suppressAutoHyphens w:val="true"/>
      <w:spacing w:lineRule="auto" w:line="240" w:before="0" w:after="0"/>
      <w:ind w:firstLine="720"/>
      <w:jc w:val="both"/>
    </w:pPr>
    <w:rPr>
      <w:rFonts w:ascii="Times New Roman" w:hAnsi="Times New Roman" w:eastAsia="Times New Roman" w:cs="Times New Roman"/>
      <w:sz w:val="28"/>
      <w:szCs w:val="20"/>
      <w:lang w:eastAsia="ar-SA"/>
    </w:rPr>
  </w:style>
  <w:style w:type="paragraph" w:styleId="BalloonText1" w:customStyle="1">
    <w:name w:val="Balloon Text1"/>
    <w:basedOn w:val="Normal"/>
    <w:uiPriority w:val="99"/>
    <w:qFormat/>
    <w:rsid w:val="00ea1435"/>
    <w:pPr>
      <w:suppressAutoHyphens w:val="true"/>
      <w:spacing w:lineRule="auto" w:line="240" w:before="0" w:after="0"/>
    </w:pPr>
    <w:rPr>
      <w:rFonts w:ascii="Tahoma" w:hAnsi="Tahoma" w:eastAsia="Times New Roman" w:cs="Tahoma"/>
      <w:sz w:val="16"/>
      <w:szCs w:val="16"/>
      <w:lang w:val="ro-RO" w:eastAsia="ar-SA"/>
    </w:rPr>
  </w:style>
  <w:style w:type="paragraph" w:styleId="CharCharCharCharCharCharCharCharCharCharCaracterCharCaracterCharChar1" w:customStyle="1">
    <w:name w:val="Char Char Char Char Char Char Char Char Char Char Caracter Char Caracter Char Char1"/>
    <w:basedOn w:val="Normal"/>
    <w:uiPriority w:val="99"/>
    <w:qFormat/>
    <w:rsid w:val="00ea1435"/>
    <w:pPr>
      <w:suppressAutoHyphens w:val="true"/>
      <w:spacing w:lineRule="auto" w:line="240" w:before="0" w:after="0"/>
    </w:pPr>
    <w:rPr>
      <w:rFonts w:ascii="Times New Roman" w:hAnsi="Times New Roman" w:eastAsia="MS Mincho" w:cs="Times New Roman"/>
      <w:sz w:val="24"/>
      <w:szCs w:val="24"/>
      <w:lang w:val="pl-PL" w:eastAsia="ar-SA"/>
    </w:rPr>
  </w:style>
  <w:style w:type="paragraph" w:styleId="Body2" w:customStyle="1">
    <w:name w:val="_Body"/>
    <w:basedOn w:val="Normal"/>
    <w:uiPriority w:val="99"/>
    <w:qFormat/>
    <w:rsid w:val="00ea1435"/>
    <w:pPr>
      <w:tabs>
        <w:tab w:val="clear" w:pos="720"/>
      </w:tabs>
      <w:spacing w:lineRule="auto" w:line="240" w:before="0" w:after="200"/>
      <w:ind w:left="0" w:hanging="0"/>
      <w:jc w:val="both"/>
    </w:pPr>
    <w:rPr>
      <w:rFonts w:ascii="Arial" w:hAnsi="Arial" w:eastAsia="SC STKaiti" w:cs="Times New Roman"/>
      <w:sz w:val="20"/>
      <w:szCs w:val="24"/>
      <w:lang w:val="en-GB" w:eastAsia="zh-CN"/>
    </w:rPr>
  </w:style>
  <w:style w:type="paragraph" w:styleId="Date">
    <w:name w:val="Date"/>
    <w:basedOn w:val="Body2"/>
    <w:next w:val="Body2"/>
    <w:link w:val="DateChar"/>
    <w:qFormat/>
    <w:rsid w:val="00ea1435"/>
    <w:pPr>
      <w:spacing w:before="120" w:after="240"/>
    </w:pPr>
    <w:rPr>
      <w:sz w:val="16"/>
    </w:rPr>
  </w:style>
  <w:style w:type="paragraph" w:styleId="CharCharChar1Char1" w:customStyle="1">
    <w:name w:val="Char Char Char1 Char1"/>
    <w:basedOn w:val="Normal"/>
    <w:uiPriority w:val="99"/>
    <w:qFormat/>
    <w:rsid w:val="00ea1435"/>
    <w:pPr>
      <w:spacing w:lineRule="exact" w:line="240"/>
    </w:pPr>
    <w:rPr>
      <w:rFonts w:ascii="Tahoma" w:hAnsi="Tahoma" w:eastAsia="Times New Roman" w:cs="Times New Roman"/>
      <w:sz w:val="20"/>
      <w:szCs w:val="20"/>
      <w:lang w:val="ro-RO"/>
    </w:rPr>
  </w:style>
  <w:style w:type="paragraph" w:styleId="Char11" w:customStyle="1">
    <w:name w:val="Char11"/>
    <w:basedOn w:val="Normal"/>
    <w:uiPriority w:val="99"/>
    <w:qFormat/>
    <w:rsid w:val="00ea1435"/>
    <w:pPr>
      <w:suppressAutoHyphens w:val="true"/>
      <w:spacing w:lineRule="exact" w:line="240"/>
    </w:pPr>
    <w:rPr>
      <w:rFonts w:ascii="Verdana" w:hAnsi="Verdana" w:eastAsia="Times New Roman" w:cs="Times New Roman"/>
      <w:sz w:val="20"/>
      <w:szCs w:val="20"/>
      <w:lang w:eastAsia="ar-SA"/>
    </w:rPr>
  </w:style>
  <w:style w:type="paragraph" w:styleId="Caption3" w:customStyle="1">
    <w:name w:val="Caption3"/>
    <w:basedOn w:val="Normal"/>
    <w:uiPriority w:val="99"/>
    <w:qFormat/>
    <w:rsid w:val="00ea1435"/>
    <w:pPr>
      <w:suppressLineNumbers/>
      <w:suppressAutoHyphens w:val="true"/>
      <w:spacing w:lineRule="auto" w:line="240" w:before="120" w:after="120"/>
    </w:pPr>
    <w:rPr>
      <w:rFonts w:ascii="Times New Roman" w:hAnsi="Times New Roman" w:eastAsia="Times New Roman" w:cs="Times New Roman"/>
      <w:i/>
      <w:iCs/>
      <w:sz w:val="24"/>
      <w:szCs w:val="24"/>
      <w:lang w:eastAsia="ar-SA"/>
    </w:rPr>
  </w:style>
  <w:style w:type="paragraph" w:styleId="Indentcorptext21" w:customStyle="1">
    <w:name w:val="Indent corp text 21"/>
    <w:basedOn w:val="Normal"/>
    <w:uiPriority w:val="99"/>
    <w:qFormat/>
    <w:rsid w:val="00ea1435"/>
    <w:pPr>
      <w:suppressAutoHyphens w:val="true"/>
      <w:spacing w:lineRule="auto" w:line="240" w:before="0" w:after="0"/>
      <w:ind w:firstLine="709"/>
      <w:jc w:val="both"/>
    </w:pPr>
    <w:rPr>
      <w:rFonts w:ascii="Times New Roman" w:hAnsi="Times New Roman" w:eastAsia="Times New Roman" w:cs="Times New Roman"/>
      <w:sz w:val="24"/>
      <w:szCs w:val="20"/>
      <w:lang w:val="ro-RO" w:eastAsia="ar-SA"/>
    </w:rPr>
  </w:style>
  <w:style w:type="paragraph" w:styleId="WWDefault" w:customStyle="1">
    <w:name w:val="WW-Default"/>
    <w:uiPriority w:val="99"/>
    <w:qFormat/>
    <w:rsid w:val="00ea1435"/>
    <w:pPr>
      <w:widowControl/>
      <w:suppressAutoHyphens w:val="true"/>
      <w:bidi w:val="0"/>
      <w:spacing w:lineRule="auto" w:line="240" w:before="0" w:after="0"/>
      <w:jc w:val="left"/>
    </w:pPr>
    <w:rPr>
      <w:rFonts w:ascii="EUAlbertina" w:hAnsi="EUAlbertina" w:eastAsia="Arial" w:cs="EUAlbertina"/>
      <w:color w:val="000000"/>
      <w:kern w:val="0"/>
      <w:sz w:val="24"/>
      <w:szCs w:val="24"/>
      <w:lang w:val="ro-RO" w:eastAsia="ar-SA" w:bidi="ar-SA"/>
    </w:rPr>
  </w:style>
  <w:style w:type="paragraph" w:styleId="CharCharCharCharCharCharCharCharCharCharCaracterCharCaracterCharCharCharCharCharChar" w:customStyle="1">
    <w:name w:val="Char Char Char Char Char Char Char Char Char Char Caracter Char Caracter Char Char Char Char Char Char"/>
    <w:basedOn w:val="Normal"/>
    <w:uiPriority w:val="99"/>
    <w:qFormat/>
    <w:rsid w:val="00ea1435"/>
    <w:pPr>
      <w:suppressAutoHyphens w:val="true"/>
      <w:spacing w:lineRule="exact" w:line="240"/>
    </w:pPr>
    <w:rPr>
      <w:rFonts w:ascii="Tahoma" w:hAnsi="Tahoma" w:eastAsia="Times New Roman" w:cs="Times New Roman"/>
      <w:sz w:val="20"/>
      <w:szCs w:val="20"/>
      <w:lang w:val="ro-RO" w:eastAsia="ar-SA"/>
    </w:rPr>
  </w:style>
  <w:style w:type="paragraph" w:styleId="CharCharCharCharCharCharCharCharCharCharCaracterCharCaracterCharCaracterCharChar" w:customStyle="1">
    <w:name w:val="Char Char Char Char Char Char Char Char Char Char Caracter Char Caracter Char Caracter Char Char"/>
    <w:basedOn w:val="Normal"/>
    <w:uiPriority w:val="99"/>
    <w:qFormat/>
    <w:rsid w:val="00ea1435"/>
    <w:pPr>
      <w:suppressAutoHyphens w:val="true"/>
      <w:spacing w:lineRule="exact" w:line="240"/>
    </w:pPr>
    <w:rPr>
      <w:rFonts w:ascii="Tahoma" w:hAnsi="Tahoma" w:eastAsia="Times New Roman" w:cs="Times New Roman"/>
      <w:sz w:val="20"/>
      <w:szCs w:val="20"/>
      <w:lang w:val="ro-RO" w:eastAsia="ar-SA"/>
    </w:rPr>
  </w:style>
  <w:style w:type="paragraph" w:styleId="Subpara1" w:customStyle="1">
    <w:name w:val="subpara1"/>
    <w:basedOn w:val="Normal"/>
    <w:uiPriority w:val="99"/>
    <w:qFormat/>
    <w:rsid w:val="00ea1435"/>
    <w:pPr>
      <w:suppressAutoHyphens w:val="true"/>
      <w:spacing w:lineRule="auto" w:line="240" w:before="100" w:after="100"/>
    </w:pPr>
    <w:rPr>
      <w:rFonts w:ascii="Times New Roman" w:hAnsi="Times New Roman" w:eastAsia="Calibri" w:cs="Times New Roman"/>
      <w:sz w:val="24"/>
      <w:szCs w:val="24"/>
      <w:lang w:val="ro-RO" w:eastAsia="ar-SA"/>
    </w:rPr>
  </w:style>
  <w:style w:type="paragraph" w:styleId="Subpara2" w:customStyle="1">
    <w:name w:val="subpara2"/>
    <w:basedOn w:val="Normal"/>
    <w:uiPriority w:val="99"/>
    <w:qFormat/>
    <w:rsid w:val="00ea1435"/>
    <w:pPr>
      <w:suppressAutoHyphens w:val="true"/>
      <w:spacing w:lineRule="auto" w:line="240" w:before="100" w:after="100"/>
    </w:pPr>
    <w:rPr>
      <w:rFonts w:ascii="Times New Roman" w:hAnsi="Times New Roman" w:eastAsia="Calibri" w:cs="Times New Roman"/>
      <w:sz w:val="24"/>
      <w:szCs w:val="24"/>
      <w:lang w:val="ro-RO" w:eastAsia="ar-SA"/>
    </w:rPr>
  </w:style>
  <w:style w:type="paragraph" w:styleId="Subpara3" w:customStyle="1">
    <w:name w:val="subpara3"/>
    <w:basedOn w:val="Normal"/>
    <w:uiPriority w:val="99"/>
    <w:qFormat/>
    <w:rsid w:val="00ea1435"/>
    <w:pPr>
      <w:suppressAutoHyphens w:val="true"/>
      <w:spacing w:lineRule="auto" w:line="240" w:before="100" w:after="100"/>
    </w:pPr>
    <w:rPr>
      <w:rFonts w:ascii="Times New Roman" w:hAnsi="Times New Roman" w:eastAsia="Calibri" w:cs="Times New Roman"/>
      <w:sz w:val="24"/>
      <w:szCs w:val="24"/>
      <w:lang w:val="ro-RO" w:eastAsia="ar-SA"/>
    </w:rPr>
  </w:style>
  <w:style w:type="paragraph" w:styleId="Textsimplu1" w:customStyle="1">
    <w:name w:val="Text simplu1"/>
    <w:basedOn w:val="Normal"/>
    <w:uiPriority w:val="99"/>
    <w:qFormat/>
    <w:rsid w:val="00ea1435"/>
    <w:pPr>
      <w:suppressAutoHyphens w:val="true"/>
      <w:spacing w:lineRule="auto" w:line="240" w:before="0" w:after="0"/>
    </w:pPr>
    <w:rPr>
      <w:rFonts w:ascii="Consolas" w:hAnsi="Consolas" w:eastAsia="Calibri" w:cs="Times New Roman"/>
      <w:sz w:val="21"/>
      <w:szCs w:val="21"/>
      <w:lang w:val="ro-RO" w:eastAsia="ar-SA"/>
    </w:rPr>
  </w:style>
  <w:style w:type="paragraph" w:styleId="Textcomentariu1" w:customStyle="1">
    <w:name w:val="Text comentariu1"/>
    <w:basedOn w:val="Normal"/>
    <w:uiPriority w:val="99"/>
    <w:qFormat/>
    <w:rsid w:val="00ea1435"/>
    <w:pPr>
      <w:suppressAutoHyphens w:val="true"/>
      <w:spacing w:lineRule="auto" w:line="276" w:before="0" w:after="200"/>
    </w:pPr>
    <w:rPr>
      <w:rFonts w:ascii="Calibri" w:hAnsi="Calibri" w:eastAsia="Calibri" w:cs="Times New Roman"/>
      <w:sz w:val="20"/>
      <w:szCs w:val="20"/>
      <w:lang w:val="ro-RO" w:eastAsia="ar-SA"/>
    </w:rPr>
  </w:style>
  <w:style w:type="paragraph" w:styleId="CaracterCharCharCaracterCharCharCaracterCharChar" w:customStyle="1">
    <w:name w:val="Caracter Char Char Caracter Char Char Caracter Char Char"/>
    <w:basedOn w:val="Normal"/>
    <w:uiPriority w:val="99"/>
    <w:qFormat/>
    <w:rsid w:val="00ea1435"/>
    <w:pPr>
      <w:spacing w:lineRule="exact" w:line="240"/>
    </w:pPr>
    <w:rPr>
      <w:rFonts w:ascii="Tahoma" w:hAnsi="Tahoma" w:eastAsia="Times New Roman" w:cs="Times New Roman"/>
      <w:sz w:val="20"/>
      <w:szCs w:val="20"/>
      <w:lang w:val="ro-RO"/>
    </w:rPr>
  </w:style>
  <w:style w:type="paragraph" w:styleId="CM16" w:customStyle="1">
    <w:name w:val="CM16"/>
    <w:basedOn w:val="Default"/>
    <w:next w:val="Default"/>
    <w:uiPriority w:val="99"/>
    <w:qFormat/>
    <w:rsid w:val="00ea1435"/>
    <w:pPr>
      <w:widowControl w:val="false"/>
    </w:pPr>
    <w:rPr>
      <w:rFonts w:ascii="Times New Roman" w:hAnsi="Times New Roman" w:cs="Times New Roman"/>
      <w:color w:val="auto"/>
    </w:rPr>
  </w:style>
  <w:style w:type="paragraph" w:styleId="DCCapitol" w:customStyle="1">
    <w:name w:val="DCCapitol"/>
    <w:basedOn w:val="Normal"/>
    <w:uiPriority w:val="99"/>
    <w:qFormat/>
    <w:rsid w:val="00ea1435"/>
    <w:pPr>
      <w:suppressAutoHyphens w:val="true"/>
      <w:spacing w:lineRule="auto" w:line="240" w:before="0" w:after="0"/>
      <w:ind w:left="2160" w:hanging="2160"/>
      <w:jc w:val="both"/>
    </w:pPr>
    <w:rPr>
      <w:rFonts w:ascii="Times New Roman" w:hAnsi="Times New Roman" w:eastAsia="Times New Roman" w:cs="Century Gothic"/>
      <w:b/>
      <w:sz w:val="24"/>
      <w:szCs w:val="20"/>
      <w:lang w:val="it-IT" w:eastAsia="ar-SA"/>
    </w:rPr>
  </w:style>
  <w:style w:type="paragraph" w:styleId="DCSubsectiune" w:customStyle="1">
    <w:name w:val="DCSubsectiune"/>
    <w:basedOn w:val="Normal"/>
    <w:uiPriority w:val="99"/>
    <w:qFormat/>
    <w:rsid w:val="00ea1435"/>
    <w:pPr>
      <w:suppressAutoHyphens w:val="true"/>
      <w:spacing w:lineRule="auto" w:line="240" w:before="0" w:after="0"/>
      <w:jc w:val="both"/>
    </w:pPr>
    <w:rPr>
      <w:rFonts w:ascii="Times New Roman" w:hAnsi="Times New Roman" w:eastAsia="Times New Roman" w:cs="Century Gothic"/>
      <w:b/>
      <w:sz w:val="24"/>
      <w:szCs w:val="24"/>
      <w:lang w:val="it-IT" w:eastAsia="ar-SA"/>
    </w:rPr>
  </w:style>
  <w:style w:type="paragraph" w:styleId="Alpha" w:customStyle="1">
    <w:name w:val="Alpha"/>
    <w:basedOn w:val="Normal"/>
    <w:uiPriority w:val="99"/>
    <w:qFormat/>
    <w:rsid w:val="00ea1435"/>
    <w:pPr>
      <w:spacing w:lineRule="exact" w:line="320" w:before="0" w:after="120"/>
      <w:jc w:val="both"/>
    </w:pPr>
    <w:rPr>
      <w:rFonts w:ascii="Frutiger Linotype" w:hAnsi="Frutiger Linotype" w:eastAsia="Times New Roman" w:cs="Times New Roman"/>
      <w:lang w:val="ro-RO"/>
    </w:rPr>
  </w:style>
  <w:style w:type="paragraph" w:styleId="ListAlpha1" w:customStyle="1">
    <w:name w:val="List Alpha 1"/>
    <w:basedOn w:val="Normal"/>
    <w:next w:val="TextBody"/>
    <w:uiPriority w:val="99"/>
    <w:qFormat/>
    <w:rsid w:val="00ea1435"/>
    <w:pPr>
      <w:tabs>
        <w:tab w:val="clear" w:pos="720"/>
        <w:tab w:val="left" w:pos="22" w:leader="none"/>
      </w:tabs>
      <w:spacing w:lineRule="auto" w:line="288" w:before="0" w:after="200"/>
      <w:jc w:val="both"/>
    </w:pPr>
    <w:rPr>
      <w:rFonts w:ascii="CG Times" w:hAnsi="CG Times" w:eastAsia="Times New Roman" w:cs="Times New Roman"/>
      <w:szCs w:val="20"/>
      <w:lang w:val="en-GB"/>
    </w:rPr>
  </w:style>
  <w:style w:type="paragraph" w:styleId="ListAlpha2" w:customStyle="1">
    <w:name w:val="List Alpha 2"/>
    <w:basedOn w:val="Normal"/>
    <w:next w:val="BodyText2"/>
    <w:uiPriority w:val="99"/>
    <w:qFormat/>
    <w:rsid w:val="00ea1435"/>
    <w:pPr>
      <w:tabs>
        <w:tab w:val="clear" w:pos="720"/>
        <w:tab w:val="left" w:pos="50" w:leader="none"/>
      </w:tabs>
      <w:spacing w:lineRule="auto" w:line="288" w:before="0" w:after="200"/>
      <w:jc w:val="both"/>
    </w:pPr>
    <w:rPr>
      <w:rFonts w:ascii="CG Times" w:hAnsi="CG Times" w:eastAsia="Times New Roman" w:cs="Times New Roman"/>
      <w:szCs w:val="20"/>
      <w:lang w:val="en-GB"/>
    </w:rPr>
  </w:style>
  <w:style w:type="paragraph" w:styleId="ListAlpha3" w:customStyle="1">
    <w:name w:val="List Alpha 3"/>
    <w:basedOn w:val="Normal"/>
    <w:next w:val="BodyText3"/>
    <w:uiPriority w:val="99"/>
    <w:qFormat/>
    <w:rsid w:val="00ea1435"/>
    <w:pPr>
      <w:tabs>
        <w:tab w:val="clear" w:pos="720"/>
        <w:tab w:val="left" w:pos="68" w:leader="none"/>
      </w:tabs>
      <w:spacing w:lineRule="auto" w:line="288" w:before="0" w:after="200"/>
      <w:jc w:val="both"/>
    </w:pPr>
    <w:rPr>
      <w:rFonts w:ascii="CG Times" w:hAnsi="CG Times" w:eastAsia="Times New Roman" w:cs="Times New Roman"/>
      <w:szCs w:val="20"/>
      <w:lang w:val="en-GB"/>
    </w:rPr>
  </w:style>
  <w:style w:type="paragraph" w:styleId="DeltaViewTableBody" w:customStyle="1">
    <w:name w:val="DeltaView Table Body"/>
    <w:basedOn w:val="Normal"/>
    <w:uiPriority w:val="99"/>
    <w:qFormat/>
    <w:rsid w:val="00ea1435"/>
    <w:pPr>
      <w:spacing w:lineRule="auto" w:line="240" w:before="0" w:after="0"/>
    </w:pPr>
    <w:rPr>
      <w:rFonts w:ascii="Arial" w:hAnsi="Arial" w:eastAsia="Times New Roman" w:cs="Times New Roman"/>
      <w:sz w:val="24"/>
      <w:szCs w:val="24"/>
    </w:rPr>
  </w:style>
  <w:style w:type="paragraph" w:styleId="CharCharCharCharCharCharCharCharCharCharCharCharCharCharCharCharCharCharCharCharCharCharCharCharCharChar1" w:customStyle="1">
    <w:name w:val="Char Char Char Char Char Char Char Char Char Char Char Char Char Char Char Char Char Char Char Char Char Char Char Char Char Char1"/>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orptext31" w:customStyle="1">
    <w:name w:val="Corp text 31"/>
    <w:basedOn w:val="Normal"/>
    <w:uiPriority w:val="99"/>
    <w:qFormat/>
    <w:rsid w:val="00ea1435"/>
    <w:pPr>
      <w:suppressAutoHyphens w:val="true"/>
      <w:spacing w:lineRule="auto" w:line="240" w:before="0" w:after="0"/>
      <w:jc w:val="center"/>
    </w:pPr>
    <w:rPr>
      <w:rFonts w:ascii="Times New Roman" w:hAnsi="Times New Roman" w:eastAsia="Times New Roman" w:cs="Times New Roman"/>
      <w:b/>
      <w:bCs/>
      <w:sz w:val="24"/>
      <w:szCs w:val="24"/>
      <w:lang w:eastAsia="ar-SA"/>
    </w:rPr>
  </w:style>
  <w:style w:type="paragraph" w:styleId="NormalMOI" w:customStyle="1">
    <w:name w:val="Normal-MOI"/>
    <w:basedOn w:val="Normal"/>
    <w:uiPriority w:val="99"/>
    <w:qFormat/>
    <w:rsid w:val="00ea1435"/>
    <w:pPr>
      <w:spacing w:lineRule="auto" w:line="240" w:before="0" w:after="0"/>
      <w:jc w:val="both"/>
    </w:pPr>
    <w:rPr>
      <w:rFonts w:ascii="Frutiger-Light" w:hAnsi="Frutiger-Light" w:eastAsia="Times New Roman" w:cs="Tahoma"/>
      <w:sz w:val="20"/>
      <w:lang w:val="en-GB" w:eastAsia="fr-FR"/>
    </w:rPr>
  </w:style>
  <w:style w:type="paragraph" w:styleId="Corptext21" w:customStyle="1">
    <w:name w:val="Corp text 21"/>
    <w:basedOn w:val="Normal"/>
    <w:uiPriority w:val="99"/>
    <w:qFormat/>
    <w:rsid w:val="00ea1435"/>
    <w:pPr>
      <w:suppressAutoHyphens w:val="true"/>
      <w:spacing w:lineRule="auto" w:line="480" w:before="0" w:after="120"/>
    </w:pPr>
    <w:rPr>
      <w:rFonts w:ascii="Times New Roman" w:hAnsi="Times New Roman" w:eastAsia="Times New Roman" w:cs="Times New Roman"/>
      <w:sz w:val="20"/>
      <w:szCs w:val="24"/>
      <w:lang w:eastAsia="ar-SA"/>
    </w:rPr>
  </w:style>
  <w:style w:type="paragraph" w:styleId="Quote">
    <w:name w:val="Quote"/>
    <w:basedOn w:val="Normal"/>
    <w:next w:val="Normal"/>
    <w:link w:val="QuoteChar"/>
    <w:uiPriority w:val="29"/>
    <w:qFormat/>
    <w:rsid w:val="00ea1435"/>
    <w:pPr>
      <w:spacing w:lineRule="auto" w:line="276" w:before="0" w:after="200"/>
      <w:jc w:val="both"/>
    </w:pPr>
    <w:rPr>
      <w:rFonts w:ascii="Sylfaen" w:hAnsi="Sylfaen" w:eastAsia="Cambria" w:cs="Tahoma"/>
      <w:b/>
      <w:i/>
      <w:szCs w:val="48"/>
      <w:lang w:bidi="en-US"/>
    </w:rPr>
  </w:style>
  <w:style w:type="paragraph" w:styleId="Xl72" w:customStyle="1">
    <w:name w:val="xl72"/>
    <w:basedOn w:val="Normal"/>
    <w:uiPriority w:val="99"/>
    <w:qFormat/>
    <w:rsid w:val="00ea1435"/>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val="ro-RO" w:eastAsia="ro-RO"/>
    </w:rPr>
  </w:style>
  <w:style w:type="paragraph" w:styleId="Xl73" w:customStyle="1">
    <w:name w:val="xl73"/>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val="ro-RO" w:eastAsia="ro-RO"/>
    </w:rPr>
  </w:style>
  <w:style w:type="paragraph" w:styleId="Xl74" w:customStyle="1">
    <w:name w:val="xl74"/>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val="ro-RO" w:eastAsia="ro-RO"/>
    </w:rPr>
  </w:style>
  <w:style w:type="paragraph" w:styleId="Xl75" w:customStyle="1">
    <w:name w:val="xl75"/>
    <w:basedOn w:val="Normal"/>
    <w:uiPriority w:val="99"/>
    <w:qFormat/>
    <w:rsid w:val="00ea1435"/>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val="ro-RO" w:eastAsia="ro-RO"/>
    </w:rPr>
  </w:style>
  <w:style w:type="paragraph" w:styleId="Xl76" w:customStyle="1">
    <w:name w:val="xl76"/>
    <w:basedOn w:val="Normal"/>
    <w:uiPriority w:val="99"/>
    <w:qFormat/>
    <w:rsid w:val="00ea1435"/>
    <w:pPr>
      <w:spacing w:lineRule="auto" w:line="240" w:beforeAutospacing="1" w:afterAutospacing="1"/>
      <w:jc w:val="center"/>
      <w:textAlignment w:val="center"/>
    </w:pPr>
    <w:rPr>
      <w:rFonts w:ascii="Arial" w:hAnsi="Arial" w:eastAsia="Times New Roman" w:cs="Arial"/>
      <w:sz w:val="20"/>
      <w:szCs w:val="20"/>
      <w:lang w:val="ro-RO" w:eastAsia="ro-RO"/>
    </w:rPr>
  </w:style>
  <w:style w:type="paragraph" w:styleId="Xl77" w:customStyle="1">
    <w:name w:val="xl77"/>
    <w:basedOn w:val="Normal"/>
    <w:uiPriority w:val="99"/>
    <w:qFormat/>
    <w:rsid w:val="00ea1435"/>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color w:val="000000"/>
      <w:sz w:val="20"/>
      <w:szCs w:val="20"/>
      <w:lang w:val="ro-RO" w:eastAsia="ro-RO"/>
    </w:rPr>
  </w:style>
  <w:style w:type="paragraph" w:styleId="Xl78" w:customStyle="1">
    <w:name w:val="xl78"/>
    <w:basedOn w:val="Normal"/>
    <w:uiPriority w:val="99"/>
    <w:qFormat/>
    <w:rsid w:val="00ea1435"/>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Arial" w:hAnsi="Arial" w:eastAsia="Times New Roman" w:cs="Arial"/>
      <w:b/>
      <w:bCs/>
      <w:sz w:val="20"/>
      <w:szCs w:val="20"/>
      <w:lang w:val="ro-RO" w:eastAsia="ro-RO"/>
    </w:rPr>
  </w:style>
  <w:style w:type="paragraph" w:styleId="Xl79" w:customStyle="1">
    <w:name w:val="xl79"/>
    <w:basedOn w:val="Normal"/>
    <w:uiPriority w:val="99"/>
    <w:qFormat/>
    <w:rsid w:val="00ea1435"/>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b/>
      <w:bCs/>
      <w:sz w:val="20"/>
      <w:szCs w:val="20"/>
      <w:lang w:val="ro-RO" w:eastAsia="ro-RO"/>
    </w:rPr>
  </w:style>
  <w:style w:type="paragraph" w:styleId="Xl80" w:customStyle="1">
    <w:name w:val="xl80"/>
    <w:basedOn w:val="Normal"/>
    <w:uiPriority w:val="99"/>
    <w:qFormat/>
    <w:rsid w:val="00ea1435"/>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val="ro-RO" w:eastAsia="ro-RO"/>
    </w:rPr>
  </w:style>
  <w:style w:type="paragraph" w:styleId="Xl81" w:customStyle="1">
    <w:name w:val="xl81"/>
    <w:basedOn w:val="Normal"/>
    <w:uiPriority w:val="99"/>
    <w:qFormat/>
    <w:rsid w:val="00ea1435"/>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val="ro-RO" w:eastAsia="ro-RO"/>
    </w:rPr>
  </w:style>
  <w:style w:type="paragraph" w:styleId="Xl82" w:customStyle="1">
    <w:name w:val="xl82"/>
    <w:basedOn w:val="Normal"/>
    <w:uiPriority w:val="99"/>
    <w:qFormat/>
    <w:rsid w:val="00ea1435"/>
    <w:pPr>
      <w:spacing w:lineRule="auto" w:line="240" w:beforeAutospacing="1" w:afterAutospacing="1"/>
      <w:jc w:val="center"/>
    </w:pPr>
    <w:rPr>
      <w:rFonts w:ascii="Arial" w:hAnsi="Arial" w:eastAsia="Times New Roman" w:cs="Arial"/>
      <w:sz w:val="24"/>
      <w:szCs w:val="24"/>
      <w:lang w:val="ro-RO" w:eastAsia="ro-RO"/>
    </w:rPr>
  </w:style>
  <w:style w:type="paragraph" w:styleId="Xl83" w:customStyle="1">
    <w:name w:val="xl83"/>
    <w:basedOn w:val="Normal"/>
    <w:uiPriority w:val="99"/>
    <w:qFormat/>
    <w:rsid w:val="00ea1435"/>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b/>
      <w:bCs/>
      <w:sz w:val="20"/>
      <w:szCs w:val="20"/>
      <w:lang w:val="ro-RO" w:eastAsia="ro-RO"/>
    </w:rPr>
  </w:style>
  <w:style w:type="paragraph" w:styleId="Xl84" w:customStyle="1">
    <w:name w:val="xl84"/>
    <w:basedOn w:val="Normal"/>
    <w:uiPriority w:val="99"/>
    <w:qFormat/>
    <w:rsid w:val="00ea1435"/>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val="ro-RO" w:eastAsia="ro-RO"/>
    </w:rPr>
  </w:style>
  <w:style w:type="paragraph" w:styleId="AMBodyTextCont2" w:customStyle="1">
    <w:name w:val="AMBodyText Cont 2"/>
    <w:basedOn w:val="Normal"/>
    <w:uiPriority w:val="99"/>
    <w:qFormat/>
    <w:rsid w:val="00ea1435"/>
    <w:pPr>
      <w:spacing w:lineRule="auto" w:line="240" w:before="0" w:after="240"/>
      <w:ind w:left="720" w:hanging="0"/>
      <w:jc w:val="both"/>
    </w:pPr>
    <w:rPr>
      <w:rFonts w:ascii="Times New Roman" w:hAnsi="Times New Roman" w:eastAsia="Times New Roman" w:cs="Times New Roman"/>
      <w:szCs w:val="20"/>
      <w:lang w:val="en-GB"/>
    </w:rPr>
  </w:style>
  <w:style w:type="paragraph" w:styleId="AMBodyTextL1" w:customStyle="1">
    <w:name w:val="AMBodyText_L1"/>
    <w:basedOn w:val="Normal"/>
    <w:next w:val="AMBodyTextL2"/>
    <w:uiPriority w:val="99"/>
    <w:qFormat/>
    <w:rsid w:val="00ea1435"/>
    <w:pPr>
      <w:keepNext w:val="true"/>
      <w:keepLines/>
      <w:tabs>
        <w:tab w:val="left" w:pos="720" w:leader="none"/>
      </w:tabs>
      <w:spacing w:lineRule="auto" w:line="240" w:before="0" w:after="240"/>
      <w:ind w:left="720" w:hanging="720"/>
      <w:outlineLvl w:val="0"/>
    </w:pPr>
    <w:rPr>
      <w:rFonts w:ascii="Times New Roman" w:hAnsi="Times New Roman" w:eastAsia="Times New Roman" w:cs="Times New Roman"/>
      <w:b/>
      <w:smallCaps/>
      <w:szCs w:val="20"/>
      <w:lang w:val="en-GB"/>
    </w:rPr>
  </w:style>
  <w:style w:type="paragraph" w:styleId="AMBodyTextL2" w:customStyle="1">
    <w:name w:val="AMBodyText_L2"/>
    <w:basedOn w:val="AMBodyTextL1"/>
    <w:uiPriority w:val="99"/>
    <w:qFormat/>
    <w:rsid w:val="00ea1435"/>
    <w:pPr>
      <w:keepNext w:val="false"/>
      <w:keepLines w:val="false"/>
      <w:tabs>
        <w:tab w:val="left" w:pos="720" w:leader="none"/>
        <w:tab w:val="left" w:pos="810" w:leader="none"/>
      </w:tabs>
      <w:ind w:left="810" w:hanging="720"/>
      <w:jc w:val="both"/>
    </w:pPr>
    <w:rPr>
      <w:b w:val="false"/>
      <w:caps w:val="false"/>
      <w:smallCaps w:val="false"/>
    </w:rPr>
  </w:style>
  <w:style w:type="paragraph" w:styleId="AMBodyTextL3" w:customStyle="1">
    <w:name w:val="AMBodyText_L3"/>
    <w:basedOn w:val="AMBodyTextL2"/>
    <w:uiPriority w:val="99"/>
    <w:qFormat/>
    <w:rsid w:val="00ea1435"/>
    <w:pPr>
      <w:tabs>
        <w:tab w:val="left" w:pos="720" w:leader="none"/>
        <w:tab w:val="left" w:pos="810" w:leader="none"/>
        <w:tab w:val="left" w:pos="1430" w:leader="none"/>
      </w:tabs>
      <w:ind w:left="1430" w:hanging="360"/>
    </w:pPr>
    <w:rPr/>
  </w:style>
  <w:style w:type="paragraph" w:styleId="AMBodyTextL4" w:customStyle="1">
    <w:name w:val="AMBodyText_L4"/>
    <w:basedOn w:val="AMBodyTextL3"/>
    <w:uiPriority w:val="99"/>
    <w:qFormat/>
    <w:rsid w:val="00ea1435"/>
    <w:pPr>
      <w:tabs>
        <w:tab w:val="left" w:pos="720" w:leader="none"/>
        <w:tab w:val="left" w:pos="810" w:leader="none"/>
        <w:tab w:val="left" w:pos="1430" w:leader="none"/>
        <w:tab w:val="left" w:pos="2102" w:leader="none"/>
      </w:tabs>
      <w:ind w:left="2117" w:hanging="706"/>
    </w:pPr>
    <w:rPr/>
  </w:style>
  <w:style w:type="paragraph" w:styleId="AMBodyTextL5" w:customStyle="1">
    <w:name w:val="AMBodyText_L5"/>
    <w:basedOn w:val="AMBodyTextL4"/>
    <w:uiPriority w:val="99"/>
    <w:qFormat/>
    <w:rsid w:val="00ea1435"/>
    <w:pPr>
      <w:tabs>
        <w:tab w:val="left" w:pos="720" w:leader="none"/>
        <w:tab w:val="left" w:pos="810" w:leader="none"/>
        <w:tab w:val="left" w:pos="1430" w:leader="none"/>
        <w:tab w:val="left" w:pos="2102" w:leader="none"/>
        <w:tab w:val="left" w:pos="2822" w:leader="none"/>
      </w:tabs>
      <w:ind w:left="2837" w:hanging="706"/>
    </w:pPr>
    <w:rPr/>
  </w:style>
  <w:style w:type="paragraph" w:styleId="AMBodyTextL6" w:customStyle="1">
    <w:name w:val="AMBodyText_L6"/>
    <w:basedOn w:val="AMBodyTextL5"/>
    <w:uiPriority w:val="99"/>
    <w:qFormat/>
    <w:rsid w:val="00ea1435"/>
    <w:pPr>
      <w:tabs>
        <w:tab w:val="left" w:pos="720" w:leader="none"/>
        <w:tab w:val="left" w:pos="810" w:leader="none"/>
        <w:tab w:val="left" w:pos="1430" w:leader="none"/>
        <w:tab w:val="left" w:pos="2102" w:leader="none"/>
        <w:tab w:val="left" w:pos="2822" w:leader="none"/>
        <w:tab w:val="left" w:pos="3672" w:leader="none"/>
      </w:tabs>
      <w:ind w:left="3686" w:hanging="849"/>
    </w:pPr>
    <w:rPr/>
  </w:style>
  <w:style w:type="paragraph" w:styleId="AMBodyTextL7" w:customStyle="1">
    <w:name w:val="AMBodyText_L7"/>
    <w:basedOn w:val="AMBodyTextL6"/>
    <w:uiPriority w:val="99"/>
    <w:qFormat/>
    <w:rsid w:val="00ea1435"/>
    <w:pPr>
      <w:tabs>
        <w:tab w:val="left" w:pos="720" w:leader="none"/>
        <w:tab w:val="left" w:pos="810" w:leader="none"/>
        <w:tab w:val="left" w:pos="1430" w:leader="none"/>
        <w:tab w:val="left" w:pos="2102" w:leader="none"/>
        <w:tab w:val="left" w:pos="2822" w:leader="none"/>
        <w:tab w:val="left" w:pos="3672" w:leader="none"/>
        <w:tab w:val="left" w:pos="4507" w:leader="none"/>
      </w:tabs>
      <w:ind w:left="4522" w:hanging="850"/>
    </w:pPr>
    <w:rPr/>
  </w:style>
  <w:style w:type="paragraph" w:styleId="AMBodyTextL8" w:customStyle="1">
    <w:name w:val="AMBodyText_L8"/>
    <w:basedOn w:val="AMBodyTextL7"/>
    <w:uiPriority w:val="99"/>
    <w:qFormat/>
    <w:rsid w:val="00ea1435"/>
    <w:pPr>
      <w:tabs>
        <w:tab w:val="left" w:pos="720" w:leader="none"/>
        <w:tab w:val="left" w:pos="810" w:leader="none"/>
        <w:tab w:val="left" w:pos="1430" w:leader="none"/>
        <w:tab w:val="left" w:pos="2102" w:leader="none"/>
        <w:tab w:val="left" w:pos="2822" w:leader="none"/>
        <w:tab w:val="left" w:pos="3672" w:leader="none"/>
        <w:tab w:val="left" w:pos="4507" w:leader="none"/>
        <w:tab w:val="left" w:pos="5242" w:leader="none"/>
      </w:tabs>
      <w:ind w:left="5242" w:hanging="720"/>
    </w:pPr>
    <w:rPr/>
  </w:style>
  <w:style w:type="paragraph" w:styleId="CM6" w:customStyle="1">
    <w:name w:val="CM6"/>
    <w:basedOn w:val="Normal"/>
    <w:next w:val="Normal"/>
    <w:uiPriority w:val="99"/>
    <w:qFormat/>
    <w:rsid w:val="00ea1435"/>
    <w:pPr>
      <w:widowControl w:val="false"/>
      <w:spacing w:lineRule="auto" w:line="240" w:before="0" w:after="0"/>
    </w:pPr>
    <w:rPr>
      <w:rFonts w:ascii="Times New Roman" w:hAnsi="Times New Roman" w:eastAsia="Times New Roman" w:cs="Times New Roman"/>
      <w:sz w:val="24"/>
      <w:szCs w:val="24"/>
      <w:lang w:val="ro-RO" w:eastAsia="ro-RO"/>
    </w:rPr>
  </w:style>
  <w:style w:type="paragraph" w:styleId="CM2" w:customStyle="1">
    <w:name w:val="CM2"/>
    <w:basedOn w:val="Default"/>
    <w:next w:val="Default"/>
    <w:uiPriority w:val="99"/>
    <w:qFormat/>
    <w:rsid w:val="00ea1435"/>
    <w:pPr>
      <w:widowControl w:val="false"/>
      <w:spacing w:lineRule="atLeast" w:line="276"/>
    </w:pPr>
    <w:rPr>
      <w:rFonts w:ascii="Times New Roman" w:hAnsi="Times New Roman" w:cs="Times New Roman"/>
      <w:color w:val="auto"/>
    </w:rPr>
  </w:style>
  <w:style w:type="paragraph" w:styleId="CM7" w:customStyle="1">
    <w:name w:val="CM7"/>
    <w:basedOn w:val="Default"/>
    <w:next w:val="Default"/>
    <w:uiPriority w:val="99"/>
    <w:qFormat/>
    <w:rsid w:val="00ea1435"/>
    <w:pPr>
      <w:widowControl w:val="false"/>
    </w:pPr>
    <w:rPr>
      <w:rFonts w:ascii="Times New Roman" w:hAnsi="Times New Roman" w:cs="Times New Roman"/>
      <w:color w:val="auto"/>
    </w:rPr>
  </w:style>
  <w:style w:type="paragraph" w:styleId="CM5" w:customStyle="1">
    <w:name w:val="CM5"/>
    <w:basedOn w:val="Default"/>
    <w:next w:val="Default"/>
    <w:uiPriority w:val="99"/>
    <w:qFormat/>
    <w:rsid w:val="00ea1435"/>
    <w:pPr>
      <w:widowControl w:val="false"/>
      <w:spacing w:lineRule="atLeast" w:line="276"/>
    </w:pPr>
    <w:rPr>
      <w:rFonts w:ascii="Times New Roman" w:hAnsi="Times New Roman" w:cs="Times New Roman"/>
      <w:color w:val="auto"/>
    </w:rPr>
  </w:style>
  <w:style w:type="paragraph" w:styleId="CM3" w:customStyle="1">
    <w:name w:val="CM3"/>
    <w:basedOn w:val="Default"/>
    <w:next w:val="Default"/>
    <w:uiPriority w:val="99"/>
    <w:qFormat/>
    <w:rsid w:val="00ea1435"/>
    <w:pPr>
      <w:widowControl w:val="false"/>
      <w:spacing w:lineRule="atLeast" w:line="276"/>
    </w:pPr>
    <w:rPr>
      <w:rFonts w:ascii="Times New Roman" w:hAnsi="Times New Roman" w:cs="Times New Roman"/>
      <w:color w:val="auto"/>
    </w:rPr>
  </w:style>
  <w:style w:type="paragraph" w:styleId="WWDefault1" w:customStyle="1">
    <w:name w:val="WW-Default1"/>
    <w:uiPriority w:val="99"/>
    <w:qFormat/>
    <w:rsid w:val="00ea1435"/>
    <w:pPr>
      <w:widowControl/>
      <w:suppressAutoHyphens w:val="true"/>
      <w:bidi w:val="0"/>
      <w:spacing w:lineRule="auto" w:line="240" w:before="0" w:after="0"/>
      <w:jc w:val="left"/>
    </w:pPr>
    <w:rPr>
      <w:rFonts w:ascii="Times New Roman" w:hAnsi="Times New Roman" w:eastAsia="Arial" w:cs="Arial-BoldMT"/>
      <w:color w:val="000000"/>
      <w:kern w:val="0"/>
      <w:sz w:val="24"/>
      <w:szCs w:val="24"/>
      <w:lang w:val="ro-RO" w:eastAsia="ro-RO" w:bidi="ar-SA"/>
    </w:rPr>
  </w:style>
  <w:style w:type="paragraph" w:styleId="CharCharCharCharCharCharCharCharCharChar1CharCharCharCharCharCharCharCharCharCharCharCharCharCharCharChar1CharCharCharCharCharCharCharChar1" w:customStyle="1">
    <w:name w:val="Char Char Char Char Char Char Char Char Char Char1 Char Char Char Char Char Char Char Char Char Char Char Char Char Char Char Char1 Char Char Char Char Char Char Char Char1"/>
    <w:basedOn w:val="Normal"/>
    <w:uiPriority w:val="99"/>
    <w:qFormat/>
    <w:rsid w:val="00ea1435"/>
    <w:pPr>
      <w:spacing w:lineRule="auto" w:line="240" w:before="0" w:after="0"/>
    </w:pPr>
    <w:rPr>
      <w:rFonts w:ascii="Times New Roman" w:hAnsi="Times New Roman" w:eastAsia="MS Mincho" w:cs="Times New Roman"/>
      <w:sz w:val="24"/>
      <w:szCs w:val="24"/>
      <w:lang w:val="pl-PL" w:eastAsia="pl-PL"/>
    </w:rPr>
  </w:style>
  <w:style w:type="paragraph" w:styleId="Citat1" w:customStyle="1">
    <w:name w:val="Citat1"/>
    <w:basedOn w:val="Normal"/>
    <w:next w:val="Normal"/>
    <w:uiPriority w:val="29"/>
    <w:qFormat/>
    <w:rsid w:val="00ea1435"/>
    <w:pPr>
      <w:spacing w:lineRule="auto" w:line="276" w:before="0" w:after="200"/>
      <w:jc w:val="both"/>
    </w:pPr>
    <w:rPr>
      <w:rFonts w:ascii="Sylfaen" w:hAnsi="Sylfaen" w:eastAsia="Cambria" w:cs="Tahoma"/>
      <w:b/>
      <w:i/>
      <w:szCs w:val="48"/>
      <w:lang w:bidi="en-US"/>
    </w:rPr>
  </w:style>
  <w:style w:type="paragraph" w:styleId="Citatintens1" w:customStyle="1">
    <w:name w:val="Citat intens1"/>
    <w:basedOn w:val="Normal"/>
    <w:next w:val="Normal"/>
    <w:uiPriority w:val="30"/>
    <w:qFormat/>
    <w:rsid w:val="00ea1435"/>
    <w:pPr>
      <w:pBdr>
        <w:top w:val="single" w:sz="8" w:space="10" w:color="874295"/>
        <w:left w:val="single" w:sz="8" w:space="10" w:color="874295"/>
        <w:bottom w:val="single" w:sz="8" w:space="10" w:color="874295"/>
        <w:right w:val="single" w:sz="8" w:space="10" w:color="874295"/>
      </w:pBdr>
      <w:shd w:val="clear" w:color="auto" w:fill="AC66BB"/>
      <w:spacing w:lineRule="auto" w:line="276" w:before="140" w:after="140"/>
      <w:ind w:left="1440" w:right="1440" w:hanging="0"/>
      <w:jc w:val="both"/>
    </w:pPr>
    <w:rPr>
      <w:rFonts w:ascii="Sylfaen" w:hAnsi="Sylfaen" w:eastAsia="Cambria" w:cs="Tahoma"/>
      <w:b/>
      <w:i/>
      <w:color w:val="FFFFFF"/>
      <w:szCs w:val="48"/>
      <w:lang w:bidi="en-US"/>
    </w:rPr>
  </w:style>
  <w:style w:type="paragraph" w:styleId="Indent1b" w:customStyle="1">
    <w:name w:val="Indent 1b"/>
    <w:next w:val="Normal"/>
    <w:uiPriority w:val="99"/>
    <w:qFormat/>
    <w:rsid w:val="00ea1435"/>
    <w:pPr>
      <w:widowControl/>
      <w:tabs>
        <w:tab w:val="clear" w:pos="720"/>
        <w:tab w:val="left" w:pos="560" w:leader="none"/>
      </w:tabs>
      <w:suppressAutoHyphens w:val="true"/>
      <w:bidi w:val="0"/>
      <w:snapToGrid w:val="false"/>
      <w:spacing w:lineRule="atLeast" w:line="240" w:before="100" w:after="60"/>
      <w:ind w:left="560" w:hanging="560"/>
      <w:jc w:val="both"/>
    </w:pPr>
    <w:rPr>
      <w:rFonts w:ascii="Times New Roman" w:hAnsi="Times New Roman" w:eastAsia="Times New Roman" w:cs="Times New Roman"/>
      <w:color w:val="000000"/>
      <w:w w:val="1"/>
      <w:kern w:val="0"/>
      <w:sz w:val="20"/>
      <w:szCs w:val="20"/>
      <w:lang w:val="en-GB" w:eastAsia="en-US" w:bidi="ar-SA"/>
    </w:rPr>
  </w:style>
  <w:style w:type="paragraph" w:styleId="Indent1Relative" w:customStyle="1">
    <w:name w:val="Indent 1 Relative"/>
    <w:uiPriority w:val="99"/>
    <w:qFormat/>
    <w:rsid w:val="00ea1435"/>
    <w:pPr>
      <w:widowControl/>
      <w:suppressAutoHyphens w:val="true"/>
      <w:bidi w:val="0"/>
      <w:snapToGrid w:val="false"/>
      <w:spacing w:lineRule="atLeast" w:line="240" w:before="0" w:after="60"/>
      <w:ind w:left="560" w:hanging="0"/>
      <w:jc w:val="both"/>
    </w:pPr>
    <w:rPr>
      <w:rFonts w:ascii="Times New Roman" w:hAnsi="Times New Roman" w:eastAsia="Times New Roman" w:cs="Times New Roman"/>
      <w:color w:val="000000"/>
      <w:w w:val="1"/>
      <w:kern w:val="0"/>
      <w:sz w:val="20"/>
      <w:szCs w:val="20"/>
      <w:lang w:val="en-GB" w:eastAsia="en-US" w:bidi="ar-SA"/>
    </w:rPr>
  </w:style>
  <w:style w:type="paragraph" w:styleId="Indent11" w:customStyle="1">
    <w:name w:val="Indent 1"/>
    <w:uiPriority w:val="99"/>
    <w:qFormat/>
    <w:rsid w:val="00ea1435"/>
    <w:pPr>
      <w:widowControl/>
      <w:tabs>
        <w:tab w:val="clear" w:pos="720"/>
        <w:tab w:val="left" w:pos="560" w:leader="none"/>
      </w:tabs>
      <w:suppressAutoHyphens w:val="true"/>
      <w:bidi w:val="0"/>
      <w:snapToGrid w:val="false"/>
      <w:spacing w:lineRule="atLeast" w:line="240" w:before="100" w:after="100"/>
      <w:ind w:left="560" w:hanging="560"/>
      <w:jc w:val="both"/>
    </w:pPr>
    <w:rPr>
      <w:rFonts w:ascii="Times New Roman" w:hAnsi="Times New Roman" w:eastAsia="Times New Roman" w:cs="Times New Roman"/>
      <w:color w:val="000000"/>
      <w:w w:val="1"/>
      <w:kern w:val="0"/>
      <w:sz w:val="20"/>
      <w:szCs w:val="20"/>
      <w:lang w:val="en-GB" w:eastAsia="en-US" w:bidi="ar-SA"/>
    </w:rPr>
  </w:style>
  <w:style w:type="paragraph" w:styleId="Indent3" w:customStyle="1">
    <w:name w:val="Indent 3"/>
    <w:uiPriority w:val="99"/>
    <w:qFormat/>
    <w:rsid w:val="00ea1435"/>
    <w:pPr>
      <w:widowControl/>
      <w:tabs>
        <w:tab w:val="clear" w:pos="720"/>
        <w:tab w:val="left" w:pos="1400" w:leader="none"/>
      </w:tabs>
      <w:suppressAutoHyphens w:val="true"/>
      <w:bidi w:val="0"/>
      <w:spacing w:lineRule="atLeast" w:line="240" w:before="0" w:after="60"/>
      <w:ind w:left="1400" w:hanging="420"/>
      <w:jc w:val="both"/>
    </w:pPr>
    <w:rPr>
      <w:rFonts w:ascii="Times New Roman" w:hAnsi="Times New Roman" w:eastAsia="Times New Roman" w:cs="Times New Roman"/>
      <w:color w:val="000000"/>
      <w:w w:val="1"/>
      <w:kern w:val="0"/>
      <w:sz w:val="20"/>
      <w:szCs w:val="20"/>
      <w:lang w:val="en-GB" w:eastAsia="en-US" w:bidi="ar-SA"/>
    </w:rPr>
  </w:style>
  <w:style w:type="paragraph" w:styleId="Indent2Relative" w:customStyle="1">
    <w:name w:val="Indent 2 Relative"/>
    <w:uiPriority w:val="99"/>
    <w:qFormat/>
    <w:rsid w:val="00ea1435"/>
    <w:pPr>
      <w:widowControl/>
      <w:suppressAutoHyphens w:val="true"/>
      <w:bidi w:val="0"/>
      <w:spacing w:lineRule="atLeast" w:line="240" w:before="100" w:after="100"/>
      <w:ind w:left="1120" w:hanging="0"/>
      <w:jc w:val="both"/>
    </w:pPr>
    <w:rPr>
      <w:rFonts w:ascii="Times New Roman" w:hAnsi="Times New Roman" w:eastAsia="Times New Roman" w:cs="Times New Roman"/>
      <w:color w:val="000000"/>
      <w:w w:val="1"/>
      <w:kern w:val="0"/>
      <w:sz w:val="20"/>
      <w:szCs w:val="20"/>
      <w:lang w:val="en-GB" w:eastAsia="en-US" w:bidi="ar-SA"/>
    </w:rPr>
  </w:style>
  <w:style w:type="paragraph" w:styleId="CaracterCaracterCaracterCharCaracter" w:customStyle="1">
    <w:name w:val="Caracter Caracter Caracter Char Caracter"/>
    <w:basedOn w:val="Normal"/>
    <w:link w:val="CaracterCaracterCaracterCharCaracterChar"/>
    <w:qFormat/>
    <w:rsid w:val="00ea1435"/>
    <w:pPr>
      <w:spacing w:lineRule="auto" w:line="240" w:before="0" w:after="0"/>
    </w:pPr>
    <w:rPr>
      <w:rFonts w:ascii="Times New Roman" w:hAnsi="Times New Roman" w:eastAsia="Times New Roman" w:cs="Times New Roman"/>
      <w:sz w:val="24"/>
      <w:szCs w:val="24"/>
      <w:lang w:val="pl-PL" w:eastAsia="pl-PL"/>
    </w:rPr>
  </w:style>
  <w:style w:type="paragraph" w:styleId="CharCharCharCharCharChar1" w:customStyle="1">
    <w:name w:val="Char Char Char Char Char Char1"/>
    <w:basedOn w:val="Normal"/>
    <w:uiPriority w:val="99"/>
    <w:qFormat/>
    <w:rsid w:val="00ea1435"/>
    <w:pPr>
      <w:spacing w:lineRule="exact" w:line="240"/>
    </w:pPr>
    <w:rPr>
      <w:rFonts w:ascii="Verdana" w:hAnsi="Verdana" w:eastAsia="Times New Roman" w:cs="Times New Roman"/>
      <w:sz w:val="20"/>
      <w:szCs w:val="20"/>
    </w:rPr>
  </w:style>
  <w:style w:type="paragraph" w:styleId="CaracterCaracter1CharCharCaracterCaracter" w:customStyle="1">
    <w:name w:val="Caracter Caracter1 Char Char Caracter Caracter"/>
    <w:basedOn w:val="Normal"/>
    <w:uiPriority w:val="99"/>
    <w:qFormat/>
    <w:rsid w:val="00ea1435"/>
    <w:pPr>
      <w:spacing w:lineRule="auto" w:line="240" w:before="0" w:after="0"/>
    </w:pPr>
    <w:rPr>
      <w:rFonts w:ascii="Times New Roman" w:hAnsi="Times New Roman" w:eastAsia="Times New Roman" w:cs="Times New Roman"/>
      <w:sz w:val="24"/>
      <w:szCs w:val="24"/>
      <w:lang w:val="pl-PL" w:eastAsia="pl-PL"/>
    </w:rPr>
  </w:style>
  <w:style w:type="paragraph" w:styleId="Frspaiere1" w:customStyle="1">
    <w:name w:val="Fără spațiere1"/>
    <w:uiPriority w:val="1"/>
    <w:qFormat/>
    <w:rsid w:val="00ea1435"/>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en-US" w:eastAsia="en-US" w:bidi="ar-SA"/>
    </w:rPr>
  </w:style>
  <w:style w:type="paragraph" w:styleId="NormalIMP" w:customStyle="1">
    <w:name w:val="Normal_IMP"/>
    <w:basedOn w:val="Normal"/>
    <w:uiPriority w:val="99"/>
    <w:qFormat/>
    <w:rsid w:val="00ea1435"/>
    <w:pPr>
      <w:suppressAutoHyphens w:val="true"/>
      <w:spacing w:lineRule="auto" w:line="228" w:before="0" w:after="0"/>
    </w:pPr>
    <w:rPr>
      <w:rFonts w:ascii="Times New Roman" w:hAnsi="Times New Roman" w:eastAsia="HG Mincho Light J" w:cs="Times New Roman"/>
      <w:sz w:val="20"/>
      <w:szCs w:val="20"/>
      <w:lang w:eastAsia="ar-SA"/>
    </w:rPr>
  </w:style>
  <w:style w:type="paragraph" w:styleId="Style8" w:customStyle="1">
    <w:name w:val="Style8"/>
    <w:basedOn w:val="Normal"/>
    <w:uiPriority w:val="99"/>
    <w:qFormat/>
    <w:rsid w:val="00ea1435"/>
    <w:pPr>
      <w:widowControl w:val="false"/>
      <w:spacing w:lineRule="exact" w:line="256" w:before="0" w:after="0"/>
    </w:pPr>
    <w:rPr>
      <w:rFonts w:ascii="Times New Roman" w:hAnsi="Times New Roman" w:eastAsia="Times New Roman" w:cs="Times New Roman"/>
      <w:sz w:val="24"/>
      <w:szCs w:val="24"/>
    </w:rPr>
  </w:style>
  <w:style w:type="paragraph" w:styleId="Style121" w:customStyle="1">
    <w:name w:val="Style12"/>
    <w:basedOn w:val="Normal"/>
    <w:uiPriority w:val="99"/>
    <w:qFormat/>
    <w:rsid w:val="00ea1435"/>
    <w:pPr>
      <w:widowControl w:val="false"/>
      <w:spacing w:lineRule="exact" w:line="245" w:before="0" w:after="0"/>
      <w:jc w:val="both"/>
    </w:pPr>
    <w:rPr>
      <w:rFonts w:ascii="Times New Roman" w:hAnsi="Times New Roman" w:eastAsia="Times New Roman" w:cs="Times New Roman"/>
      <w:sz w:val="24"/>
      <w:szCs w:val="24"/>
    </w:rPr>
  </w:style>
  <w:style w:type="paragraph" w:styleId="Char1CharCharChar" w:customStyle="1">
    <w:name w:val="Char1 Char Char Char"/>
    <w:basedOn w:val="Normal"/>
    <w:uiPriority w:val="99"/>
    <w:qFormat/>
    <w:rsid w:val="00ea1435"/>
    <w:pPr>
      <w:spacing w:lineRule="exact" w:line="240"/>
    </w:pPr>
    <w:rPr>
      <w:rFonts w:ascii="Tahoma" w:hAnsi="Tahoma" w:eastAsia="Times New Roman" w:cs="Times New Roman"/>
      <w:sz w:val="20"/>
      <w:szCs w:val="20"/>
      <w:lang w:val="ro-RO"/>
    </w:rPr>
  </w:style>
  <w:style w:type="paragraph" w:styleId="ListcoloratAccentuare11" w:customStyle="1">
    <w:name w:val="Listă colorată - Accentuare 11"/>
    <w:basedOn w:val="Normal"/>
    <w:uiPriority w:val="34"/>
    <w:qFormat/>
    <w:rsid w:val="00ea1435"/>
    <w:pPr>
      <w:suppressAutoHyphens w:val="true"/>
      <w:spacing w:lineRule="auto" w:line="276" w:before="0" w:after="200"/>
      <w:ind w:left="720" w:hanging="0"/>
    </w:pPr>
    <w:rPr>
      <w:rFonts w:ascii="Calibri" w:hAnsi="Calibri" w:eastAsia="Calibri" w:cs="Calibri"/>
      <w:lang w:eastAsia="ar-SA"/>
    </w:rPr>
  </w:style>
  <w:style w:type="paragraph" w:styleId="NormalWeb3" w:customStyle="1">
    <w:name w:val="Normal (Web)3"/>
    <w:basedOn w:val="Normal"/>
    <w:uiPriority w:val="99"/>
    <w:qFormat/>
    <w:rsid w:val="00ea1435"/>
    <w:pPr>
      <w:spacing w:lineRule="auto" w:line="240" w:beforeAutospacing="1" w:afterAutospacing="1"/>
    </w:pPr>
    <w:rPr>
      <w:rFonts w:ascii="Verdana" w:hAnsi="Verdana" w:eastAsia="Times New Roman" w:cs="Times New Roman"/>
      <w:color w:val="000000"/>
      <w:sz w:val="19"/>
      <w:szCs w:val="19"/>
    </w:rPr>
  </w:style>
  <w:style w:type="paragraph" w:styleId="Msolistparagraph" w:customStyle="1">
    <w:name w:val="msolistparagraph"/>
    <w:basedOn w:val="Normal"/>
    <w:uiPriority w:val="99"/>
    <w:qFormat/>
    <w:rsid w:val="00ea1435"/>
    <w:pPr>
      <w:spacing w:lineRule="auto" w:line="276" w:before="0" w:after="200"/>
      <w:ind w:left="720" w:hanging="0"/>
    </w:pPr>
    <w:rPr>
      <w:rFonts w:ascii="Calibri" w:hAnsi="Calibri" w:eastAsia="Calibri" w:cs="Times New Roman"/>
      <w:szCs w:val="24"/>
      <w:lang w:eastAsia="ro-RO"/>
    </w:rPr>
  </w:style>
  <w:style w:type="paragraph" w:styleId="Msonormalcxspmiddle" w:customStyle="1">
    <w:name w:val="msonormalcxspmiddle"/>
    <w:basedOn w:val="Normal"/>
    <w:uiPriority w:val="99"/>
    <w:qFormat/>
    <w:rsid w:val="00ea1435"/>
    <w:pPr>
      <w:spacing w:lineRule="auto" w:line="240" w:before="100" w:after="100"/>
    </w:pPr>
    <w:rPr>
      <w:rFonts w:ascii="Times New Roman" w:hAnsi="Times New Roman" w:eastAsia="Times New Roman" w:cs="Times New Roman"/>
      <w:sz w:val="24"/>
      <w:szCs w:val="24"/>
      <w:lang w:val="ro-RO" w:eastAsia="ro-RO"/>
    </w:rPr>
  </w:style>
  <w:style w:type="paragraph" w:styleId="ChapterTitle" w:customStyle="1">
    <w:name w:val="Chapter Title"/>
    <w:basedOn w:val="Normal"/>
    <w:next w:val="Normal"/>
    <w:uiPriority w:val="99"/>
    <w:qFormat/>
    <w:rsid w:val="00ea1435"/>
    <w:pPr>
      <w:keepNext w:val="true"/>
      <w:keepLines/>
      <w:spacing w:lineRule="atLeast" w:line="440" w:before="480" w:after="360"/>
      <w:ind w:right="2160" w:hanging="0"/>
      <w:jc w:val="both"/>
    </w:pPr>
    <w:rPr>
      <w:rFonts w:ascii="Arial Black" w:hAnsi="Arial Black" w:eastAsia="Times New Roman" w:cs="Times New Roman"/>
      <w:color w:val="808080"/>
      <w:spacing w:val="-35"/>
      <w:kern w:val="2"/>
      <w:sz w:val="44"/>
      <w:szCs w:val="20"/>
    </w:rPr>
  </w:style>
  <w:style w:type="paragraph" w:styleId="Index1">
    <w:name w:val="index 1"/>
    <w:basedOn w:val="Normal"/>
    <w:semiHidden/>
    <w:qFormat/>
    <w:rsid w:val="00ea1435"/>
    <w:pPr>
      <w:tabs>
        <w:tab w:val="clear" w:pos="720"/>
        <w:tab w:val="right" w:pos="3960" w:leader="dot"/>
      </w:tabs>
      <w:spacing w:lineRule="atLeast" w:line="240" w:before="0" w:after="0"/>
      <w:ind w:left="720" w:hanging="720"/>
      <w:jc w:val="both"/>
    </w:pPr>
    <w:rPr>
      <w:rFonts w:ascii="Arial Black" w:hAnsi="Arial Black" w:eastAsia="Times New Roman" w:cs="Times New Roman"/>
      <w:sz w:val="15"/>
      <w:szCs w:val="20"/>
    </w:rPr>
  </w:style>
  <w:style w:type="paragraph" w:styleId="Index2">
    <w:name w:val="index 2"/>
    <w:basedOn w:val="Normal"/>
    <w:semiHidden/>
    <w:qFormat/>
    <w:rsid w:val="00ea1435"/>
    <w:pPr>
      <w:tabs>
        <w:tab w:val="clear" w:pos="720"/>
        <w:tab w:val="right" w:pos="3960" w:leader="dot"/>
      </w:tabs>
      <w:spacing w:lineRule="atLeast" w:line="240" w:before="0" w:after="0"/>
      <w:ind w:left="180" w:hanging="0"/>
      <w:jc w:val="both"/>
    </w:pPr>
    <w:rPr>
      <w:rFonts w:ascii="Arial Black" w:hAnsi="Arial Black" w:eastAsia="Times New Roman" w:cs="Times New Roman"/>
      <w:sz w:val="15"/>
      <w:szCs w:val="20"/>
    </w:rPr>
  </w:style>
  <w:style w:type="paragraph" w:styleId="Index3">
    <w:name w:val="index 3"/>
    <w:basedOn w:val="Normal"/>
    <w:semiHidden/>
    <w:qFormat/>
    <w:rsid w:val="00ea1435"/>
    <w:pPr>
      <w:tabs>
        <w:tab w:val="clear" w:pos="720"/>
        <w:tab w:val="right" w:pos="3960" w:leader="dot"/>
      </w:tabs>
      <w:spacing w:lineRule="atLeast" w:line="240" w:before="0" w:after="0"/>
      <w:ind w:left="180" w:hanging="0"/>
      <w:jc w:val="both"/>
    </w:pPr>
    <w:rPr>
      <w:rFonts w:ascii="Garamond" w:hAnsi="Garamond" w:eastAsia="Times New Roman" w:cs="Times New Roman"/>
      <w:sz w:val="18"/>
      <w:szCs w:val="20"/>
    </w:rPr>
  </w:style>
  <w:style w:type="paragraph" w:styleId="Index4">
    <w:name w:val="index 4"/>
    <w:basedOn w:val="Normal"/>
    <w:semiHidden/>
    <w:qFormat/>
    <w:rsid w:val="00ea1435"/>
    <w:pPr>
      <w:tabs>
        <w:tab w:val="clear" w:pos="720"/>
        <w:tab w:val="right" w:pos="3960" w:leader="none"/>
      </w:tabs>
      <w:spacing w:lineRule="atLeast" w:line="240" w:before="0" w:after="0"/>
      <w:ind w:left="180" w:hanging="0"/>
      <w:jc w:val="both"/>
    </w:pPr>
    <w:rPr>
      <w:rFonts w:ascii="Garamond" w:hAnsi="Garamond" w:eastAsia="Times New Roman" w:cs="Times New Roman"/>
      <w:sz w:val="18"/>
      <w:szCs w:val="20"/>
    </w:rPr>
  </w:style>
  <w:style w:type="paragraph" w:styleId="Index5">
    <w:name w:val="index 5"/>
    <w:basedOn w:val="Normal"/>
    <w:semiHidden/>
    <w:qFormat/>
    <w:rsid w:val="00ea1435"/>
    <w:pPr>
      <w:tabs>
        <w:tab w:val="clear" w:pos="720"/>
        <w:tab w:val="right" w:pos="3960" w:leader="none"/>
      </w:tabs>
      <w:spacing w:lineRule="atLeast" w:line="240" w:before="0" w:after="0"/>
      <w:ind w:left="180" w:hanging="0"/>
      <w:jc w:val="both"/>
    </w:pPr>
    <w:rPr>
      <w:rFonts w:ascii="Garamond" w:hAnsi="Garamond" w:eastAsia="Times New Roman" w:cs="Times New Roman"/>
      <w:sz w:val="18"/>
      <w:szCs w:val="20"/>
    </w:rPr>
  </w:style>
  <w:style w:type="paragraph" w:styleId="Index6">
    <w:name w:val="index 6"/>
    <w:basedOn w:val="Index1"/>
    <w:next w:val="Normal"/>
    <w:semiHidden/>
    <w:qFormat/>
    <w:rsid w:val="00ea1435"/>
    <w:pPr>
      <w:tabs>
        <w:tab w:val="right" w:pos="3600" w:leader="dot"/>
        <w:tab w:val="right" w:pos="3960" w:leader="dot"/>
      </w:tabs>
      <w:ind w:left="960" w:hanging="160"/>
    </w:pPr>
    <w:rPr/>
  </w:style>
  <w:style w:type="paragraph" w:styleId="Index7">
    <w:name w:val="index 7"/>
    <w:basedOn w:val="Index1"/>
    <w:next w:val="Normal"/>
    <w:semiHidden/>
    <w:qFormat/>
    <w:rsid w:val="00ea1435"/>
    <w:pPr>
      <w:tabs>
        <w:tab w:val="right" w:pos="3600" w:leader="dot"/>
        <w:tab w:val="right" w:pos="3960" w:leader="dot"/>
      </w:tabs>
      <w:ind w:left="1120" w:hanging="160"/>
    </w:pPr>
    <w:rPr/>
  </w:style>
  <w:style w:type="paragraph" w:styleId="Index8">
    <w:name w:val="index 8"/>
    <w:basedOn w:val="Normal"/>
    <w:next w:val="Normal"/>
    <w:semiHidden/>
    <w:qFormat/>
    <w:rsid w:val="00ea1435"/>
    <w:pPr>
      <w:tabs>
        <w:tab w:val="clear" w:pos="720"/>
        <w:tab w:val="right" w:pos="3600" w:leader="dot"/>
      </w:tabs>
      <w:spacing w:lineRule="auto" w:line="240" w:before="0" w:after="0"/>
      <w:ind w:left="1280" w:hanging="160"/>
      <w:jc w:val="both"/>
    </w:pPr>
    <w:rPr>
      <w:rFonts w:ascii="Garamond" w:hAnsi="Garamond" w:eastAsia="Times New Roman" w:cs="Times New Roman"/>
      <w:sz w:val="16"/>
      <w:szCs w:val="20"/>
    </w:rPr>
  </w:style>
  <w:style w:type="paragraph" w:styleId="Indexheading">
    <w:name w:val="index heading"/>
    <w:basedOn w:val="Normal"/>
    <w:next w:val="Index1"/>
    <w:semiHidden/>
    <w:qFormat/>
    <w:rsid w:val="00ea1435"/>
    <w:pPr>
      <w:keepNext w:val="true"/>
      <w:spacing w:lineRule="exact" w:line="480" w:before="0" w:after="0"/>
      <w:jc w:val="both"/>
    </w:pPr>
    <w:rPr>
      <w:rFonts w:ascii="Garamond" w:hAnsi="Garamond" w:eastAsia="Times New Roman" w:cs="Times New Roman"/>
      <w:caps/>
      <w:color w:val="808080"/>
      <w:kern w:val="2"/>
      <w:sz w:val="36"/>
      <w:szCs w:val="20"/>
    </w:rPr>
  </w:style>
  <w:style w:type="paragraph" w:styleId="Tableofauthorities">
    <w:name w:val="table of authorities"/>
    <w:basedOn w:val="Normal"/>
    <w:semiHidden/>
    <w:qFormat/>
    <w:rsid w:val="00ea1435"/>
    <w:pPr>
      <w:tabs>
        <w:tab w:val="clear" w:pos="720"/>
        <w:tab w:val="right" w:pos="8640" w:leader="dot"/>
      </w:tabs>
      <w:spacing w:lineRule="auto" w:line="240" w:before="0" w:after="240"/>
      <w:jc w:val="both"/>
    </w:pPr>
    <w:rPr>
      <w:rFonts w:ascii="Garamond" w:hAnsi="Garamond" w:eastAsia="Times New Roman" w:cs="Times New Roman"/>
      <w:sz w:val="20"/>
      <w:szCs w:val="20"/>
    </w:rPr>
  </w:style>
  <w:style w:type="paragraph" w:styleId="Macro">
    <w:name w:val="macro"/>
    <w:basedOn w:val="TextBody"/>
    <w:link w:val="MacroTextChar"/>
    <w:semiHidden/>
    <w:qFormat/>
    <w:rsid w:val="00ea1435"/>
    <w:pPr>
      <w:spacing w:before="0" w:after="240"/>
      <w:jc w:val="both"/>
    </w:pPr>
    <w:rPr>
      <w:rFonts w:ascii="Courier New" w:hAnsi="Courier New" w:eastAsia="Times New Roman"/>
      <w:spacing w:val="-5"/>
      <w:szCs w:val="20"/>
      <w:lang w:val="en-US" w:eastAsia="en-US"/>
    </w:rPr>
  </w:style>
  <w:style w:type="paragraph" w:styleId="Toaheading">
    <w:name w:val="toa heading"/>
    <w:basedOn w:val="Normal"/>
    <w:next w:val="Normal"/>
    <w:semiHidden/>
    <w:qFormat/>
    <w:rsid w:val="00ea1435"/>
    <w:pPr>
      <w:pBdr>
        <w:top w:val="single" w:sz="24" w:space="1" w:color="000000"/>
      </w:pBdr>
      <w:tabs>
        <w:tab w:val="clear" w:pos="720"/>
        <w:tab w:val="right" w:pos="4740" w:leader="none"/>
      </w:tabs>
      <w:spacing w:lineRule="exact" w:line="360" w:before="60" w:after="60"/>
      <w:jc w:val="center"/>
    </w:pPr>
    <w:rPr>
      <w:rFonts w:ascii="Arial Black" w:hAnsi="Arial Black" w:eastAsia="Times New Roman" w:cs="Times New Roman"/>
      <w:b/>
      <w:spacing w:val="-10"/>
      <w:szCs w:val="20"/>
    </w:rPr>
  </w:style>
  <w:style w:type="paragraph" w:styleId="ListNumber">
    <w:name w:val="List Number"/>
    <w:basedOn w:val="List"/>
    <w:qFormat/>
    <w:rsid w:val="00ea1435"/>
    <w:pPr>
      <w:suppressAutoHyphens w:val="false"/>
      <w:spacing w:before="0" w:after="240"/>
      <w:ind w:left="720" w:right="360" w:hanging="360"/>
    </w:pPr>
    <w:rPr>
      <w:rFonts w:ascii="Garamond" w:hAnsi="Garamond" w:cs="Times New Roman"/>
      <w:spacing w:val="-5"/>
      <w:lang w:val="en-US" w:eastAsia="en-US"/>
    </w:rPr>
  </w:style>
  <w:style w:type="paragraph" w:styleId="List3">
    <w:name w:val="List Bullet 4"/>
    <w:basedOn w:val="List"/>
    <w:rsid w:val="00ea1435"/>
    <w:pPr>
      <w:tabs>
        <w:tab w:val="clear" w:pos="720"/>
        <w:tab w:val="left" w:pos="1440" w:leader="none"/>
      </w:tabs>
      <w:suppressAutoHyphens w:val="false"/>
      <w:spacing w:before="0" w:after="240"/>
      <w:ind w:left="1440" w:hanging="0"/>
    </w:pPr>
    <w:rPr>
      <w:rFonts w:ascii="Garamond" w:hAnsi="Garamond" w:cs="Times New Roman"/>
      <w:spacing w:val="-5"/>
      <w:lang w:val="en-US" w:eastAsia="en-US"/>
    </w:rPr>
  </w:style>
  <w:style w:type="paragraph" w:styleId="List4">
    <w:name w:val="List Bullet 5"/>
    <w:basedOn w:val="List"/>
    <w:rsid w:val="00ea1435"/>
    <w:pPr>
      <w:tabs>
        <w:tab w:val="clear" w:pos="720"/>
        <w:tab w:val="left" w:pos="1800" w:leader="none"/>
      </w:tabs>
      <w:suppressAutoHyphens w:val="false"/>
      <w:spacing w:before="0" w:after="240"/>
      <w:ind w:left="1800" w:hanging="0"/>
    </w:pPr>
    <w:rPr>
      <w:rFonts w:ascii="Garamond" w:hAnsi="Garamond" w:cs="Times New Roman"/>
      <w:spacing w:val="-5"/>
      <w:lang w:val="en-US" w:eastAsia="en-US"/>
    </w:rPr>
  </w:style>
  <w:style w:type="paragraph" w:styleId="List5">
    <w:name w:val="List Number"/>
    <w:basedOn w:val="List"/>
    <w:rsid w:val="00ea1435"/>
    <w:pPr>
      <w:tabs>
        <w:tab w:val="clear" w:pos="720"/>
        <w:tab w:val="left" w:pos="2160" w:leader="none"/>
      </w:tabs>
      <w:suppressAutoHyphens w:val="false"/>
      <w:spacing w:before="0" w:after="240"/>
      <w:ind w:left="2160" w:hanging="0"/>
    </w:pPr>
    <w:rPr>
      <w:rFonts w:ascii="Garamond" w:hAnsi="Garamond" w:cs="Times New Roman"/>
      <w:spacing w:val="-5"/>
      <w:lang w:val="en-US" w:eastAsia="en-US"/>
    </w:rPr>
  </w:style>
  <w:style w:type="paragraph" w:styleId="ListBullet2">
    <w:name w:val="List Bullet 2"/>
    <w:basedOn w:val="ListBullet"/>
    <w:qFormat/>
    <w:rsid w:val="00ea1435"/>
    <w:pPr>
      <w:tabs>
        <w:tab w:val="clear" w:pos="720"/>
        <w:tab w:val="left" w:pos="360" w:leader="none"/>
      </w:tabs>
      <w:spacing w:before="0" w:after="240"/>
      <w:ind w:left="1080" w:right="360" w:hanging="360"/>
    </w:pPr>
    <w:rPr>
      <w:rFonts w:ascii="Garamond" w:hAnsi="Garamond"/>
      <w:spacing w:val="-5"/>
    </w:rPr>
  </w:style>
  <w:style w:type="paragraph" w:styleId="ListBullet4">
    <w:name w:val="List Bullet 4"/>
    <w:basedOn w:val="ListBullet"/>
    <w:qFormat/>
    <w:rsid w:val="00ea1435"/>
    <w:pPr>
      <w:tabs>
        <w:tab w:val="clear" w:pos="720"/>
        <w:tab w:val="left" w:pos="360" w:leader="none"/>
      </w:tabs>
      <w:spacing w:before="0" w:after="240"/>
      <w:ind w:left="1800" w:right="360" w:hanging="360"/>
    </w:pPr>
    <w:rPr>
      <w:rFonts w:ascii="Garamond" w:hAnsi="Garamond"/>
      <w:spacing w:val="-5"/>
    </w:rPr>
  </w:style>
  <w:style w:type="paragraph" w:styleId="ListBullet5">
    <w:name w:val="List Bullet 5"/>
    <w:basedOn w:val="Normal"/>
    <w:qFormat/>
    <w:rsid w:val="00ea1435"/>
    <w:pPr>
      <w:pBdr>
        <w:bottom w:val="single" w:sz="6" w:space="0" w:color="000000"/>
      </w:pBdr>
      <w:spacing w:lineRule="exact" w:line="320" w:before="0" w:after="0"/>
      <w:jc w:val="both"/>
    </w:pPr>
    <w:rPr>
      <w:rFonts w:ascii="Garamond" w:hAnsi="Garamond" w:eastAsia="Times New Roman" w:cs="Times New Roman"/>
      <w:sz w:val="18"/>
      <w:szCs w:val="20"/>
    </w:rPr>
  </w:style>
  <w:style w:type="paragraph" w:styleId="ListNumber2">
    <w:name w:val="List Number 2"/>
    <w:basedOn w:val="ListNumber"/>
    <w:qFormat/>
    <w:rsid w:val="00ea1435"/>
    <w:pPr>
      <w:ind w:left="1080" w:right="360" w:hanging="360"/>
    </w:pPr>
    <w:rPr/>
  </w:style>
  <w:style w:type="paragraph" w:styleId="ListNumber3">
    <w:name w:val="List Number 3"/>
    <w:basedOn w:val="ListNumber"/>
    <w:qFormat/>
    <w:rsid w:val="00ea1435"/>
    <w:pPr>
      <w:ind w:left="1440" w:right="360" w:hanging="360"/>
    </w:pPr>
    <w:rPr/>
  </w:style>
  <w:style w:type="paragraph" w:styleId="ListNumber4">
    <w:name w:val="List Number 4"/>
    <w:basedOn w:val="ListNumber"/>
    <w:qFormat/>
    <w:rsid w:val="00ea1435"/>
    <w:pPr>
      <w:ind w:left="1800" w:right="360" w:hanging="360"/>
    </w:pPr>
    <w:rPr/>
  </w:style>
  <w:style w:type="paragraph" w:styleId="ListNumber5">
    <w:name w:val="List Number 5"/>
    <w:basedOn w:val="ListNumber"/>
    <w:qFormat/>
    <w:rsid w:val="00ea1435"/>
    <w:pPr>
      <w:ind w:left="2160" w:right="360" w:hanging="360"/>
    </w:pPr>
    <w:rPr/>
  </w:style>
  <w:style w:type="paragraph" w:styleId="ListContinue2">
    <w:name w:val="List Continue 2"/>
    <w:basedOn w:val="ListContinue"/>
    <w:qFormat/>
    <w:rsid w:val="00ea1435"/>
    <w:pPr>
      <w:spacing w:before="0" w:after="160"/>
      <w:ind w:left="1080" w:hanging="0"/>
      <w:jc w:val="both"/>
    </w:pPr>
    <w:rPr>
      <w:rFonts w:ascii="Garamond" w:hAnsi="Garamond"/>
      <w:spacing w:val="-5"/>
      <w:szCs w:val="20"/>
      <w:lang w:val="en-US"/>
    </w:rPr>
  </w:style>
  <w:style w:type="paragraph" w:styleId="ListContinue3">
    <w:name w:val="List Continue 3"/>
    <w:basedOn w:val="ListContinue"/>
    <w:qFormat/>
    <w:rsid w:val="00ea1435"/>
    <w:pPr>
      <w:spacing w:before="0" w:after="160"/>
      <w:ind w:left="1440" w:hanging="0"/>
      <w:jc w:val="both"/>
    </w:pPr>
    <w:rPr>
      <w:rFonts w:ascii="Garamond" w:hAnsi="Garamond"/>
      <w:spacing w:val="-5"/>
      <w:szCs w:val="20"/>
      <w:lang w:val="en-US"/>
    </w:rPr>
  </w:style>
  <w:style w:type="paragraph" w:styleId="ListContinue4">
    <w:name w:val="List Continue 4"/>
    <w:basedOn w:val="ListContinue"/>
    <w:qFormat/>
    <w:rsid w:val="00ea1435"/>
    <w:pPr>
      <w:spacing w:before="0" w:after="160"/>
      <w:ind w:left="1800" w:hanging="0"/>
      <w:jc w:val="both"/>
    </w:pPr>
    <w:rPr>
      <w:rFonts w:ascii="Garamond" w:hAnsi="Garamond"/>
      <w:spacing w:val="-5"/>
      <w:szCs w:val="20"/>
      <w:lang w:val="en-US"/>
    </w:rPr>
  </w:style>
  <w:style w:type="paragraph" w:styleId="ListContinue5">
    <w:name w:val="List Continue 5"/>
    <w:basedOn w:val="ListContinue"/>
    <w:qFormat/>
    <w:rsid w:val="00ea1435"/>
    <w:pPr>
      <w:spacing w:before="0" w:after="160"/>
      <w:ind w:left="2160" w:hanging="0"/>
      <w:jc w:val="both"/>
    </w:pPr>
    <w:rPr>
      <w:rFonts w:ascii="Garamond" w:hAnsi="Garamond"/>
      <w:spacing w:val="-5"/>
      <w:szCs w:val="20"/>
      <w:lang w:val="en-US"/>
    </w:rPr>
  </w:style>
  <w:style w:type="paragraph" w:styleId="BlockQuotation" w:customStyle="1">
    <w:name w:val="Block Quotation"/>
    <w:basedOn w:val="Normal"/>
    <w:next w:val="TextBody"/>
    <w:uiPriority w:val="99"/>
    <w:qFormat/>
    <w:rsid w:val="00ea1435"/>
    <w:pPr>
      <w:pBdr>
        <w:top w:val="single" w:sz="6" w:space="12" w:color="FFFFFF"/>
        <w:left w:val="single" w:sz="6" w:space="12" w:color="FFFFFF"/>
        <w:bottom w:val="single" w:sz="6" w:space="12" w:color="FFFFFF"/>
        <w:right w:val="single" w:sz="6" w:space="12" w:color="FFFFFF"/>
      </w:pBdr>
      <w:shd w:val="pct10" w:color="808080" w:fill="auto"/>
      <w:spacing w:lineRule="auto" w:line="240" w:before="0" w:after="240"/>
      <w:ind w:left="600" w:right="600" w:hanging="0"/>
      <w:jc w:val="both"/>
    </w:pPr>
    <w:rPr>
      <w:rFonts w:ascii="Garamond" w:hAnsi="Garamond" w:eastAsia="Times New Roman" w:cs="Times New Roman"/>
      <w:spacing w:val="-5"/>
      <w:sz w:val="24"/>
      <w:szCs w:val="20"/>
    </w:rPr>
  </w:style>
  <w:style w:type="paragraph" w:styleId="BlockQuotationFirst" w:customStyle="1">
    <w:name w:val="Block Quotation First"/>
    <w:basedOn w:val="Normal"/>
    <w:next w:val="BlockQuotation"/>
    <w:uiPriority w:val="99"/>
    <w:qFormat/>
    <w:rsid w:val="00ea1435"/>
    <w:pPr>
      <w:keepLines/>
      <w:pBdr>
        <w:top w:val="single" w:sz="6" w:space="6" w:color="FFFFFF"/>
        <w:left w:val="single" w:sz="6" w:space="6" w:color="FFFFFF"/>
        <w:right w:val="single" w:sz="6" w:space="6" w:color="FFFFFF"/>
      </w:pBdr>
      <w:shd w:val="pct10" w:color="auto" w:fill="auto"/>
      <w:spacing w:lineRule="auto" w:line="240" w:before="0" w:after="0"/>
      <w:ind w:left="480" w:right="480" w:firstLine="60"/>
      <w:jc w:val="both"/>
    </w:pPr>
    <w:rPr>
      <w:rFonts w:ascii="Arial Black" w:hAnsi="Arial Black" w:eastAsia="Times New Roman" w:cs="Times New Roman"/>
      <w:spacing w:val="-10"/>
      <w:sz w:val="21"/>
      <w:szCs w:val="20"/>
    </w:rPr>
  </w:style>
  <w:style w:type="paragraph" w:styleId="BlockQuotationLast" w:customStyle="1">
    <w:name w:val="Block Quotation Last"/>
    <w:basedOn w:val="BlockQuotation"/>
    <w:next w:val="TextBody"/>
    <w:uiPriority w:val="99"/>
    <w:qFormat/>
    <w:rsid w:val="00ea1435"/>
    <w:pPr>
      <w:keepLines/>
      <w:pBdr/>
      <w:shd w:val="clear" w:color="auto" w:fill="auto"/>
      <w:ind w:left="720" w:right="720" w:hanging="0"/>
      <w:jc w:val="left"/>
    </w:pPr>
    <w:rPr>
      <w:rFonts w:ascii="Times New Roman" w:hAnsi="Times New Roman"/>
      <w:i/>
      <w:spacing w:val="0"/>
      <w:sz w:val="20"/>
    </w:rPr>
  </w:style>
  <w:style w:type="paragraph" w:styleId="BodyTextKeep" w:customStyle="1">
    <w:name w:val="Body Text Keep"/>
    <w:basedOn w:val="TextBody"/>
    <w:next w:val="TextBody"/>
    <w:uiPriority w:val="99"/>
    <w:qFormat/>
    <w:rsid w:val="00ea1435"/>
    <w:pPr>
      <w:keepNext w:val="true"/>
      <w:spacing w:before="0" w:after="240"/>
      <w:jc w:val="both"/>
    </w:pPr>
    <w:rPr>
      <w:rFonts w:ascii="Garamond" w:hAnsi="Garamond" w:eastAsia="Times New Roman"/>
      <w:spacing w:val="-5"/>
      <w:szCs w:val="20"/>
      <w:lang w:val="en-US" w:eastAsia="en-US"/>
    </w:rPr>
  </w:style>
  <w:style w:type="paragraph" w:styleId="ChapterLabel" w:customStyle="1">
    <w:name w:val="Chapter Label"/>
    <w:basedOn w:val="Normal"/>
    <w:next w:val="TextBody"/>
    <w:uiPriority w:val="99"/>
    <w:qFormat/>
    <w:rsid w:val="00ea1435"/>
    <w:pPr>
      <w:keepNext w:val="true"/>
      <w:pBdr>
        <w:bottom w:val="single" w:sz="6" w:space="3" w:color="000000"/>
      </w:pBdr>
      <w:spacing w:lineRule="auto" w:line="240" w:before="0" w:after="240"/>
      <w:jc w:val="both"/>
    </w:pPr>
    <w:rPr>
      <w:rFonts w:ascii="Arial Black" w:hAnsi="Arial Black" w:eastAsia="Times New Roman" w:cs="Times New Roman"/>
      <w:caps/>
      <w:spacing w:val="70"/>
      <w:kern w:val="2"/>
      <w:sz w:val="15"/>
      <w:szCs w:val="20"/>
    </w:rPr>
  </w:style>
  <w:style w:type="paragraph" w:styleId="ChapterSubtitle" w:customStyle="1">
    <w:name w:val="Chapter Subtitle"/>
    <w:basedOn w:val="Normal"/>
    <w:next w:val="TextBody"/>
    <w:uiPriority w:val="99"/>
    <w:qFormat/>
    <w:rsid w:val="00ea1435"/>
    <w:pPr>
      <w:keepNext w:val="true"/>
      <w:keepLines/>
      <w:spacing w:lineRule="atLeast" w:line="240" w:before="0" w:after="360"/>
      <w:ind w:right="1800" w:hanging="0"/>
      <w:jc w:val="both"/>
    </w:pPr>
    <w:rPr>
      <w:rFonts w:ascii="Garamond" w:hAnsi="Garamond" w:eastAsia="Times New Roman" w:cs="Times New Roman"/>
      <w:i/>
      <w:spacing w:val="-20"/>
      <w:kern w:val="2"/>
      <w:sz w:val="28"/>
      <w:szCs w:val="20"/>
    </w:rPr>
  </w:style>
  <w:style w:type="paragraph" w:styleId="FooterEven" w:customStyle="1">
    <w:name w:val="Footer Even"/>
    <w:basedOn w:val="Footer"/>
    <w:uiPriority w:val="99"/>
    <w:qFormat/>
    <w:rsid w:val="00ea1435"/>
    <w:pPr>
      <w:keepLines/>
      <w:pBdr>
        <w:top w:val="single" w:sz="6" w:space="3" w:color="000000"/>
      </w:pBdr>
      <w:tabs>
        <w:tab w:val="clear" w:pos="4536"/>
        <w:tab w:val="clear" w:pos="9072"/>
        <w:tab w:val="center" w:pos="4320" w:leader="none"/>
        <w:tab w:val="right" w:pos="8640" w:leader="none"/>
      </w:tabs>
      <w:jc w:val="center"/>
    </w:pPr>
    <w:rPr>
      <w:rFonts w:ascii="Arial Black" w:hAnsi="Arial Black" w:eastAsia="Times New Roman" w:cs="Times New Roman"/>
      <w:sz w:val="16"/>
      <w:szCs w:val="20"/>
      <w:lang w:val="en-US"/>
    </w:rPr>
  </w:style>
  <w:style w:type="paragraph" w:styleId="FooterOdd" w:customStyle="1">
    <w:name w:val="Footer Odd"/>
    <w:basedOn w:val="Footer"/>
    <w:uiPriority w:val="99"/>
    <w:qFormat/>
    <w:rsid w:val="00ea1435"/>
    <w:pPr>
      <w:keepLines/>
      <w:pBdr>
        <w:top w:val="single" w:sz="6" w:space="3" w:color="000000"/>
      </w:pBdr>
      <w:tabs>
        <w:tab w:val="clear" w:pos="4536"/>
        <w:tab w:val="clear" w:pos="9072"/>
        <w:tab w:val="right" w:pos="0" w:leader="none"/>
        <w:tab w:val="center" w:pos="4320" w:leader="none"/>
        <w:tab w:val="right" w:pos="8640" w:leader="none"/>
      </w:tabs>
      <w:jc w:val="center"/>
    </w:pPr>
    <w:rPr>
      <w:rFonts w:ascii="Arial Black" w:hAnsi="Arial Black" w:eastAsia="Times New Roman" w:cs="Times New Roman"/>
      <w:sz w:val="16"/>
      <w:szCs w:val="20"/>
      <w:lang w:val="en-US"/>
    </w:rPr>
  </w:style>
  <w:style w:type="paragraph" w:styleId="FootnoteBase" w:customStyle="1">
    <w:name w:val="Footnote Base"/>
    <w:basedOn w:val="Normal"/>
    <w:uiPriority w:val="99"/>
    <w:qFormat/>
    <w:rsid w:val="00ea1435"/>
    <w:pPr>
      <w:spacing w:lineRule="auto" w:line="240" w:before="240" w:after="0"/>
      <w:jc w:val="both"/>
    </w:pPr>
    <w:rPr>
      <w:rFonts w:ascii="Garamond" w:hAnsi="Garamond" w:eastAsia="Times New Roman" w:cs="Times New Roman"/>
      <w:sz w:val="18"/>
      <w:szCs w:val="20"/>
    </w:rPr>
  </w:style>
  <w:style w:type="paragraph" w:styleId="HeaderBase" w:customStyle="1">
    <w:name w:val="Header Base"/>
    <w:basedOn w:val="Normal"/>
    <w:uiPriority w:val="99"/>
    <w:qFormat/>
    <w:rsid w:val="00ea1435"/>
    <w:pPr>
      <w:keepLines/>
      <w:tabs>
        <w:tab w:val="clear" w:pos="720"/>
        <w:tab w:val="center" w:pos="4320" w:leader="none"/>
        <w:tab w:val="right" w:pos="8640" w:leader="none"/>
      </w:tabs>
      <w:spacing w:lineRule="auto" w:line="240" w:before="0" w:after="0"/>
      <w:jc w:val="both"/>
    </w:pPr>
    <w:rPr>
      <w:rFonts w:ascii="Garamond" w:hAnsi="Garamond" w:eastAsia="Times New Roman" w:cs="Times New Roman"/>
      <w:sz w:val="16"/>
      <w:szCs w:val="20"/>
    </w:rPr>
  </w:style>
  <w:style w:type="paragraph" w:styleId="HeaderEven" w:customStyle="1">
    <w:name w:val="Header Even"/>
    <w:basedOn w:val="Header"/>
    <w:uiPriority w:val="99"/>
    <w:qFormat/>
    <w:rsid w:val="00ea1435"/>
    <w:pPr>
      <w:keepLines/>
      <w:tabs>
        <w:tab w:val="clear" w:pos="4536"/>
        <w:tab w:val="clear" w:pos="9072"/>
        <w:tab w:val="center" w:pos="4320" w:leader="none"/>
        <w:tab w:val="right" w:pos="8640" w:leader="none"/>
      </w:tabs>
      <w:jc w:val="both"/>
    </w:pPr>
    <w:rPr>
      <w:rFonts w:ascii="Arial Black" w:hAnsi="Arial Black" w:eastAsia="Times New Roman" w:cs="Times New Roman"/>
      <w:caps/>
      <w:spacing w:val="60"/>
      <w:sz w:val="14"/>
      <w:szCs w:val="20"/>
      <w:lang w:val="en-US"/>
    </w:rPr>
  </w:style>
  <w:style w:type="paragraph" w:styleId="HeaderFirst" w:customStyle="1">
    <w:name w:val="Header First"/>
    <w:basedOn w:val="Header"/>
    <w:uiPriority w:val="99"/>
    <w:qFormat/>
    <w:rsid w:val="00ea1435"/>
    <w:pPr>
      <w:keepLines/>
      <w:tabs>
        <w:tab w:val="clear" w:pos="4536"/>
        <w:tab w:val="clear" w:pos="9072"/>
        <w:tab w:val="center" w:pos="4320" w:leader="none"/>
      </w:tabs>
      <w:jc w:val="both"/>
    </w:pPr>
    <w:rPr>
      <w:rFonts w:ascii="Garamond" w:hAnsi="Garamond" w:eastAsia="Times New Roman" w:cs="Times New Roman"/>
      <w:b/>
      <w:caps/>
      <w:spacing w:val="60"/>
      <w:sz w:val="14"/>
      <w:szCs w:val="20"/>
      <w:lang w:val="en-US"/>
    </w:rPr>
  </w:style>
  <w:style w:type="paragraph" w:styleId="HeaderOdd" w:customStyle="1">
    <w:name w:val="Header Odd"/>
    <w:basedOn w:val="Header"/>
    <w:uiPriority w:val="99"/>
    <w:qFormat/>
    <w:rsid w:val="00ea1435"/>
    <w:pPr>
      <w:keepLines/>
      <w:tabs>
        <w:tab w:val="clear" w:pos="4536"/>
        <w:tab w:val="clear" w:pos="9072"/>
        <w:tab w:val="right" w:pos="0" w:leader="none"/>
        <w:tab w:val="center" w:pos="4320" w:leader="none"/>
        <w:tab w:val="right" w:pos="8640" w:leader="none"/>
      </w:tabs>
      <w:jc w:val="right"/>
    </w:pPr>
    <w:rPr>
      <w:rFonts w:ascii="Arial Black" w:hAnsi="Arial Black" w:eastAsia="Times New Roman" w:cs="Times New Roman"/>
      <w:caps/>
      <w:spacing w:val="60"/>
      <w:sz w:val="14"/>
      <w:szCs w:val="20"/>
      <w:lang w:val="en-US"/>
    </w:rPr>
  </w:style>
  <w:style w:type="paragraph" w:styleId="HeadingBase" w:customStyle="1">
    <w:name w:val="Heading Base"/>
    <w:basedOn w:val="Normal"/>
    <w:next w:val="TextBody"/>
    <w:uiPriority w:val="99"/>
    <w:qFormat/>
    <w:rsid w:val="00ea1435"/>
    <w:pPr>
      <w:keepNext w:val="true"/>
      <w:spacing w:lineRule="auto" w:line="240" w:before="240" w:after="120"/>
      <w:jc w:val="both"/>
    </w:pPr>
    <w:rPr>
      <w:rFonts w:ascii="Arial" w:hAnsi="Arial" w:eastAsia="Times New Roman" w:cs="Times New Roman"/>
      <w:b/>
      <w:kern w:val="2"/>
      <w:sz w:val="36"/>
      <w:szCs w:val="20"/>
    </w:rPr>
  </w:style>
  <w:style w:type="paragraph" w:styleId="Icon1" w:customStyle="1">
    <w:name w:val="Icon 1"/>
    <w:basedOn w:val="Normal"/>
    <w:uiPriority w:val="99"/>
    <w:qFormat/>
    <w:rsid w:val="00ea1435"/>
    <w:pPr>
      <w:shd w:val="pct10" w:color="auto" w:fill="auto"/>
      <w:spacing w:lineRule="exact" w:line="1440" w:before="60" w:after="0"/>
      <w:jc w:val="center"/>
    </w:pPr>
    <w:rPr>
      <w:rFonts w:ascii="Wingdings" w:hAnsi="Wingdings" w:eastAsia="Times New Roman" w:cs="Times New Roman"/>
      <w:b/>
      <w:color w:val="FFFFFF"/>
      <w:spacing w:val="-10"/>
      <w:sz w:val="160"/>
      <w:szCs w:val="20"/>
    </w:rPr>
  </w:style>
  <w:style w:type="paragraph" w:styleId="IndexBase" w:customStyle="1">
    <w:name w:val="Index Base"/>
    <w:basedOn w:val="Normal"/>
    <w:uiPriority w:val="99"/>
    <w:qFormat/>
    <w:rsid w:val="00ea1435"/>
    <w:pPr>
      <w:tabs>
        <w:tab w:val="clear" w:pos="720"/>
        <w:tab w:val="right" w:pos="3960" w:leader="none"/>
      </w:tabs>
      <w:spacing w:lineRule="atLeast" w:line="240" w:before="0" w:after="0"/>
      <w:jc w:val="both"/>
    </w:pPr>
    <w:rPr>
      <w:rFonts w:ascii="Garamond" w:hAnsi="Garamond" w:eastAsia="Times New Roman" w:cs="Times New Roman"/>
      <w:sz w:val="18"/>
      <w:szCs w:val="20"/>
    </w:rPr>
  </w:style>
  <w:style w:type="paragraph" w:styleId="ListBulletFirst" w:customStyle="1">
    <w:name w:val="List Bullet First"/>
    <w:basedOn w:val="ListBullet"/>
    <w:next w:val="ListBullet"/>
    <w:uiPriority w:val="99"/>
    <w:qFormat/>
    <w:rsid w:val="00ea1435"/>
    <w:pPr>
      <w:tabs>
        <w:tab w:val="clear" w:pos="720"/>
        <w:tab w:val="left" w:pos="360" w:leader="none"/>
      </w:tabs>
      <w:spacing w:before="80" w:after="160"/>
      <w:ind w:left="360" w:hanging="360"/>
      <w:jc w:val="left"/>
    </w:pPr>
    <w:rPr>
      <w:sz w:val="20"/>
    </w:rPr>
  </w:style>
  <w:style w:type="paragraph" w:styleId="ListBulletLast" w:customStyle="1">
    <w:name w:val="List Bullet Last"/>
    <w:basedOn w:val="ListBullet"/>
    <w:next w:val="TextBody"/>
    <w:uiPriority w:val="99"/>
    <w:qFormat/>
    <w:rsid w:val="00ea1435"/>
    <w:pPr>
      <w:tabs>
        <w:tab w:val="clear" w:pos="720"/>
        <w:tab w:val="left" w:pos="360" w:leader="none"/>
      </w:tabs>
      <w:spacing w:before="0" w:after="240"/>
      <w:ind w:left="360" w:hanging="360"/>
      <w:jc w:val="left"/>
    </w:pPr>
    <w:rPr>
      <w:sz w:val="20"/>
    </w:rPr>
  </w:style>
  <w:style w:type="paragraph" w:styleId="ListFirst" w:customStyle="1">
    <w:name w:val="List First"/>
    <w:basedOn w:val="List"/>
    <w:next w:val="List"/>
    <w:uiPriority w:val="99"/>
    <w:qFormat/>
    <w:rsid w:val="00ea1435"/>
    <w:pPr>
      <w:tabs>
        <w:tab w:val="left" w:pos="720" w:leader="none"/>
      </w:tabs>
      <w:suppressAutoHyphens w:val="false"/>
      <w:spacing w:before="80" w:after="80"/>
      <w:ind w:left="720" w:hanging="360"/>
      <w:jc w:val="left"/>
    </w:pPr>
    <w:rPr>
      <w:rFonts w:cs="Times New Roman"/>
      <w:sz w:val="20"/>
      <w:lang w:val="en-US" w:eastAsia="en-US"/>
    </w:rPr>
  </w:style>
  <w:style w:type="paragraph" w:styleId="ListLast" w:customStyle="1">
    <w:name w:val="List Last"/>
    <w:basedOn w:val="List"/>
    <w:next w:val="TextBody"/>
    <w:uiPriority w:val="99"/>
    <w:qFormat/>
    <w:rsid w:val="00ea1435"/>
    <w:pPr>
      <w:tabs>
        <w:tab w:val="left" w:pos="720" w:leader="none"/>
      </w:tabs>
      <w:suppressAutoHyphens w:val="false"/>
      <w:spacing w:before="0" w:after="240"/>
      <w:ind w:left="720" w:hanging="360"/>
      <w:jc w:val="left"/>
    </w:pPr>
    <w:rPr>
      <w:rFonts w:cs="Times New Roman"/>
      <w:sz w:val="20"/>
      <w:lang w:val="en-US" w:eastAsia="en-US"/>
    </w:rPr>
  </w:style>
  <w:style w:type="paragraph" w:styleId="ListNumberFirst" w:customStyle="1">
    <w:name w:val="List Number First"/>
    <w:basedOn w:val="ListNumber"/>
    <w:next w:val="ListNumber"/>
    <w:uiPriority w:val="99"/>
    <w:qFormat/>
    <w:rsid w:val="00ea1435"/>
    <w:pPr>
      <w:spacing w:before="80" w:after="160"/>
      <w:ind w:left="720" w:right="0" w:hanging="360"/>
      <w:jc w:val="left"/>
    </w:pPr>
    <w:rPr>
      <w:rFonts w:ascii="Times New Roman" w:hAnsi="Times New Roman"/>
      <w:spacing w:val="0"/>
      <w:sz w:val="20"/>
    </w:rPr>
  </w:style>
  <w:style w:type="paragraph" w:styleId="ListNumberLast" w:customStyle="1">
    <w:name w:val="List Number Last"/>
    <w:basedOn w:val="ListNumber"/>
    <w:next w:val="TextBody"/>
    <w:uiPriority w:val="99"/>
    <w:qFormat/>
    <w:rsid w:val="00ea1435"/>
    <w:pPr>
      <w:ind w:left="720" w:right="0" w:hanging="360"/>
      <w:jc w:val="left"/>
    </w:pPr>
    <w:rPr>
      <w:rFonts w:ascii="Times New Roman" w:hAnsi="Times New Roman"/>
      <w:spacing w:val="0"/>
      <w:sz w:val="20"/>
    </w:rPr>
  </w:style>
  <w:style w:type="paragraph" w:styleId="PartLabel" w:customStyle="1">
    <w:name w:val="Part Label"/>
    <w:basedOn w:val="Normal"/>
    <w:next w:val="Normal"/>
    <w:uiPriority w:val="99"/>
    <w:qFormat/>
    <w:rsid w:val="00ea1435"/>
    <w:pPr>
      <w:shd w:val="pct20" w:color="auto" w:fill="auto"/>
      <w:spacing w:lineRule="exact" w:line="1560" w:before="320" w:after="0"/>
      <w:jc w:val="center"/>
    </w:pPr>
    <w:rPr>
      <w:rFonts w:ascii="Arial Black" w:hAnsi="Arial Black" w:eastAsia="Times New Roman" w:cs="Times New Roman"/>
      <w:color w:val="FFFFFF"/>
      <w:sz w:val="196"/>
      <w:szCs w:val="20"/>
    </w:rPr>
  </w:style>
  <w:style w:type="paragraph" w:styleId="PartSubtitle" w:customStyle="1">
    <w:name w:val="Part Subtitle"/>
    <w:basedOn w:val="Normal"/>
    <w:next w:val="TextBody"/>
    <w:uiPriority w:val="99"/>
    <w:qFormat/>
    <w:rsid w:val="00ea1435"/>
    <w:pPr>
      <w:keepNext w:val="true"/>
      <w:spacing w:lineRule="auto" w:line="240" w:before="360" w:after="120"/>
      <w:jc w:val="center"/>
    </w:pPr>
    <w:rPr>
      <w:rFonts w:ascii="Arial" w:hAnsi="Arial" w:eastAsia="Times New Roman" w:cs="Times New Roman"/>
      <w:i/>
      <w:kern w:val="2"/>
      <w:sz w:val="32"/>
      <w:szCs w:val="20"/>
    </w:rPr>
  </w:style>
  <w:style w:type="paragraph" w:styleId="PartTitle" w:customStyle="1">
    <w:name w:val="Part Title"/>
    <w:basedOn w:val="Normal"/>
    <w:next w:val="PartLabel"/>
    <w:uiPriority w:val="99"/>
    <w:qFormat/>
    <w:rsid w:val="00ea1435"/>
    <w:pPr>
      <w:keepNext w:val="true"/>
      <w:pageBreakBefore/>
      <w:shd w:val="pct20" w:color="auto" w:fill="auto"/>
      <w:spacing w:lineRule="exact" w:line="480" w:before="0" w:after="0"/>
      <w:jc w:val="center"/>
    </w:pPr>
    <w:rPr>
      <w:rFonts w:ascii="Arial Black" w:hAnsi="Arial Black" w:eastAsia="Times New Roman" w:cs="Times New Roman"/>
      <w:spacing w:val="-50"/>
      <w:sz w:val="36"/>
      <w:szCs w:val="20"/>
    </w:rPr>
  </w:style>
  <w:style w:type="paragraph" w:styleId="SectionHeading" w:customStyle="1">
    <w:name w:val="Section Heading"/>
    <w:basedOn w:val="Normal"/>
    <w:next w:val="TextBody"/>
    <w:uiPriority w:val="99"/>
    <w:qFormat/>
    <w:rsid w:val="00ea1435"/>
    <w:pPr>
      <w:spacing w:lineRule="atLeast" w:line="640" w:before="0" w:after="0"/>
      <w:jc w:val="both"/>
    </w:pPr>
    <w:rPr>
      <w:rFonts w:ascii="Arial Black" w:hAnsi="Arial Black" w:eastAsia="Times New Roman" w:cs="Times New Roman"/>
      <w:caps/>
      <w:spacing w:val="60"/>
      <w:sz w:val="15"/>
      <w:szCs w:val="20"/>
    </w:rPr>
  </w:style>
  <w:style w:type="paragraph" w:styleId="SectionLabel" w:customStyle="1">
    <w:name w:val="Section Label"/>
    <w:basedOn w:val="Normal"/>
    <w:next w:val="Normal"/>
    <w:uiPriority w:val="99"/>
    <w:qFormat/>
    <w:rsid w:val="00ea1435"/>
    <w:pPr>
      <w:spacing w:lineRule="atLeast" w:line="480" w:before="2040" w:after="360"/>
      <w:jc w:val="both"/>
    </w:pPr>
    <w:rPr>
      <w:rFonts w:ascii="Arial Black" w:hAnsi="Arial Black" w:eastAsia="Times New Roman" w:cs="Times New Roman"/>
      <w:color w:val="808080"/>
      <w:spacing w:val="-35"/>
      <w:sz w:val="48"/>
      <w:szCs w:val="20"/>
    </w:rPr>
  </w:style>
  <w:style w:type="paragraph" w:styleId="SubtitleCover" w:customStyle="1">
    <w:name w:val="Subtitle Cover"/>
    <w:basedOn w:val="Normal"/>
    <w:next w:val="Normal"/>
    <w:uiPriority w:val="99"/>
    <w:qFormat/>
    <w:rsid w:val="00ea1435"/>
    <w:pPr>
      <w:keepNext w:val="true"/>
      <w:pBdr>
        <w:top w:val="single" w:sz="6" w:space="1" w:color="000000"/>
      </w:pBdr>
      <w:spacing w:lineRule="exact" w:line="480" w:before="0" w:after="5280"/>
      <w:jc w:val="both"/>
    </w:pPr>
    <w:rPr>
      <w:rFonts w:ascii="Garamond" w:hAnsi="Garamond" w:eastAsia="Times New Roman" w:cs="Times New Roman"/>
      <w:spacing w:val="-15"/>
      <w:kern w:val="2"/>
      <w:sz w:val="44"/>
      <w:szCs w:val="20"/>
    </w:rPr>
  </w:style>
  <w:style w:type="paragraph" w:styleId="TitleCover" w:customStyle="1">
    <w:name w:val="Title Cover"/>
    <w:basedOn w:val="HeadingBase"/>
    <w:next w:val="SubtitleCover"/>
    <w:uiPriority w:val="99"/>
    <w:qFormat/>
    <w:rsid w:val="00ea1435"/>
    <w:pPr>
      <w:keepNext w:val="false"/>
      <w:pBdr>
        <w:top w:val="single" w:sz="6" w:space="31" w:color="FFFFFF"/>
        <w:left w:val="single" w:sz="6" w:space="31" w:color="FFFFFF"/>
        <w:bottom w:val="single" w:sz="6" w:space="31" w:color="FFFFFF"/>
        <w:right w:val="single" w:sz="6" w:space="31" w:color="FFFFFF"/>
      </w:pBdr>
      <w:shd w:val="pct10" w:color="auto" w:fill="auto"/>
      <w:spacing w:lineRule="exact" w:line="1440" w:before="0" w:after="0"/>
      <w:ind w:left="600" w:right="600" w:hanging="0"/>
      <w:jc w:val="right"/>
    </w:pPr>
    <w:rPr>
      <w:rFonts w:ascii="Garamond" w:hAnsi="Garamond"/>
      <w:b w:val="false"/>
      <w:spacing w:val="-70"/>
      <w:sz w:val="144"/>
    </w:rPr>
  </w:style>
  <w:style w:type="paragraph" w:styleId="TOCBase" w:customStyle="1">
    <w:name w:val="TOC Base"/>
    <w:basedOn w:val="Contents2"/>
    <w:uiPriority w:val="99"/>
    <w:qFormat/>
    <w:rsid w:val="00ea1435"/>
    <w:pPr>
      <w:tabs>
        <w:tab w:val="left" w:pos="450" w:leader="none"/>
        <w:tab w:val="right" w:pos="3600" w:leader="none"/>
        <w:tab w:val="right" w:pos="9350" w:leader="dot"/>
      </w:tabs>
      <w:spacing w:lineRule="atLeast" w:line="320" w:before="0" w:after="0"/>
      <w:ind w:left="0" w:hanging="0"/>
      <w:jc w:val="both"/>
    </w:pPr>
    <w:rPr>
      <w:rFonts w:ascii="Arial Black" w:hAnsi="Arial Black" w:eastAsia="Times New Roman" w:cs="Times New Roman"/>
      <w:sz w:val="15"/>
      <w:szCs w:val="20"/>
      <w:lang w:val="en-US"/>
    </w:rPr>
  </w:style>
  <w:style w:type="paragraph" w:styleId="CaracterCaracterCaracterCharCaracter3" w:customStyle="1">
    <w:name w:val="Caracter Caracter Caracter Char Caracter3"/>
    <w:basedOn w:val="Normal"/>
    <w:uiPriority w:val="99"/>
    <w:qFormat/>
    <w:rsid w:val="00ea1435"/>
    <w:pPr>
      <w:spacing w:lineRule="auto" w:line="240" w:before="0" w:after="0"/>
      <w:jc w:val="both"/>
    </w:pPr>
    <w:rPr>
      <w:rFonts w:ascii="Times New Roman" w:hAnsi="Times New Roman" w:eastAsia="Times New Roman" w:cs="Times New Roman"/>
      <w:sz w:val="24"/>
      <w:szCs w:val="24"/>
      <w:lang w:val="pl-PL" w:eastAsia="pl-PL"/>
    </w:rPr>
  </w:style>
  <w:style w:type="paragraph" w:styleId="CaracterCaracterCaracterCharCaracter2" w:customStyle="1">
    <w:name w:val="Caracter Caracter Caracter Char Caracter2"/>
    <w:basedOn w:val="Normal"/>
    <w:uiPriority w:val="99"/>
    <w:qFormat/>
    <w:rsid w:val="00ea1435"/>
    <w:pPr>
      <w:spacing w:lineRule="auto" w:line="240" w:before="0" w:after="0"/>
      <w:jc w:val="both"/>
    </w:pPr>
    <w:rPr>
      <w:rFonts w:ascii="Times New Roman" w:hAnsi="Times New Roman" w:eastAsia="Times New Roman" w:cs="Times New Roman"/>
      <w:sz w:val="24"/>
      <w:szCs w:val="24"/>
      <w:lang w:val="pl-PL" w:eastAsia="pl-PL"/>
    </w:rPr>
  </w:style>
  <w:style w:type="paragraph" w:styleId="CaracterCaracterCaracterCharCaracter1" w:customStyle="1">
    <w:name w:val="Caracter Caracter Caracter Char Caracter1"/>
    <w:basedOn w:val="Normal"/>
    <w:uiPriority w:val="99"/>
    <w:qFormat/>
    <w:rsid w:val="00ea1435"/>
    <w:pPr>
      <w:spacing w:lineRule="auto" w:line="240" w:before="0" w:after="0"/>
      <w:jc w:val="both"/>
    </w:pPr>
    <w:rPr>
      <w:rFonts w:ascii="Times New Roman" w:hAnsi="Times New Roman" w:eastAsia="Times New Roman" w:cs="Times New Roman"/>
      <w:sz w:val="24"/>
      <w:szCs w:val="24"/>
      <w:lang w:val="pl-PL" w:eastAsia="pl-PL"/>
    </w:rPr>
  </w:style>
  <w:style w:type="paragraph" w:styleId="CharChar5CharChar1CharChar" w:customStyle="1">
    <w:name w:val="Char Char5 Char Char1 Char Char"/>
    <w:basedOn w:val="Normal"/>
    <w:uiPriority w:val="99"/>
    <w:qFormat/>
    <w:rsid w:val="00ea1435"/>
    <w:pPr>
      <w:spacing w:lineRule="auto" w:line="240" w:before="0" w:after="0"/>
    </w:pPr>
    <w:rPr>
      <w:rFonts w:ascii="Times New Roman" w:hAnsi="Times New Roman" w:eastAsia="Times New Roman" w:cs="Times New Roman"/>
      <w:sz w:val="24"/>
      <w:szCs w:val="24"/>
      <w:lang w:val="pl-PL" w:eastAsia="pl-PL"/>
    </w:rPr>
  </w:style>
  <w:style w:type="paragraph" w:styleId="BodyText11" w:customStyle="1">
    <w:name w:val="Body Text11"/>
    <w:basedOn w:val="Normal"/>
    <w:uiPriority w:val="99"/>
    <w:qFormat/>
    <w:rsid w:val="00ea1435"/>
    <w:pPr>
      <w:spacing w:lineRule="auto" w:line="240" w:before="120" w:after="120"/>
    </w:pPr>
    <w:rPr>
      <w:rFonts w:ascii="Times New Roman" w:hAnsi="Times New Roman" w:eastAsia="Times New Roman" w:cs="Times New Roman"/>
      <w:szCs w:val="20"/>
    </w:rPr>
  </w:style>
  <w:style w:type="paragraph" w:styleId="Title11" w:customStyle="1">
    <w:name w:val="Title11"/>
    <w:basedOn w:val="Normal"/>
    <w:uiPriority w:val="99"/>
    <w:qFormat/>
    <w:rsid w:val="00ea1435"/>
    <w:pPr>
      <w:spacing w:lineRule="atLeast" w:line="184" w:beforeAutospacing="1" w:after="230"/>
    </w:pPr>
    <w:rPr>
      <w:rFonts w:ascii="Times New Roman" w:hAnsi="Times New Roman" w:eastAsia="Times New Roman" w:cs="Times New Roman"/>
      <w:b/>
      <w:bCs/>
      <w:color w:val="55A0BD"/>
      <w:sz w:val="16"/>
      <w:szCs w:val="16"/>
      <w:lang w:val="ro-RO" w:eastAsia="ro-RO"/>
    </w:rPr>
  </w:style>
  <w:style w:type="paragraph" w:styleId="CharChar1CharChar" w:customStyle="1">
    <w:name w:val="Char Char1 Char Char"/>
    <w:basedOn w:val="Normal"/>
    <w:uiPriority w:val="99"/>
    <w:qFormat/>
    <w:rsid w:val="00ea1435"/>
    <w:pPr>
      <w:spacing w:lineRule="auto" w:line="240" w:before="0" w:after="0"/>
    </w:pPr>
    <w:rPr>
      <w:rFonts w:ascii="Times New Roman" w:hAnsi="Times New Roman" w:eastAsia="Times New Roman" w:cs="Times New Roman"/>
      <w:sz w:val="24"/>
      <w:szCs w:val="24"/>
      <w:lang w:val="pl-PL" w:eastAsia="pl-PL"/>
    </w:rPr>
  </w:style>
  <w:style w:type="paragraph" w:styleId="CharChar1CharCharCharCharCharCharCharChar" w:customStyle="1">
    <w:name w:val="Char Char1 Char Char Char Char Char Char Char Char"/>
    <w:basedOn w:val="Normal"/>
    <w:uiPriority w:val="99"/>
    <w:qFormat/>
    <w:rsid w:val="00ea1435"/>
    <w:pPr>
      <w:spacing w:lineRule="auto" w:line="240" w:before="0" w:after="0"/>
    </w:pPr>
    <w:rPr>
      <w:rFonts w:ascii="Times New Roman" w:hAnsi="Times New Roman" w:eastAsia="Times New Roman" w:cs="Times New Roman"/>
      <w:sz w:val="24"/>
      <w:szCs w:val="24"/>
      <w:lang w:val="pl-PL" w:eastAsia="pl-PL"/>
    </w:rPr>
  </w:style>
  <w:style w:type="paragraph" w:styleId="CharChar1CharCharCharCharCharCharCharChar1" w:customStyle="1">
    <w:name w:val="Char Char1 Char Char Char Char Char Char Char Char1"/>
    <w:basedOn w:val="Normal"/>
    <w:uiPriority w:val="99"/>
    <w:qFormat/>
    <w:rsid w:val="00ea1435"/>
    <w:pPr>
      <w:spacing w:lineRule="auto" w:line="240" w:before="0" w:after="0"/>
    </w:pPr>
    <w:rPr>
      <w:rFonts w:ascii="Times New Roman" w:hAnsi="Times New Roman" w:eastAsia="Times New Roman" w:cs="Times New Roman"/>
      <w:sz w:val="24"/>
      <w:szCs w:val="24"/>
      <w:lang w:val="pl-PL" w:eastAsia="pl-PL"/>
    </w:rPr>
  </w:style>
  <w:style w:type="paragraph" w:styleId="Msoaddress" w:customStyle="1">
    <w:name w:val="msoaddress"/>
    <w:uiPriority w:val="99"/>
    <w:qFormat/>
    <w:rsid w:val="00ea1435"/>
    <w:pPr>
      <w:widowControl/>
      <w:bidi w:val="0"/>
      <w:spacing w:lineRule="auto" w:line="283" w:before="0" w:after="0"/>
      <w:jc w:val="left"/>
    </w:pPr>
    <w:rPr>
      <w:rFonts w:ascii="Calibri" w:hAnsi="Calibri" w:eastAsia="Times New Roman" w:cs="Times New Roman"/>
      <w:color w:val="000000"/>
      <w:kern w:val="2"/>
      <w:sz w:val="18"/>
      <w:szCs w:val="18"/>
      <w:lang w:val="ro-RO" w:eastAsia="ro-RO" w:bidi="ar-SA"/>
      <w14:ligatures w14:val="standard"/>
      <w14:cntxtAlts/>
    </w:rPr>
  </w:style>
  <w:style w:type="paragraph" w:styleId="ParaText02" w:customStyle="1">
    <w:name w:val="Para_Text02"/>
    <w:basedOn w:val="Normal"/>
    <w:uiPriority w:val="99"/>
    <w:qFormat/>
    <w:rsid w:val="00ea1435"/>
    <w:pPr>
      <w:spacing w:lineRule="exact" w:line="280" w:before="0" w:after="200"/>
      <w:jc w:val="right"/>
    </w:pPr>
    <w:rPr>
      <w:rFonts w:ascii="Calibri" w:hAnsi="Calibri" w:eastAsia="Times New Roman" w:cs="Times New Roman"/>
      <w:color w:val="000000"/>
      <w:kern w:val="2"/>
      <w:sz w:val="20"/>
      <w:lang w:val="ro-RO" w:eastAsia="ro-RO"/>
      <w14:ligatures w14:val="standard"/>
      <w14:cntxtAlts/>
    </w:rPr>
  </w:style>
  <w:style w:type="paragraph" w:styleId="DecimalAligned" w:customStyle="1">
    <w:name w:val="Decimal Aligned"/>
    <w:basedOn w:val="Normal"/>
    <w:uiPriority w:val="40"/>
    <w:qFormat/>
    <w:rsid w:val="00ea1435"/>
    <w:pPr>
      <w:tabs>
        <w:tab w:val="clear" w:pos="720"/>
        <w:tab w:val="decimal" w:pos="360" w:leader="none"/>
      </w:tabs>
      <w:spacing w:lineRule="auto" w:line="276" w:before="0" w:after="200"/>
    </w:pPr>
    <w:rPr>
      <w:rFonts w:ascii="Calibri" w:hAnsi="Calibri" w:eastAsia="Times New Roman" w:cs="Times New Roman"/>
    </w:rPr>
  </w:style>
  <w:style w:type="paragraph" w:styleId="Source" w:customStyle="1">
    <w:name w:val="Source"/>
    <w:basedOn w:val="Normal"/>
    <w:link w:val="SourceChar"/>
    <w:qFormat/>
    <w:rsid w:val="00ea1435"/>
    <w:pPr>
      <w:spacing w:lineRule="auto" w:line="240" w:before="0" w:after="0"/>
      <w:jc w:val="center"/>
    </w:pPr>
    <w:rPr>
      <w:rFonts w:ascii="Calibri" w:hAnsi="Calibri" w:eastAsia="Times New Roman" w:cs="Calibri"/>
      <w:i/>
      <w:sz w:val="18"/>
      <w:lang w:val="ro-RO"/>
    </w:rPr>
  </w:style>
  <w:style w:type="numbering" w:styleId="NoList" w:default="1">
    <w:name w:val="No List"/>
    <w:uiPriority w:val="99"/>
    <w:semiHidden/>
    <w:unhideWhenUsed/>
    <w:qFormat/>
  </w:style>
  <w:style w:type="numbering" w:styleId="NoList1" w:customStyle="1">
    <w:name w:val="No List1"/>
    <w:semiHidden/>
    <w:unhideWhenUsed/>
    <w:qFormat/>
    <w:rsid w:val="00ea1435"/>
  </w:style>
  <w:style w:type="numbering" w:styleId="NoList2" w:customStyle="1">
    <w:name w:val="No List2"/>
    <w:uiPriority w:val="99"/>
    <w:semiHidden/>
    <w:unhideWhenUsed/>
    <w:qFormat/>
    <w:rsid w:val="00ea1435"/>
  </w:style>
  <w:style w:type="numbering" w:styleId="NoList3" w:customStyle="1">
    <w:name w:val="No List3"/>
    <w:uiPriority w:val="99"/>
    <w:semiHidden/>
    <w:unhideWhenUsed/>
    <w:qFormat/>
    <w:rsid w:val="00ea1435"/>
  </w:style>
  <w:style w:type="numbering" w:styleId="NoList4" w:customStyle="1">
    <w:name w:val="No List4"/>
    <w:semiHidden/>
    <w:unhideWhenUsed/>
    <w:qFormat/>
    <w:rsid w:val="00ea1435"/>
  </w:style>
  <w:style w:type="numbering" w:styleId="NoList11" w:customStyle="1">
    <w:name w:val="No List11"/>
    <w:uiPriority w:val="99"/>
    <w:semiHidden/>
    <w:unhideWhenUsed/>
    <w:qFormat/>
    <w:rsid w:val="00ea1435"/>
  </w:style>
  <w:style w:type="numbering" w:styleId="NoList21" w:customStyle="1">
    <w:name w:val="No List21"/>
    <w:uiPriority w:val="99"/>
    <w:semiHidden/>
    <w:unhideWhenUsed/>
    <w:qFormat/>
    <w:rsid w:val="00ea1435"/>
  </w:style>
  <w:style w:type="numbering" w:styleId="NoList31" w:customStyle="1">
    <w:name w:val="No List31"/>
    <w:uiPriority w:val="99"/>
    <w:semiHidden/>
    <w:unhideWhenUsed/>
    <w:qFormat/>
    <w:rsid w:val="00ea1435"/>
  </w:style>
  <w:style w:type="numbering" w:styleId="FrListare1" w:customStyle="1">
    <w:name w:val="Fără Listare1"/>
    <w:uiPriority w:val="99"/>
    <w:semiHidden/>
    <w:qFormat/>
    <w:rsid w:val="00ea1435"/>
  </w:style>
  <w:style w:type="numbering" w:styleId="FrListare11" w:customStyle="1">
    <w:name w:val="Fără Listare11"/>
    <w:uiPriority w:val="99"/>
    <w:semiHidden/>
    <w:qFormat/>
    <w:rsid w:val="00ea1435"/>
  </w:style>
  <w:style w:type="numbering" w:styleId="FrListare2" w:customStyle="1">
    <w:name w:val="Fără Listare2"/>
    <w:uiPriority w:val="99"/>
    <w:semiHidden/>
    <w:unhideWhenUsed/>
    <w:qFormat/>
    <w:rsid w:val="00ea1435"/>
  </w:style>
  <w:style w:type="numbering" w:styleId="FrListare12" w:customStyle="1">
    <w:name w:val="Fără Listare12"/>
    <w:uiPriority w:val="99"/>
    <w:semiHidden/>
    <w:qFormat/>
    <w:rsid w:val="00ea1435"/>
  </w:style>
  <w:style w:type="numbering" w:styleId="FrListare3" w:customStyle="1">
    <w:name w:val="Fără Listare3"/>
    <w:semiHidden/>
    <w:qFormat/>
    <w:rsid w:val="00ea1435"/>
  </w:style>
  <w:style w:type="numbering" w:styleId="FrListare13" w:customStyle="1">
    <w:name w:val="Fără Listare13"/>
    <w:uiPriority w:val="99"/>
    <w:semiHidden/>
    <w:qFormat/>
    <w:rsid w:val="00ea1435"/>
  </w:style>
  <w:style w:type="numbering" w:styleId="FrListare21" w:customStyle="1">
    <w:name w:val="Fără Listare21"/>
    <w:uiPriority w:val="99"/>
    <w:semiHidden/>
    <w:unhideWhenUsed/>
    <w:qFormat/>
    <w:rsid w:val="00ea1435"/>
  </w:style>
  <w:style w:type="numbering" w:styleId="FrListare31" w:customStyle="1">
    <w:name w:val="Fără Listare31"/>
    <w:uiPriority w:val="99"/>
    <w:semiHidden/>
    <w:unhideWhenUsed/>
    <w:qFormat/>
    <w:rsid w:val="00ea1435"/>
  </w:style>
  <w:style w:type="numbering" w:styleId="FrListare4" w:customStyle="1">
    <w:name w:val="Fără Listare4"/>
    <w:semiHidden/>
    <w:qFormat/>
    <w:rsid w:val="00ea1435"/>
  </w:style>
  <w:style w:type="numbering" w:styleId="FrListare14" w:customStyle="1">
    <w:name w:val="Fără Listare14"/>
    <w:uiPriority w:val="99"/>
    <w:semiHidden/>
    <w:qFormat/>
    <w:rsid w:val="00ea1435"/>
  </w:style>
  <w:style w:type="numbering" w:styleId="FrListare22" w:customStyle="1">
    <w:name w:val="Fără Listare22"/>
    <w:uiPriority w:val="99"/>
    <w:semiHidden/>
    <w:unhideWhenUsed/>
    <w:qFormat/>
    <w:rsid w:val="00ea1435"/>
  </w:style>
  <w:style w:type="numbering" w:styleId="FrListare32" w:customStyle="1">
    <w:name w:val="Fără Listare32"/>
    <w:uiPriority w:val="99"/>
    <w:semiHidden/>
    <w:unhideWhenUsed/>
    <w:qFormat/>
    <w:rsid w:val="00ea1435"/>
  </w:style>
  <w:style w:type="numbering" w:styleId="FrListare5" w:customStyle="1">
    <w:name w:val="Fără Listare5"/>
    <w:uiPriority w:val="99"/>
    <w:semiHidden/>
    <w:qFormat/>
    <w:rsid w:val="00ea1435"/>
  </w:style>
  <w:style w:type="numbering" w:styleId="FrListare15" w:customStyle="1">
    <w:name w:val="Fără Listare15"/>
    <w:uiPriority w:val="99"/>
    <w:semiHidden/>
    <w:unhideWhenUsed/>
    <w:qFormat/>
    <w:rsid w:val="00ea1435"/>
  </w:style>
  <w:style w:type="numbering" w:styleId="FrListare23" w:customStyle="1">
    <w:name w:val="Fără Listare23"/>
    <w:uiPriority w:val="99"/>
    <w:semiHidden/>
    <w:unhideWhenUsed/>
    <w:qFormat/>
    <w:rsid w:val="00ea1435"/>
  </w:style>
  <w:style w:type="numbering" w:styleId="FrListare33" w:customStyle="1">
    <w:name w:val="Fără Listare33"/>
    <w:semiHidden/>
    <w:qFormat/>
    <w:rsid w:val="00ea1435"/>
  </w:style>
  <w:style w:type="numbering" w:styleId="FrListare41" w:customStyle="1">
    <w:name w:val="Fără Listare41"/>
    <w:semiHidden/>
    <w:qFormat/>
    <w:rsid w:val="00ea1435"/>
  </w:style>
  <w:style w:type="numbering" w:styleId="FrListare51" w:customStyle="1">
    <w:name w:val="Fără Listare51"/>
    <w:uiPriority w:val="99"/>
    <w:semiHidden/>
    <w:unhideWhenUsed/>
    <w:qFormat/>
    <w:rsid w:val="00ea1435"/>
  </w:style>
  <w:style w:type="numbering" w:styleId="FrListare6" w:customStyle="1">
    <w:name w:val="Fără Listare6"/>
    <w:uiPriority w:val="99"/>
    <w:semiHidden/>
    <w:unhideWhenUsed/>
    <w:qFormat/>
    <w:rsid w:val="00ea1435"/>
  </w:style>
  <w:style w:type="numbering" w:styleId="FrListare7" w:customStyle="1">
    <w:name w:val="Fără Listare7"/>
    <w:uiPriority w:val="99"/>
    <w:semiHidden/>
    <w:unhideWhenUsed/>
    <w:qFormat/>
    <w:rsid w:val="00ea1435"/>
  </w:style>
  <w:style w:type="numbering" w:styleId="FrListare8" w:customStyle="1">
    <w:name w:val="Fără Listare8"/>
    <w:semiHidden/>
    <w:qFormat/>
    <w:rsid w:val="00ea1435"/>
  </w:style>
  <w:style w:type="numbering" w:styleId="FrListare9" w:customStyle="1">
    <w:name w:val="Fără Listare9"/>
    <w:uiPriority w:val="99"/>
    <w:semiHidden/>
    <w:unhideWhenUsed/>
    <w:qFormat/>
    <w:rsid w:val="00ea1435"/>
  </w:style>
  <w:style w:type="numbering" w:styleId="FrListare10" w:customStyle="1">
    <w:name w:val="Fără Listare10"/>
    <w:uiPriority w:val="99"/>
    <w:semiHidden/>
    <w:unhideWhenUsed/>
    <w:qFormat/>
    <w:rsid w:val="00ea1435"/>
  </w:style>
  <w:style w:type="numbering" w:styleId="FrListare16" w:customStyle="1">
    <w:name w:val="Fără Listare16"/>
    <w:semiHidden/>
    <w:qFormat/>
    <w:rsid w:val="00ea1435"/>
  </w:style>
  <w:style w:type="numbering" w:styleId="FrListare17" w:customStyle="1">
    <w:name w:val="Fără Listare17"/>
    <w:uiPriority w:val="99"/>
    <w:semiHidden/>
    <w:unhideWhenUsed/>
    <w:qFormat/>
    <w:rsid w:val="00ea1435"/>
  </w:style>
  <w:style w:type="numbering" w:styleId="FrListare18" w:customStyle="1">
    <w:name w:val="Fără Listare18"/>
    <w:uiPriority w:val="99"/>
    <w:semiHidden/>
    <w:unhideWhenUsed/>
    <w:qFormat/>
    <w:rsid w:val="00ea1435"/>
  </w:style>
  <w:style w:type="numbering" w:styleId="FrListare19" w:customStyle="1">
    <w:name w:val="Fără Listare19"/>
    <w:uiPriority w:val="99"/>
    <w:semiHidden/>
    <w:unhideWhenUsed/>
    <w:qFormat/>
    <w:rsid w:val="00ea1435"/>
  </w:style>
  <w:style w:type="numbering" w:styleId="FrListare20" w:customStyle="1">
    <w:name w:val="Fără Listare20"/>
    <w:uiPriority w:val="99"/>
    <w:semiHidden/>
    <w:unhideWhenUsed/>
    <w:qFormat/>
    <w:rsid w:val="00ea1435"/>
  </w:style>
  <w:style w:type="numbering" w:styleId="FrListare110" w:customStyle="1">
    <w:name w:val="Fără Listare110"/>
    <w:uiPriority w:val="99"/>
    <w:semiHidden/>
    <w:unhideWhenUsed/>
    <w:qFormat/>
    <w:rsid w:val="00ea1435"/>
  </w:style>
  <w:style w:type="numbering" w:styleId="FrListare24" w:customStyle="1">
    <w:name w:val="Fără Listare24"/>
    <w:uiPriority w:val="99"/>
    <w:semiHidden/>
    <w:unhideWhenUsed/>
    <w:qFormat/>
    <w:rsid w:val="00ea1435"/>
  </w:style>
  <w:style w:type="numbering" w:styleId="FrListare111" w:customStyle="1">
    <w:name w:val="Fără Listare111"/>
    <w:uiPriority w:val="99"/>
    <w:semiHidden/>
    <w:unhideWhenUsed/>
    <w:qFormat/>
    <w:rsid w:val="00ea1435"/>
  </w:style>
  <w:style w:type="numbering" w:styleId="FrListare25" w:customStyle="1">
    <w:name w:val="Fără Listare25"/>
    <w:uiPriority w:val="99"/>
    <w:semiHidden/>
    <w:unhideWhenUsed/>
    <w:qFormat/>
    <w:rsid w:val="00ea1435"/>
  </w:style>
  <w:style w:type="numbering" w:styleId="FrListare34" w:customStyle="1">
    <w:name w:val="Fără Listare34"/>
    <w:semiHidden/>
    <w:qFormat/>
    <w:rsid w:val="00ea1435"/>
  </w:style>
  <w:style w:type="numbering" w:styleId="FrListare42" w:customStyle="1">
    <w:name w:val="Fără Listare42"/>
    <w:semiHidden/>
    <w:qFormat/>
    <w:rsid w:val="00ea1435"/>
  </w:style>
  <w:style w:type="numbering" w:styleId="FrListare52" w:customStyle="1">
    <w:name w:val="Fără Listare52"/>
    <w:uiPriority w:val="99"/>
    <w:semiHidden/>
    <w:unhideWhenUsed/>
    <w:qFormat/>
    <w:rsid w:val="00ea1435"/>
  </w:style>
  <w:style w:type="numbering" w:styleId="FrListare61" w:customStyle="1">
    <w:name w:val="Fără Listare61"/>
    <w:uiPriority w:val="99"/>
    <w:semiHidden/>
    <w:unhideWhenUsed/>
    <w:qFormat/>
    <w:rsid w:val="00ea1435"/>
  </w:style>
  <w:style w:type="numbering" w:styleId="FrListare71" w:customStyle="1">
    <w:name w:val="Fără Listare71"/>
    <w:uiPriority w:val="99"/>
    <w:semiHidden/>
    <w:unhideWhenUsed/>
    <w:qFormat/>
    <w:rsid w:val="00ea1435"/>
  </w:style>
  <w:style w:type="numbering" w:styleId="FrListare81" w:customStyle="1">
    <w:name w:val="Fără Listare81"/>
    <w:semiHidden/>
    <w:qFormat/>
    <w:rsid w:val="00ea1435"/>
  </w:style>
  <w:style w:type="numbering" w:styleId="FrListare91" w:customStyle="1">
    <w:name w:val="Fără Listare91"/>
    <w:uiPriority w:val="99"/>
    <w:semiHidden/>
    <w:unhideWhenUsed/>
    <w:qFormat/>
    <w:rsid w:val="00ea1435"/>
  </w:style>
  <w:style w:type="numbering" w:styleId="FrListare101" w:customStyle="1">
    <w:name w:val="Fără Listare101"/>
    <w:uiPriority w:val="99"/>
    <w:semiHidden/>
    <w:unhideWhenUsed/>
    <w:qFormat/>
    <w:rsid w:val="00ea1435"/>
  </w:style>
  <w:style w:type="numbering" w:styleId="FrListare112" w:customStyle="1">
    <w:name w:val="Fără Listare112"/>
    <w:uiPriority w:val="99"/>
    <w:semiHidden/>
    <w:unhideWhenUsed/>
    <w:qFormat/>
    <w:rsid w:val="00ea1435"/>
  </w:style>
  <w:style w:type="numbering" w:styleId="FrListare121" w:customStyle="1">
    <w:name w:val="Fără Listare121"/>
    <w:uiPriority w:val="99"/>
    <w:semiHidden/>
    <w:unhideWhenUsed/>
    <w:qFormat/>
    <w:rsid w:val="00ea1435"/>
  </w:style>
  <w:style w:type="numbering" w:styleId="FrListare131" w:customStyle="1">
    <w:name w:val="Fără Listare131"/>
    <w:uiPriority w:val="99"/>
    <w:semiHidden/>
    <w:unhideWhenUsed/>
    <w:qFormat/>
    <w:rsid w:val="00ea1435"/>
  </w:style>
  <w:style w:type="numbering" w:styleId="FrListare141" w:customStyle="1">
    <w:name w:val="Fără Listare141"/>
    <w:uiPriority w:val="99"/>
    <w:semiHidden/>
    <w:unhideWhenUsed/>
    <w:qFormat/>
    <w:rsid w:val="00ea1435"/>
  </w:style>
  <w:style w:type="numbering" w:styleId="FrListare151" w:customStyle="1">
    <w:name w:val="Fără Listare151"/>
    <w:uiPriority w:val="99"/>
    <w:semiHidden/>
    <w:unhideWhenUsed/>
    <w:qFormat/>
    <w:rsid w:val="00ea1435"/>
  </w:style>
  <w:style w:type="numbering" w:styleId="FrListare161" w:customStyle="1">
    <w:name w:val="Fără Listare161"/>
    <w:semiHidden/>
    <w:qFormat/>
    <w:rsid w:val="00ea1435"/>
  </w:style>
  <w:style w:type="numbering" w:styleId="FrListare171" w:customStyle="1">
    <w:name w:val="Fără Listare171"/>
    <w:uiPriority w:val="99"/>
    <w:semiHidden/>
    <w:unhideWhenUsed/>
    <w:qFormat/>
    <w:rsid w:val="00ea1435"/>
  </w:style>
  <w:style w:type="numbering" w:styleId="FrListare181" w:customStyle="1">
    <w:name w:val="Fără Listare181"/>
    <w:uiPriority w:val="99"/>
    <w:semiHidden/>
    <w:unhideWhenUsed/>
    <w:qFormat/>
    <w:rsid w:val="00ea1435"/>
  </w:style>
  <w:style w:type="numbering" w:styleId="FrListare191" w:customStyle="1">
    <w:name w:val="Fără Listare191"/>
    <w:uiPriority w:val="99"/>
    <w:semiHidden/>
    <w:unhideWhenUsed/>
    <w:qFormat/>
    <w:rsid w:val="00ea1435"/>
  </w:style>
  <w:style w:type="numbering" w:styleId="FrListare201" w:customStyle="1">
    <w:name w:val="Fără Listare201"/>
    <w:uiPriority w:val="99"/>
    <w:semiHidden/>
    <w:unhideWhenUsed/>
    <w:qFormat/>
    <w:rsid w:val="00ea1435"/>
  </w:style>
  <w:style w:type="numbering" w:styleId="FrListare1101" w:customStyle="1">
    <w:name w:val="Fără Listare1101"/>
    <w:uiPriority w:val="99"/>
    <w:semiHidden/>
    <w:unhideWhenUsed/>
    <w:qFormat/>
    <w:rsid w:val="00ea1435"/>
  </w:style>
  <w:style w:type="numbering" w:styleId="FrListare211" w:customStyle="1">
    <w:name w:val="Fără Listare211"/>
    <w:semiHidden/>
    <w:qFormat/>
    <w:rsid w:val="00ea1435"/>
  </w:style>
  <w:style w:type="numbering" w:styleId="FrListare221" w:customStyle="1">
    <w:name w:val="Fără Listare221"/>
    <w:semiHidden/>
    <w:qFormat/>
    <w:rsid w:val="00ea1435"/>
  </w:style>
  <w:style w:type="numbering" w:styleId="FrListare231" w:customStyle="1">
    <w:name w:val="Fără Listare231"/>
    <w:semiHidden/>
    <w:qFormat/>
    <w:rsid w:val="00ea1435"/>
  </w:style>
  <w:style w:type="numbering" w:styleId="FrListare241" w:customStyle="1">
    <w:name w:val="Fără Listare241"/>
    <w:uiPriority w:val="99"/>
    <w:semiHidden/>
    <w:unhideWhenUsed/>
    <w:qFormat/>
    <w:rsid w:val="00ea1435"/>
  </w:style>
  <w:style w:type="numbering" w:styleId="FrListare251" w:customStyle="1">
    <w:name w:val="Fără Listare251"/>
    <w:semiHidden/>
    <w:qFormat/>
    <w:rsid w:val="00ea1435"/>
  </w:style>
  <w:style w:type="numbering" w:styleId="FrListare1111" w:customStyle="1">
    <w:name w:val="Fără Listare1111"/>
    <w:semiHidden/>
    <w:unhideWhenUsed/>
    <w:qFormat/>
    <w:rsid w:val="00ea1435"/>
  </w:style>
  <w:style w:type="numbering" w:styleId="FrListare26" w:customStyle="1">
    <w:name w:val="Fără Listare26"/>
    <w:uiPriority w:val="99"/>
    <w:semiHidden/>
    <w:unhideWhenUsed/>
    <w:qFormat/>
    <w:rsid w:val="00ea1435"/>
  </w:style>
  <w:style w:type="numbering" w:styleId="FrListare27" w:customStyle="1">
    <w:name w:val="Fără Listare27"/>
    <w:semiHidden/>
    <w:qFormat/>
    <w:rsid w:val="00ea1435"/>
  </w:style>
  <w:style w:type="numbering" w:styleId="FrListare28" w:customStyle="1">
    <w:name w:val="Fără Listare28"/>
    <w:uiPriority w:val="99"/>
    <w:semiHidden/>
    <w:unhideWhenUsed/>
    <w:qFormat/>
    <w:rsid w:val="00ea1435"/>
  </w:style>
  <w:style w:type="numbering" w:styleId="FrListare1121" w:customStyle="1">
    <w:name w:val="Fără Listare1121"/>
    <w:uiPriority w:val="99"/>
    <w:semiHidden/>
    <w:unhideWhenUsed/>
    <w:qFormat/>
    <w:rsid w:val="00ea1435"/>
  </w:style>
  <w:style w:type="numbering" w:styleId="FrListare29" w:customStyle="1">
    <w:name w:val="Fără Listare29"/>
    <w:uiPriority w:val="99"/>
    <w:semiHidden/>
    <w:unhideWhenUsed/>
    <w:qFormat/>
    <w:rsid w:val="00ea1435"/>
  </w:style>
  <w:style w:type="numbering" w:styleId="FrListare311" w:customStyle="1">
    <w:name w:val="Fără Listare311"/>
    <w:semiHidden/>
    <w:qFormat/>
    <w:rsid w:val="00ea1435"/>
  </w:style>
  <w:style w:type="numbering" w:styleId="FrListare411" w:customStyle="1">
    <w:name w:val="Fără Listare411"/>
    <w:semiHidden/>
    <w:qFormat/>
    <w:rsid w:val="00ea1435"/>
  </w:style>
  <w:style w:type="numbering" w:styleId="FrListare511" w:customStyle="1">
    <w:name w:val="Fără Listare511"/>
    <w:uiPriority w:val="99"/>
    <w:semiHidden/>
    <w:unhideWhenUsed/>
    <w:qFormat/>
    <w:rsid w:val="00ea1435"/>
  </w:style>
  <w:style w:type="numbering" w:styleId="FrListare611" w:customStyle="1">
    <w:name w:val="Fără Listare611"/>
    <w:uiPriority w:val="99"/>
    <w:semiHidden/>
    <w:unhideWhenUsed/>
    <w:qFormat/>
    <w:rsid w:val="00ea1435"/>
  </w:style>
  <w:style w:type="numbering" w:styleId="FrListare711" w:customStyle="1">
    <w:name w:val="Fără Listare711"/>
    <w:uiPriority w:val="99"/>
    <w:semiHidden/>
    <w:unhideWhenUsed/>
    <w:qFormat/>
    <w:rsid w:val="00ea1435"/>
  </w:style>
  <w:style w:type="numbering" w:styleId="FrListare811" w:customStyle="1">
    <w:name w:val="Fără Listare811"/>
    <w:semiHidden/>
    <w:qFormat/>
    <w:rsid w:val="00ea1435"/>
  </w:style>
  <w:style w:type="numbering" w:styleId="FrListare911" w:customStyle="1">
    <w:name w:val="Fără Listare911"/>
    <w:uiPriority w:val="99"/>
    <w:semiHidden/>
    <w:unhideWhenUsed/>
    <w:qFormat/>
    <w:rsid w:val="00ea1435"/>
  </w:style>
  <w:style w:type="numbering" w:styleId="FrListare1011" w:customStyle="1">
    <w:name w:val="Fără Listare1011"/>
    <w:uiPriority w:val="99"/>
    <w:semiHidden/>
    <w:unhideWhenUsed/>
    <w:qFormat/>
    <w:rsid w:val="00ea1435"/>
  </w:style>
  <w:style w:type="numbering" w:styleId="FrListare113" w:customStyle="1">
    <w:name w:val="Fără Listare113"/>
    <w:uiPriority w:val="99"/>
    <w:semiHidden/>
    <w:unhideWhenUsed/>
    <w:qFormat/>
    <w:rsid w:val="00ea1435"/>
  </w:style>
  <w:style w:type="numbering" w:styleId="FrListare1211" w:customStyle="1">
    <w:name w:val="Fără Listare1211"/>
    <w:uiPriority w:val="99"/>
    <w:semiHidden/>
    <w:unhideWhenUsed/>
    <w:qFormat/>
    <w:rsid w:val="00ea1435"/>
  </w:style>
  <w:style w:type="numbering" w:styleId="FrListare1311" w:customStyle="1">
    <w:name w:val="Fără Listare1311"/>
    <w:uiPriority w:val="99"/>
    <w:semiHidden/>
    <w:unhideWhenUsed/>
    <w:qFormat/>
    <w:rsid w:val="00ea1435"/>
  </w:style>
  <w:style w:type="numbering" w:styleId="FrListare1411" w:customStyle="1">
    <w:name w:val="Fără Listare1411"/>
    <w:uiPriority w:val="99"/>
    <w:semiHidden/>
    <w:unhideWhenUsed/>
    <w:qFormat/>
    <w:rsid w:val="00ea1435"/>
  </w:style>
  <w:style w:type="numbering" w:styleId="FrListare1511" w:customStyle="1">
    <w:name w:val="Fără Listare1511"/>
    <w:uiPriority w:val="99"/>
    <w:semiHidden/>
    <w:unhideWhenUsed/>
    <w:qFormat/>
    <w:rsid w:val="00ea1435"/>
  </w:style>
  <w:style w:type="numbering" w:styleId="FrListare1611" w:customStyle="1">
    <w:name w:val="Fără Listare1611"/>
    <w:semiHidden/>
    <w:qFormat/>
    <w:rsid w:val="00ea1435"/>
  </w:style>
  <w:style w:type="numbering" w:styleId="FrListare1711" w:customStyle="1">
    <w:name w:val="Fără Listare1711"/>
    <w:uiPriority w:val="99"/>
    <w:semiHidden/>
    <w:unhideWhenUsed/>
    <w:qFormat/>
    <w:rsid w:val="00ea1435"/>
  </w:style>
  <w:style w:type="numbering" w:styleId="FrListare1811" w:customStyle="1">
    <w:name w:val="Fără Listare1811"/>
    <w:uiPriority w:val="99"/>
    <w:semiHidden/>
    <w:unhideWhenUsed/>
    <w:qFormat/>
    <w:rsid w:val="00ea1435"/>
  </w:style>
  <w:style w:type="numbering" w:styleId="FrListare1911" w:customStyle="1">
    <w:name w:val="Fără Listare1911"/>
    <w:uiPriority w:val="99"/>
    <w:semiHidden/>
    <w:unhideWhenUsed/>
    <w:qFormat/>
    <w:rsid w:val="00ea1435"/>
  </w:style>
  <w:style w:type="numbering" w:styleId="FrListare2011" w:customStyle="1">
    <w:name w:val="Fără Listare2011"/>
    <w:uiPriority w:val="99"/>
    <w:semiHidden/>
    <w:unhideWhenUsed/>
    <w:qFormat/>
    <w:rsid w:val="00ea1435"/>
  </w:style>
  <w:style w:type="numbering" w:styleId="FrListare11011" w:customStyle="1">
    <w:name w:val="Fără Listare11011"/>
    <w:uiPriority w:val="99"/>
    <w:semiHidden/>
    <w:unhideWhenUsed/>
    <w:qFormat/>
    <w:rsid w:val="00ea1435"/>
  </w:style>
  <w:style w:type="numbering" w:styleId="FrListare2111" w:customStyle="1">
    <w:name w:val="Fără Listare2111"/>
    <w:semiHidden/>
    <w:qFormat/>
    <w:rsid w:val="00ea1435"/>
  </w:style>
  <w:style w:type="numbering" w:styleId="FrListare2211" w:customStyle="1">
    <w:name w:val="Fără Listare2211"/>
    <w:semiHidden/>
    <w:qFormat/>
    <w:rsid w:val="00ea1435"/>
  </w:style>
  <w:style w:type="numbering" w:styleId="FrListare2311" w:customStyle="1">
    <w:name w:val="Fără Listare2311"/>
    <w:semiHidden/>
    <w:qFormat/>
    <w:rsid w:val="00ea1435"/>
  </w:style>
  <w:style w:type="numbering" w:styleId="FrListare2411" w:customStyle="1">
    <w:name w:val="Fără Listare2411"/>
    <w:uiPriority w:val="99"/>
    <w:semiHidden/>
    <w:unhideWhenUsed/>
    <w:qFormat/>
    <w:rsid w:val="00ea1435"/>
  </w:style>
  <w:style w:type="numbering" w:styleId="FrListare2511" w:customStyle="1">
    <w:name w:val="Fără Listare2511"/>
    <w:semiHidden/>
    <w:qFormat/>
    <w:rsid w:val="00ea1435"/>
  </w:style>
  <w:style w:type="numbering" w:styleId="FrListare11111" w:customStyle="1">
    <w:name w:val="Fără Listare11111"/>
    <w:semiHidden/>
    <w:unhideWhenUsed/>
    <w:qFormat/>
    <w:rsid w:val="00ea1435"/>
  </w:style>
  <w:style w:type="numbering" w:styleId="FrListare261" w:customStyle="1">
    <w:name w:val="Fără Listare261"/>
    <w:uiPriority w:val="99"/>
    <w:semiHidden/>
    <w:unhideWhenUsed/>
    <w:qFormat/>
    <w:rsid w:val="00ea1435"/>
  </w:style>
  <w:style w:type="numbering" w:styleId="FrListare271" w:customStyle="1">
    <w:name w:val="Fără Listare271"/>
    <w:semiHidden/>
    <w:qFormat/>
    <w:rsid w:val="00ea1435"/>
  </w:style>
  <w:style w:type="numbering" w:styleId="FrListare30" w:customStyle="1">
    <w:name w:val="Fără Listare30"/>
    <w:uiPriority w:val="99"/>
    <w:semiHidden/>
    <w:unhideWhenUsed/>
    <w:qFormat/>
    <w:rsid w:val="00ea1435"/>
  </w:style>
  <w:style w:type="numbering" w:styleId="FrListare114" w:customStyle="1">
    <w:name w:val="Fără Listare114"/>
    <w:uiPriority w:val="99"/>
    <w:semiHidden/>
    <w:unhideWhenUsed/>
    <w:qFormat/>
    <w:rsid w:val="00ea1435"/>
  </w:style>
  <w:style w:type="numbering" w:styleId="FrListare210" w:customStyle="1">
    <w:name w:val="Fără Listare210"/>
    <w:uiPriority w:val="99"/>
    <w:semiHidden/>
    <w:unhideWhenUsed/>
    <w:qFormat/>
    <w:rsid w:val="00ea1435"/>
  </w:style>
  <w:style w:type="numbering" w:styleId="FrListare321" w:customStyle="1">
    <w:name w:val="Fără Listare321"/>
    <w:semiHidden/>
    <w:qFormat/>
    <w:rsid w:val="00ea1435"/>
  </w:style>
  <w:style w:type="numbering" w:styleId="FrListare421" w:customStyle="1">
    <w:name w:val="Fără Listare421"/>
    <w:semiHidden/>
    <w:qFormat/>
    <w:rsid w:val="00ea1435"/>
  </w:style>
  <w:style w:type="numbering" w:styleId="FrListare521" w:customStyle="1">
    <w:name w:val="Fără Listare521"/>
    <w:uiPriority w:val="99"/>
    <w:semiHidden/>
    <w:unhideWhenUsed/>
    <w:qFormat/>
    <w:rsid w:val="00ea1435"/>
  </w:style>
  <w:style w:type="numbering" w:styleId="FrListare62" w:customStyle="1">
    <w:name w:val="Fără Listare62"/>
    <w:uiPriority w:val="99"/>
    <w:semiHidden/>
    <w:unhideWhenUsed/>
    <w:qFormat/>
    <w:rsid w:val="00ea1435"/>
  </w:style>
  <w:style w:type="numbering" w:styleId="FrListare72" w:customStyle="1">
    <w:name w:val="Fără Listare72"/>
    <w:uiPriority w:val="99"/>
    <w:semiHidden/>
    <w:unhideWhenUsed/>
    <w:qFormat/>
    <w:rsid w:val="00ea1435"/>
  </w:style>
  <w:style w:type="numbering" w:styleId="FrListare82" w:customStyle="1">
    <w:name w:val="Fără Listare82"/>
    <w:semiHidden/>
    <w:qFormat/>
    <w:rsid w:val="00ea1435"/>
  </w:style>
  <w:style w:type="numbering" w:styleId="FrListare92" w:customStyle="1">
    <w:name w:val="Fără Listare92"/>
    <w:uiPriority w:val="99"/>
    <w:semiHidden/>
    <w:unhideWhenUsed/>
    <w:qFormat/>
    <w:rsid w:val="00ea1435"/>
  </w:style>
  <w:style w:type="numbering" w:styleId="FrListare102" w:customStyle="1">
    <w:name w:val="Fără Listare102"/>
    <w:uiPriority w:val="99"/>
    <w:semiHidden/>
    <w:unhideWhenUsed/>
    <w:qFormat/>
    <w:rsid w:val="00ea1435"/>
  </w:style>
  <w:style w:type="numbering" w:styleId="FrListare115" w:customStyle="1">
    <w:name w:val="Fără Listare115"/>
    <w:uiPriority w:val="99"/>
    <w:semiHidden/>
    <w:unhideWhenUsed/>
    <w:qFormat/>
    <w:rsid w:val="00ea1435"/>
  </w:style>
  <w:style w:type="numbering" w:styleId="FrListare122" w:customStyle="1">
    <w:name w:val="Fără Listare122"/>
    <w:uiPriority w:val="99"/>
    <w:semiHidden/>
    <w:unhideWhenUsed/>
    <w:qFormat/>
    <w:rsid w:val="00ea1435"/>
  </w:style>
  <w:style w:type="numbering" w:styleId="FrListare132" w:customStyle="1">
    <w:name w:val="Fără Listare132"/>
    <w:uiPriority w:val="99"/>
    <w:semiHidden/>
    <w:unhideWhenUsed/>
    <w:qFormat/>
    <w:rsid w:val="00ea1435"/>
  </w:style>
  <w:style w:type="numbering" w:styleId="FrListare142" w:customStyle="1">
    <w:name w:val="Fără Listare142"/>
    <w:uiPriority w:val="99"/>
    <w:semiHidden/>
    <w:unhideWhenUsed/>
    <w:qFormat/>
    <w:rsid w:val="00ea1435"/>
  </w:style>
  <w:style w:type="numbering" w:styleId="FrListare152" w:customStyle="1">
    <w:name w:val="Fără Listare152"/>
    <w:uiPriority w:val="99"/>
    <w:semiHidden/>
    <w:unhideWhenUsed/>
    <w:qFormat/>
    <w:rsid w:val="00ea1435"/>
  </w:style>
  <w:style w:type="numbering" w:styleId="FrListare162" w:customStyle="1">
    <w:name w:val="Fără Listare162"/>
    <w:semiHidden/>
    <w:qFormat/>
    <w:rsid w:val="00ea1435"/>
  </w:style>
  <w:style w:type="numbering" w:styleId="FrListare172" w:customStyle="1">
    <w:name w:val="Fără Listare172"/>
    <w:uiPriority w:val="99"/>
    <w:semiHidden/>
    <w:unhideWhenUsed/>
    <w:qFormat/>
    <w:rsid w:val="00ea1435"/>
  </w:style>
  <w:style w:type="numbering" w:styleId="FrListare182" w:customStyle="1">
    <w:name w:val="Fără Listare182"/>
    <w:uiPriority w:val="99"/>
    <w:semiHidden/>
    <w:unhideWhenUsed/>
    <w:qFormat/>
    <w:rsid w:val="00ea1435"/>
  </w:style>
  <w:style w:type="numbering" w:styleId="FrListare192" w:customStyle="1">
    <w:name w:val="Fără Listare192"/>
    <w:uiPriority w:val="99"/>
    <w:semiHidden/>
    <w:unhideWhenUsed/>
    <w:qFormat/>
    <w:rsid w:val="00ea1435"/>
  </w:style>
  <w:style w:type="numbering" w:styleId="FrListare202" w:customStyle="1">
    <w:name w:val="Fără Listare202"/>
    <w:uiPriority w:val="99"/>
    <w:semiHidden/>
    <w:unhideWhenUsed/>
    <w:qFormat/>
    <w:rsid w:val="00ea1435"/>
  </w:style>
  <w:style w:type="numbering" w:styleId="FrListare1102" w:customStyle="1">
    <w:name w:val="Fără Listare1102"/>
    <w:uiPriority w:val="99"/>
    <w:semiHidden/>
    <w:unhideWhenUsed/>
    <w:qFormat/>
    <w:rsid w:val="00ea1435"/>
  </w:style>
  <w:style w:type="numbering" w:styleId="FrListare212" w:customStyle="1">
    <w:name w:val="Fără Listare212"/>
    <w:semiHidden/>
    <w:qFormat/>
    <w:rsid w:val="00ea1435"/>
  </w:style>
  <w:style w:type="numbering" w:styleId="FrListare222" w:customStyle="1">
    <w:name w:val="Fără Listare222"/>
    <w:semiHidden/>
    <w:qFormat/>
    <w:rsid w:val="00ea1435"/>
  </w:style>
  <w:style w:type="numbering" w:styleId="FrListare232" w:customStyle="1">
    <w:name w:val="Fără Listare232"/>
    <w:semiHidden/>
    <w:qFormat/>
    <w:rsid w:val="00ea1435"/>
  </w:style>
  <w:style w:type="numbering" w:styleId="FrListare242" w:customStyle="1">
    <w:name w:val="Fără Listare242"/>
    <w:uiPriority w:val="99"/>
    <w:semiHidden/>
    <w:unhideWhenUsed/>
    <w:qFormat/>
    <w:rsid w:val="00ea1435"/>
  </w:style>
  <w:style w:type="numbering" w:styleId="FrListare252" w:customStyle="1">
    <w:name w:val="Fără Listare252"/>
    <w:semiHidden/>
    <w:qFormat/>
    <w:rsid w:val="00ea1435"/>
  </w:style>
  <w:style w:type="numbering" w:styleId="FrListare1112" w:customStyle="1">
    <w:name w:val="Fără Listare1112"/>
    <w:semiHidden/>
    <w:unhideWhenUsed/>
    <w:qFormat/>
    <w:rsid w:val="00ea1435"/>
  </w:style>
  <w:style w:type="numbering" w:styleId="FrListare262" w:customStyle="1">
    <w:name w:val="Fără Listare262"/>
    <w:uiPriority w:val="99"/>
    <w:semiHidden/>
    <w:unhideWhenUsed/>
    <w:qFormat/>
    <w:rsid w:val="00ea1435"/>
  </w:style>
  <w:style w:type="numbering" w:styleId="FrListare272" w:customStyle="1">
    <w:name w:val="Fără Listare272"/>
    <w:semiHidden/>
    <w:qFormat/>
    <w:rsid w:val="00ea1435"/>
  </w:style>
  <w:style w:type="numbering" w:styleId="FrListare331" w:customStyle="1">
    <w:name w:val="Fără Listare331"/>
    <w:uiPriority w:val="99"/>
    <w:semiHidden/>
    <w:unhideWhenUsed/>
    <w:qFormat/>
    <w:rsid w:val="00ea1435"/>
  </w:style>
  <w:style w:type="numbering" w:styleId="FrListare116" w:customStyle="1">
    <w:name w:val="Fără Listare116"/>
    <w:semiHidden/>
    <w:qFormat/>
    <w:rsid w:val="00ea1435"/>
  </w:style>
  <w:style w:type="numbering" w:styleId="FrListare341" w:customStyle="1">
    <w:name w:val="Fără Listare341"/>
    <w:uiPriority w:val="99"/>
    <w:semiHidden/>
    <w:unhideWhenUsed/>
    <w:qFormat/>
    <w:rsid w:val="00ea1435"/>
  </w:style>
  <w:style w:type="numbering" w:styleId="FrListare35" w:customStyle="1">
    <w:name w:val="Fără Listare35"/>
    <w:semiHidden/>
    <w:qFormat/>
    <w:rsid w:val="00ea1435"/>
  </w:style>
  <w:style w:type="numbering" w:styleId="FrListare36" w:customStyle="1">
    <w:name w:val="Fără Listare36"/>
    <w:semiHidden/>
    <w:qFormat/>
    <w:rsid w:val="00ea1435"/>
  </w:style>
  <w:style w:type="numbering" w:styleId="FrListare37" w:customStyle="1">
    <w:name w:val="Fără Listare37"/>
    <w:semiHidden/>
    <w:unhideWhenUsed/>
    <w:qFormat/>
    <w:rsid w:val="00ea1435"/>
  </w:style>
  <w:style w:type="numbering" w:styleId="FrListare38" w:customStyle="1">
    <w:name w:val="Fără Listare38"/>
    <w:semiHidden/>
    <w:qFormat/>
    <w:rsid w:val="00ea1435"/>
  </w:style>
  <w:style w:type="numbering" w:styleId="FrListare39" w:customStyle="1">
    <w:name w:val="Fără Listare39"/>
    <w:uiPriority w:val="99"/>
    <w:semiHidden/>
    <w:unhideWhenUsed/>
    <w:qFormat/>
    <w:rsid w:val="00ea1435"/>
  </w:style>
  <w:style w:type="numbering" w:styleId="FrListare40" w:customStyle="1">
    <w:name w:val="Fără Listare40"/>
    <w:uiPriority w:val="99"/>
    <w:semiHidden/>
    <w:unhideWhenUsed/>
    <w:qFormat/>
    <w:rsid w:val="00ea1435"/>
  </w:style>
  <w:style w:type="numbering" w:styleId="FrListare43" w:customStyle="1">
    <w:name w:val="Fără Listare43"/>
    <w:uiPriority w:val="99"/>
    <w:semiHidden/>
    <w:unhideWhenUsed/>
    <w:qFormat/>
    <w:rsid w:val="00ea1435"/>
  </w:style>
  <w:style w:type="numbering" w:styleId="FrListare44" w:customStyle="1">
    <w:name w:val="Fără Listare44"/>
    <w:uiPriority w:val="99"/>
    <w:semiHidden/>
    <w:unhideWhenUsed/>
    <w:qFormat/>
    <w:rsid w:val="00ea1435"/>
  </w:style>
  <w:style w:type="numbering" w:styleId="FrListare45" w:customStyle="1">
    <w:name w:val="Fără Listare45"/>
    <w:uiPriority w:val="99"/>
    <w:semiHidden/>
    <w:unhideWhenUsed/>
    <w:qFormat/>
    <w:rsid w:val="00ea1435"/>
  </w:style>
  <w:style w:type="numbering" w:styleId="FrListare46" w:customStyle="1">
    <w:name w:val="Fără Listare46"/>
    <w:uiPriority w:val="99"/>
    <w:semiHidden/>
    <w:unhideWhenUsed/>
    <w:qFormat/>
    <w:rsid w:val="00ea1435"/>
  </w:style>
  <w:style w:type="numbering" w:styleId="FrListare47" w:customStyle="1">
    <w:name w:val="Fără Listare47"/>
    <w:uiPriority w:val="99"/>
    <w:semiHidden/>
    <w:unhideWhenUsed/>
    <w:qFormat/>
    <w:rsid w:val="00ea1435"/>
  </w:style>
  <w:style w:type="numbering" w:styleId="FrListare48" w:customStyle="1">
    <w:name w:val="Fără Listare48"/>
    <w:uiPriority w:val="99"/>
    <w:semiHidden/>
    <w:unhideWhenUsed/>
    <w:qFormat/>
    <w:rsid w:val="00ea1435"/>
  </w:style>
  <w:style w:type="numbering" w:styleId="FrListare49" w:customStyle="1">
    <w:name w:val="Fără Listare49"/>
    <w:uiPriority w:val="99"/>
    <w:semiHidden/>
    <w:unhideWhenUsed/>
    <w:qFormat/>
    <w:rsid w:val="00ea1435"/>
  </w:style>
  <w:style w:type="numbering" w:styleId="FrListare50" w:customStyle="1">
    <w:name w:val="Fără Listare50"/>
    <w:uiPriority w:val="99"/>
    <w:semiHidden/>
    <w:unhideWhenUsed/>
    <w:qFormat/>
    <w:rsid w:val="00ea1435"/>
  </w:style>
  <w:style w:type="numbering" w:styleId="FrListare53" w:customStyle="1">
    <w:name w:val="Fără Listare53"/>
    <w:semiHidden/>
    <w:unhideWhenUsed/>
    <w:qFormat/>
    <w:rsid w:val="00ea1435"/>
  </w:style>
  <w:style w:type="numbering" w:styleId="FrListare54" w:customStyle="1">
    <w:name w:val="Fără Listare54"/>
    <w:uiPriority w:val="99"/>
    <w:semiHidden/>
    <w:unhideWhenUsed/>
    <w:qFormat/>
    <w:rsid w:val="00ea1435"/>
  </w:style>
  <w:style w:type="numbering" w:styleId="FrListare55" w:customStyle="1">
    <w:name w:val="Fără Listare55"/>
    <w:uiPriority w:val="99"/>
    <w:semiHidden/>
    <w:unhideWhenUsed/>
    <w:qFormat/>
    <w:rsid w:val="00ea1435"/>
  </w:style>
  <w:style w:type="numbering" w:styleId="FrListare56" w:customStyle="1">
    <w:name w:val="Fără Listare56"/>
    <w:uiPriority w:val="99"/>
    <w:semiHidden/>
    <w:unhideWhenUsed/>
    <w:qFormat/>
    <w:rsid w:val="00ea1435"/>
  </w:style>
  <w:style w:type="numbering" w:styleId="FrListare57" w:customStyle="1">
    <w:name w:val="Fără Listare57"/>
    <w:uiPriority w:val="99"/>
    <w:semiHidden/>
    <w:unhideWhenUsed/>
    <w:qFormat/>
    <w:rsid w:val="00ea1435"/>
  </w:style>
  <w:style w:type="numbering" w:styleId="FrListare58" w:customStyle="1">
    <w:name w:val="Fără Listare58"/>
    <w:semiHidden/>
    <w:unhideWhenUsed/>
    <w:qFormat/>
    <w:rsid w:val="00ea1435"/>
  </w:style>
  <w:style w:type="numbering" w:styleId="FrListare59" w:customStyle="1">
    <w:name w:val="Fără Listare59"/>
    <w:uiPriority w:val="99"/>
    <w:semiHidden/>
    <w:unhideWhenUsed/>
    <w:qFormat/>
    <w:rsid w:val="00ea1435"/>
  </w:style>
  <w:style w:type="numbering" w:styleId="FrListare60" w:customStyle="1">
    <w:name w:val="Fără Listare60"/>
    <w:uiPriority w:val="99"/>
    <w:semiHidden/>
    <w:unhideWhenUsed/>
    <w:qFormat/>
    <w:rsid w:val="00ea1435"/>
  </w:style>
  <w:style w:type="numbering" w:styleId="FrListare63" w:customStyle="1">
    <w:name w:val="Fără Listare63"/>
    <w:uiPriority w:val="99"/>
    <w:semiHidden/>
    <w:unhideWhenUsed/>
    <w:qFormat/>
    <w:rsid w:val="00ea1435"/>
  </w:style>
  <w:style w:type="numbering" w:styleId="FrListare64" w:customStyle="1">
    <w:name w:val="Fără Listare64"/>
    <w:uiPriority w:val="99"/>
    <w:semiHidden/>
    <w:unhideWhenUsed/>
    <w:qFormat/>
    <w:rsid w:val="00ea1435"/>
  </w:style>
  <w:style w:type="numbering" w:styleId="FrListare65" w:customStyle="1">
    <w:name w:val="Fără Listare65"/>
    <w:uiPriority w:val="99"/>
    <w:semiHidden/>
    <w:unhideWhenUsed/>
    <w:qFormat/>
    <w:rsid w:val="00ea1435"/>
  </w:style>
  <w:style w:type="numbering" w:styleId="FrListare66" w:customStyle="1">
    <w:name w:val="Fără Listare66"/>
    <w:uiPriority w:val="99"/>
    <w:semiHidden/>
    <w:unhideWhenUsed/>
    <w:qFormat/>
    <w:rsid w:val="00ea1435"/>
  </w:style>
  <w:style w:type="numbering" w:styleId="FrListare67" w:customStyle="1">
    <w:name w:val="Fără Listare67"/>
    <w:uiPriority w:val="99"/>
    <w:semiHidden/>
    <w:qFormat/>
    <w:rsid w:val="00ea1435"/>
  </w:style>
  <w:style w:type="numbering" w:styleId="FrListare117" w:customStyle="1">
    <w:name w:val="Fără Listare117"/>
    <w:uiPriority w:val="99"/>
    <w:semiHidden/>
    <w:unhideWhenUsed/>
    <w:qFormat/>
    <w:rsid w:val="00ea1435"/>
  </w:style>
  <w:style w:type="numbering" w:styleId="FrListare118" w:customStyle="1">
    <w:name w:val="Fără Listare118"/>
    <w:uiPriority w:val="99"/>
    <w:semiHidden/>
    <w:qFormat/>
    <w:rsid w:val="00ea1435"/>
  </w:style>
  <w:style w:type="numbering" w:styleId="FrListare213" w:customStyle="1">
    <w:name w:val="Fără Listare213"/>
    <w:uiPriority w:val="99"/>
    <w:semiHidden/>
    <w:unhideWhenUsed/>
    <w:qFormat/>
    <w:rsid w:val="00ea1435"/>
  </w:style>
  <w:style w:type="numbering" w:styleId="FrListare310" w:customStyle="1">
    <w:name w:val="Fără Listare310"/>
    <w:semiHidden/>
    <w:unhideWhenUsed/>
    <w:qFormat/>
    <w:rsid w:val="00ea1435"/>
  </w:style>
  <w:style w:type="numbering" w:styleId="FrListare410" w:customStyle="1">
    <w:name w:val="Fără Listare410"/>
    <w:semiHidden/>
    <w:unhideWhenUsed/>
    <w:qFormat/>
    <w:rsid w:val="00ea1435"/>
  </w:style>
  <w:style w:type="numbering" w:styleId="FrListare510" w:customStyle="1">
    <w:name w:val="Fără Listare510"/>
    <w:uiPriority w:val="99"/>
    <w:semiHidden/>
    <w:unhideWhenUsed/>
    <w:qFormat/>
    <w:rsid w:val="00ea1435"/>
  </w:style>
  <w:style w:type="numbering" w:styleId="FrListare68" w:customStyle="1">
    <w:name w:val="Fără Listare68"/>
    <w:uiPriority w:val="99"/>
    <w:semiHidden/>
    <w:unhideWhenUsed/>
    <w:qFormat/>
    <w:rsid w:val="00ea1435"/>
  </w:style>
  <w:style w:type="numbering" w:styleId="FrListare73" w:customStyle="1">
    <w:name w:val="Fără Listare73"/>
    <w:uiPriority w:val="99"/>
    <w:semiHidden/>
    <w:unhideWhenUsed/>
    <w:qFormat/>
    <w:rsid w:val="00ea1435"/>
  </w:style>
  <w:style w:type="numbering" w:styleId="FrListare83" w:customStyle="1">
    <w:name w:val="Fără Listare83"/>
    <w:semiHidden/>
    <w:qFormat/>
    <w:rsid w:val="00ea1435"/>
  </w:style>
  <w:style w:type="numbering" w:styleId="FrListare93" w:customStyle="1">
    <w:name w:val="Fără Listare93"/>
    <w:uiPriority w:val="99"/>
    <w:semiHidden/>
    <w:unhideWhenUsed/>
    <w:qFormat/>
    <w:rsid w:val="00ea1435"/>
  </w:style>
  <w:style w:type="numbering" w:styleId="FrListare103" w:customStyle="1">
    <w:name w:val="Fără Listare103"/>
    <w:uiPriority w:val="99"/>
    <w:semiHidden/>
    <w:unhideWhenUsed/>
    <w:qFormat/>
    <w:rsid w:val="00ea1435"/>
  </w:style>
  <w:style w:type="numbering" w:styleId="FrListare1113" w:customStyle="1">
    <w:name w:val="Fără Listare1113"/>
    <w:uiPriority w:val="99"/>
    <w:semiHidden/>
    <w:unhideWhenUsed/>
    <w:qFormat/>
    <w:rsid w:val="00ea1435"/>
  </w:style>
  <w:style w:type="numbering" w:styleId="FrListare123" w:customStyle="1">
    <w:name w:val="Fără Listare123"/>
    <w:uiPriority w:val="99"/>
    <w:semiHidden/>
    <w:unhideWhenUsed/>
    <w:qFormat/>
    <w:rsid w:val="00ea1435"/>
  </w:style>
  <w:style w:type="numbering" w:styleId="FrListare133" w:customStyle="1">
    <w:name w:val="Fără Listare133"/>
    <w:uiPriority w:val="99"/>
    <w:semiHidden/>
    <w:unhideWhenUsed/>
    <w:qFormat/>
    <w:rsid w:val="00ea1435"/>
  </w:style>
  <w:style w:type="numbering" w:styleId="FrListare143" w:customStyle="1">
    <w:name w:val="Fără Listare143"/>
    <w:uiPriority w:val="99"/>
    <w:semiHidden/>
    <w:unhideWhenUsed/>
    <w:qFormat/>
    <w:rsid w:val="00ea1435"/>
  </w:style>
  <w:style w:type="numbering" w:styleId="FrListare153" w:customStyle="1">
    <w:name w:val="Fără Listare153"/>
    <w:uiPriority w:val="99"/>
    <w:semiHidden/>
    <w:unhideWhenUsed/>
    <w:qFormat/>
    <w:rsid w:val="00ea1435"/>
  </w:style>
  <w:style w:type="numbering" w:styleId="FrListare163" w:customStyle="1">
    <w:name w:val="Fără Listare163"/>
    <w:semiHidden/>
    <w:qFormat/>
    <w:rsid w:val="00ea1435"/>
  </w:style>
  <w:style w:type="numbering" w:styleId="FrListare173" w:customStyle="1">
    <w:name w:val="Fără Listare173"/>
    <w:uiPriority w:val="99"/>
    <w:semiHidden/>
    <w:unhideWhenUsed/>
    <w:qFormat/>
    <w:rsid w:val="00ea1435"/>
  </w:style>
  <w:style w:type="numbering" w:styleId="FrListare183" w:customStyle="1">
    <w:name w:val="Fără Listare183"/>
    <w:uiPriority w:val="99"/>
    <w:semiHidden/>
    <w:unhideWhenUsed/>
    <w:qFormat/>
    <w:rsid w:val="00ea1435"/>
  </w:style>
  <w:style w:type="numbering" w:styleId="FrListare193" w:customStyle="1">
    <w:name w:val="Fără Listare193"/>
    <w:uiPriority w:val="99"/>
    <w:semiHidden/>
    <w:unhideWhenUsed/>
    <w:qFormat/>
    <w:rsid w:val="00ea1435"/>
  </w:style>
  <w:style w:type="numbering" w:styleId="FrListare203" w:customStyle="1">
    <w:name w:val="Fără Listare203"/>
    <w:uiPriority w:val="99"/>
    <w:semiHidden/>
    <w:unhideWhenUsed/>
    <w:qFormat/>
    <w:rsid w:val="00ea1435"/>
  </w:style>
  <w:style w:type="numbering" w:styleId="FrListare1103" w:customStyle="1">
    <w:name w:val="Fără Listare1103"/>
    <w:uiPriority w:val="99"/>
    <w:semiHidden/>
    <w:unhideWhenUsed/>
    <w:qFormat/>
    <w:rsid w:val="00ea1435"/>
  </w:style>
  <w:style w:type="numbering" w:styleId="FrListare214" w:customStyle="1">
    <w:name w:val="Fără Listare214"/>
    <w:uiPriority w:val="99"/>
    <w:semiHidden/>
    <w:unhideWhenUsed/>
    <w:qFormat/>
    <w:rsid w:val="00ea1435"/>
  </w:style>
  <w:style w:type="numbering" w:styleId="FrListare223" w:customStyle="1">
    <w:name w:val="Fără Listare223"/>
    <w:uiPriority w:val="99"/>
    <w:semiHidden/>
    <w:unhideWhenUsed/>
    <w:qFormat/>
    <w:rsid w:val="00ea1435"/>
  </w:style>
  <w:style w:type="numbering" w:styleId="FrListare233" w:customStyle="1">
    <w:name w:val="Fără Listare233"/>
    <w:uiPriority w:val="99"/>
    <w:semiHidden/>
    <w:unhideWhenUsed/>
    <w:qFormat/>
    <w:rsid w:val="00ea1435"/>
  </w:style>
  <w:style w:type="numbering" w:styleId="FrListare243" w:customStyle="1">
    <w:name w:val="Fără Listare243"/>
    <w:semiHidden/>
    <w:qFormat/>
    <w:rsid w:val="00ea1435"/>
  </w:style>
  <w:style w:type="numbering" w:styleId="FrListare111111" w:customStyle="1">
    <w:name w:val="Fără Listare111111"/>
    <w:uiPriority w:val="99"/>
    <w:semiHidden/>
    <w:qFormat/>
    <w:rsid w:val="00ea1435"/>
  </w:style>
  <w:style w:type="numbering" w:styleId="FrListare11211" w:customStyle="1">
    <w:name w:val="Fără Listare11211"/>
    <w:uiPriority w:val="99"/>
    <w:semiHidden/>
    <w:qFormat/>
    <w:rsid w:val="00ea1435"/>
  </w:style>
  <w:style w:type="numbering" w:styleId="FrListare253" w:customStyle="1">
    <w:name w:val="Fără Listare253"/>
    <w:uiPriority w:val="99"/>
    <w:semiHidden/>
    <w:unhideWhenUsed/>
    <w:qFormat/>
    <w:rsid w:val="00ea1435"/>
  </w:style>
  <w:style w:type="numbering" w:styleId="FrListare3111" w:customStyle="1">
    <w:name w:val="Fără Listare3111"/>
    <w:semiHidden/>
    <w:unhideWhenUsed/>
    <w:qFormat/>
    <w:rsid w:val="00ea1435"/>
  </w:style>
  <w:style w:type="numbering" w:styleId="FrListare4111" w:customStyle="1">
    <w:name w:val="Fără Listare4111"/>
    <w:semiHidden/>
    <w:unhideWhenUsed/>
    <w:qFormat/>
    <w:rsid w:val="00ea1435"/>
  </w:style>
  <w:style w:type="numbering" w:styleId="FrListare5111" w:customStyle="1">
    <w:name w:val="Fără Listare5111"/>
    <w:uiPriority w:val="99"/>
    <w:semiHidden/>
    <w:unhideWhenUsed/>
    <w:qFormat/>
    <w:rsid w:val="00ea1435"/>
  </w:style>
  <w:style w:type="numbering" w:styleId="FrListare6111" w:customStyle="1">
    <w:name w:val="Fără Listare6111"/>
    <w:uiPriority w:val="99"/>
    <w:semiHidden/>
    <w:unhideWhenUsed/>
    <w:qFormat/>
    <w:rsid w:val="00ea1435"/>
  </w:style>
  <w:style w:type="numbering" w:styleId="FrListare7111" w:customStyle="1">
    <w:name w:val="Fără Listare7111"/>
    <w:uiPriority w:val="99"/>
    <w:semiHidden/>
    <w:unhideWhenUsed/>
    <w:qFormat/>
    <w:rsid w:val="00ea1435"/>
  </w:style>
  <w:style w:type="numbering" w:styleId="FrListare8111" w:customStyle="1">
    <w:name w:val="Fără Listare8111"/>
    <w:semiHidden/>
    <w:qFormat/>
    <w:rsid w:val="00ea1435"/>
  </w:style>
  <w:style w:type="numbering" w:styleId="FrListare9111" w:customStyle="1">
    <w:name w:val="Fără Listare9111"/>
    <w:uiPriority w:val="99"/>
    <w:semiHidden/>
    <w:unhideWhenUsed/>
    <w:qFormat/>
    <w:rsid w:val="00ea1435"/>
  </w:style>
  <w:style w:type="numbering" w:styleId="FrListare10111" w:customStyle="1">
    <w:name w:val="Fără Listare10111"/>
    <w:uiPriority w:val="99"/>
    <w:semiHidden/>
    <w:unhideWhenUsed/>
    <w:qFormat/>
    <w:rsid w:val="00ea1435"/>
  </w:style>
  <w:style w:type="numbering" w:styleId="FrListare1111111" w:customStyle="1">
    <w:name w:val="Fără Listare1111111"/>
    <w:uiPriority w:val="99"/>
    <w:semiHidden/>
    <w:unhideWhenUsed/>
    <w:qFormat/>
    <w:rsid w:val="00ea1435"/>
  </w:style>
  <w:style w:type="numbering" w:styleId="FrListare12111" w:customStyle="1">
    <w:name w:val="Fără Listare12111"/>
    <w:uiPriority w:val="99"/>
    <w:semiHidden/>
    <w:unhideWhenUsed/>
    <w:qFormat/>
    <w:rsid w:val="00ea1435"/>
  </w:style>
  <w:style w:type="numbering" w:styleId="FrListare13111" w:customStyle="1">
    <w:name w:val="Fără Listare13111"/>
    <w:uiPriority w:val="99"/>
    <w:semiHidden/>
    <w:unhideWhenUsed/>
    <w:qFormat/>
    <w:rsid w:val="00ea1435"/>
  </w:style>
  <w:style w:type="numbering" w:styleId="FrListare14111" w:customStyle="1">
    <w:name w:val="Fără Listare14111"/>
    <w:uiPriority w:val="99"/>
    <w:semiHidden/>
    <w:unhideWhenUsed/>
    <w:qFormat/>
    <w:rsid w:val="00ea1435"/>
  </w:style>
  <w:style w:type="numbering" w:styleId="FrListare15111" w:customStyle="1">
    <w:name w:val="Fără Listare15111"/>
    <w:uiPriority w:val="99"/>
    <w:semiHidden/>
    <w:unhideWhenUsed/>
    <w:qFormat/>
    <w:rsid w:val="00ea1435"/>
  </w:style>
  <w:style w:type="numbering" w:styleId="FrListare16111" w:customStyle="1">
    <w:name w:val="Fără Listare16111"/>
    <w:semiHidden/>
    <w:qFormat/>
    <w:rsid w:val="00ea1435"/>
  </w:style>
  <w:style w:type="numbering" w:styleId="FrListare17111" w:customStyle="1">
    <w:name w:val="Fără Listare17111"/>
    <w:uiPriority w:val="99"/>
    <w:semiHidden/>
    <w:unhideWhenUsed/>
    <w:qFormat/>
    <w:rsid w:val="00ea1435"/>
  </w:style>
  <w:style w:type="numbering" w:styleId="FrListare18111" w:customStyle="1">
    <w:name w:val="Fără Listare18111"/>
    <w:uiPriority w:val="99"/>
    <w:semiHidden/>
    <w:unhideWhenUsed/>
    <w:qFormat/>
    <w:rsid w:val="00ea1435"/>
  </w:style>
  <w:style w:type="numbering" w:styleId="FrListare19111" w:customStyle="1">
    <w:name w:val="Fără Listare19111"/>
    <w:uiPriority w:val="99"/>
    <w:semiHidden/>
    <w:unhideWhenUsed/>
    <w:qFormat/>
    <w:rsid w:val="00ea1435"/>
  </w:style>
  <w:style w:type="numbering" w:styleId="FrListare20111" w:customStyle="1">
    <w:name w:val="Fără Listare20111"/>
    <w:uiPriority w:val="99"/>
    <w:semiHidden/>
    <w:unhideWhenUsed/>
    <w:qFormat/>
    <w:rsid w:val="00ea1435"/>
  </w:style>
  <w:style w:type="numbering" w:styleId="FrListare110111" w:customStyle="1">
    <w:name w:val="Fără Listare110111"/>
    <w:uiPriority w:val="99"/>
    <w:semiHidden/>
    <w:unhideWhenUsed/>
    <w:qFormat/>
    <w:rsid w:val="00ea1435"/>
  </w:style>
  <w:style w:type="numbering" w:styleId="FrListare21111" w:customStyle="1">
    <w:name w:val="Fără Listare21111"/>
    <w:uiPriority w:val="99"/>
    <w:semiHidden/>
    <w:unhideWhenUsed/>
    <w:qFormat/>
    <w:rsid w:val="00ea1435"/>
  </w:style>
  <w:style w:type="numbering" w:styleId="FrListare22111" w:customStyle="1">
    <w:name w:val="Fără Listare22111"/>
    <w:uiPriority w:val="99"/>
    <w:semiHidden/>
    <w:unhideWhenUsed/>
    <w:qFormat/>
    <w:rsid w:val="00ea1435"/>
  </w:style>
  <w:style w:type="numbering" w:styleId="FrListare23111" w:customStyle="1">
    <w:name w:val="Fără Listare23111"/>
    <w:uiPriority w:val="99"/>
    <w:semiHidden/>
    <w:unhideWhenUsed/>
    <w:qFormat/>
    <w:rsid w:val="00ea1435"/>
  </w:style>
  <w:style w:type="numbering" w:styleId="FrListare263" w:customStyle="1">
    <w:name w:val="Fără Listare263"/>
    <w:uiPriority w:val="99"/>
    <w:semiHidden/>
    <w:unhideWhenUsed/>
    <w:qFormat/>
    <w:rsid w:val="00ea1435"/>
  </w:style>
  <w:style w:type="numbering" w:styleId="FrListare69" w:customStyle="1">
    <w:name w:val="Fără Listare69"/>
    <w:uiPriority w:val="99"/>
    <w:semiHidden/>
    <w:qFormat/>
    <w:rsid w:val="00ea1435"/>
  </w:style>
  <w:style w:type="numbering" w:styleId="FrListare119" w:customStyle="1">
    <w:name w:val="Fără Listare119"/>
    <w:uiPriority w:val="99"/>
    <w:semiHidden/>
    <w:unhideWhenUsed/>
    <w:qFormat/>
    <w:rsid w:val="00ea1435"/>
  </w:style>
  <w:style w:type="numbering" w:styleId="FrListare1110" w:customStyle="1">
    <w:name w:val="Fără Listare1110"/>
    <w:uiPriority w:val="99"/>
    <w:semiHidden/>
    <w:qFormat/>
    <w:rsid w:val="00ea1435"/>
  </w:style>
  <w:style w:type="numbering" w:styleId="FrListare215" w:customStyle="1">
    <w:name w:val="Fără Listare215"/>
    <w:uiPriority w:val="99"/>
    <w:semiHidden/>
    <w:unhideWhenUsed/>
    <w:qFormat/>
    <w:rsid w:val="00ea1435"/>
  </w:style>
  <w:style w:type="numbering" w:styleId="FrListare312" w:customStyle="1">
    <w:name w:val="Fără Listare312"/>
    <w:semiHidden/>
    <w:unhideWhenUsed/>
    <w:qFormat/>
    <w:rsid w:val="00ea1435"/>
  </w:style>
  <w:style w:type="numbering" w:styleId="FrListare412" w:customStyle="1">
    <w:name w:val="Fără Listare412"/>
    <w:semiHidden/>
    <w:unhideWhenUsed/>
    <w:qFormat/>
    <w:rsid w:val="00ea1435"/>
  </w:style>
  <w:style w:type="numbering" w:styleId="FrListare512" w:customStyle="1">
    <w:name w:val="Fără Listare512"/>
    <w:uiPriority w:val="99"/>
    <w:semiHidden/>
    <w:unhideWhenUsed/>
    <w:qFormat/>
    <w:rsid w:val="00ea1435"/>
  </w:style>
  <w:style w:type="numbering" w:styleId="FrListare610" w:customStyle="1">
    <w:name w:val="Fără Listare610"/>
    <w:uiPriority w:val="99"/>
    <w:semiHidden/>
    <w:unhideWhenUsed/>
    <w:qFormat/>
    <w:rsid w:val="00ea1435"/>
  </w:style>
  <w:style w:type="numbering" w:styleId="FrListare74" w:customStyle="1">
    <w:name w:val="Fără Listare74"/>
    <w:uiPriority w:val="99"/>
    <w:semiHidden/>
    <w:unhideWhenUsed/>
    <w:qFormat/>
    <w:rsid w:val="00ea1435"/>
  </w:style>
  <w:style w:type="numbering" w:styleId="FrListare84" w:customStyle="1">
    <w:name w:val="Fără Listare84"/>
    <w:semiHidden/>
    <w:qFormat/>
    <w:rsid w:val="00ea1435"/>
  </w:style>
  <w:style w:type="numbering" w:styleId="FrListare94" w:customStyle="1">
    <w:name w:val="Fără Listare94"/>
    <w:uiPriority w:val="99"/>
    <w:semiHidden/>
    <w:unhideWhenUsed/>
    <w:qFormat/>
    <w:rsid w:val="00ea1435"/>
  </w:style>
  <w:style w:type="numbering" w:styleId="FrListare104" w:customStyle="1">
    <w:name w:val="Fără Listare104"/>
    <w:uiPriority w:val="99"/>
    <w:semiHidden/>
    <w:unhideWhenUsed/>
    <w:qFormat/>
    <w:rsid w:val="00ea1435"/>
  </w:style>
  <w:style w:type="numbering" w:styleId="FrListare1114" w:customStyle="1">
    <w:name w:val="Fără Listare1114"/>
    <w:uiPriority w:val="99"/>
    <w:semiHidden/>
    <w:unhideWhenUsed/>
    <w:qFormat/>
    <w:rsid w:val="00ea1435"/>
  </w:style>
  <w:style w:type="numbering" w:styleId="FrListare124" w:customStyle="1">
    <w:name w:val="Fără Listare124"/>
    <w:uiPriority w:val="99"/>
    <w:semiHidden/>
    <w:unhideWhenUsed/>
    <w:qFormat/>
    <w:rsid w:val="00ea1435"/>
  </w:style>
  <w:style w:type="numbering" w:styleId="FrListare134" w:customStyle="1">
    <w:name w:val="Fără Listare134"/>
    <w:uiPriority w:val="99"/>
    <w:semiHidden/>
    <w:unhideWhenUsed/>
    <w:qFormat/>
    <w:rsid w:val="00ea1435"/>
  </w:style>
  <w:style w:type="numbering" w:styleId="FrListare144" w:customStyle="1">
    <w:name w:val="Fără Listare144"/>
    <w:uiPriority w:val="99"/>
    <w:semiHidden/>
    <w:unhideWhenUsed/>
    <w:qFormat/>
    <w:rsid w:val="00ea1435"/>
  </w:style>
  <w:style w:type="numbering" w:styleId="FrListare154" w:customStyle="1">
    <w:name w:val="Fără Listare154"/>
    <w:uiPriority w:val="99"/>
    <w:semiHidden/>
    <w:unhideWhenUsed/>
    <w:qFormat/>
    <w:rsid w:val="00ea1435"/>
  </w:style>
  <w:style w:type="numbering" w:styleId="FrListare164" w:customStyle="1">
    <w:name w:val="Fără Listare164"/>
    <w:semiHidden/>
    <w:qFormat/>
    <w:rsid w:val="00ea1435"/>
  </w:style>
  <w:style w:type="numbering" w:styleId="FrListare174" w:customStyle="1">
    <w:name w:val="Fără Listare174"/>
    <w:uiPriority w:val="99"/>
    <w:semiHidden/>
    <w:unhideWhenUsed/>
    <w:qFormat/>
    <w:rsid w:val="00ea1435"/>
  </w:style>
  <w:style w:type="numbering" w:styleId="FrListare184" w:customStyle="1">
    <w:name w:val="Fără Listare184"/>
    <w:uiPriority w:val="99"/>
    <w:semiHidden/>
    <w:unhideWhenUsed/>
    <w:qFormat/>
    <w:rsid w:val="00ea1435"/>
  </w:style>
  <w:style w:type="numbering" w:styleId="FrListare194" w:customStyle="1">
    <w:name w:val="Fără Listare194"/>
    <w:uiPriority w:val="99"/>
    <w:semiHidden/>
    <w:unhideWhenUsed/>
    <w:qFormat/>
    <w:rsid w:val="00ea1435"/>
  </w:style>
  <w:style w:type="numbering" w:styleId="FrListare204" w:customStyle="1">
    <w:name w:val="Fără Listare204"/>
    <w:uiPriority w:val="99"/>
    <w:semiHidden/>
    <w:unhideWhenUsed/>
    <w:qFormat/>
    <w:rsid w:val="00ea1435"/>
  </w:style>
  <w:style w:type="numbering" w:styleId="FrListare1104" w:customStyle="1">
    <w:name w:val="Fără Listare1104"/>
    <w:uiPriority w:val="99"/>
    <w:semiHidden/>
    <w:unhideWhenUsed/>
    <w:qFormat/>
    <w:rsid w:val="00ea1435"/>
  </w:style>
  <w:style w:type="numbering" w:styleId="FrListare216" w:customStyle="1">
    <w:name w:val="Fără Listare216"/>
    <w:uiPriority w:val="99"/>
    <w:semiHidden/>
    <w:unhideWhenUsed/>
    <w:qFormat/>
    <w:rsid w:val="00ea1435"/>
  </w:style>
  <w:style w:type="numbering" w:styleId="FrListare224" w:customStyle="1">
    <w:name w:val="Fără Listare224"/>
    <w:uiPriority w:val="99"/>
    <w:semiHidden/>
    <w:unhideWhenUsed/>
    <w:qFormat/>
    <w:rsid w:val="00ea1435"/>
  </w:style>
  <w:style w:type="numbering" w:styleId="FrListare234" w:customStyle="1">
    <w:name w:val="Fără Listare234"/>
    <w:uiPriority w:val="99"/>
    <w:semiHidden/>
    <w:unhideWhenUsed/>
    <w:qFormat/>
    <w:rsid w:val="00ea1435"/>
  </w:style>
  <w:style w:type="numbering" w:styleId="FrListare244" w:customStyle="1">
    <w:name w:val="Fără Listare244"/>
    <w:semiHidden/>
    <w:qFormat/>
    <w:rsid w:val="00ea1435"/>
  </w:style>
  <w:style w:type="numbering" w:styleId="FrListare11112" w:customStyle="1">
    <w:name w:val="Fără Listare11112"/>
    <w:uiPriority w:val="99"/>
    <w:semiHidden/>
    <w:qFormat/>
    <w:rsid w:val="00ea1435"/>
  </w:style>
  <w:style w:type="numbering" w:styleId="FrListare1122" w:customStyle="1">
    <w:name w:val="Fără Listare1122"/>
    <w:uiPriority w:val="99"/>
    <w:semiHidden/>
    <w:qFormat/>
    <w:rsid w:val="00ea1435"/>
  </w:style>
  <w:style w:type="numbering" w:styleId="FrListare254" w:customStyle="1">
    <w:name w:val="Fără Listare254"/>
    <w:uiPriority w:val="99"/>
    <w:semiHidden/>
    <w:unhideWhenUsed/>
    <w:qFormat/>
    <w:rsid w:val="00ea1435"/>
  </w:style>
  <w:style w:type="numbering" w:styleId="FrListare313" w:customStyle="1">
    <w:name w:val="Fără Listare313"/>
    <w:semiHidden/>
    <w:unhideWhenUsed/>
    <w:qFormat/>
    <w:rsid w:val="00ea1435"/>
  </w:style>
  <w:style w:type="numbering" w:styleId="FrListare413" w:customStyle="1">
    <w:name w:val="Fără Listare413"/>
    <w:semiHidden/>
    <w:unhideWhenUsed/>
    <w:qFormat/>
    <w:rsid w:val="00ea1435"/>
  </w:style>
  <w:style w:type="numbering" w:styleId="FrListare513" w:customStyle="1">
    <w:name w:val="Fără Listare513"/>
    <w:uiPriority w:val="99"/>
    <w:semiHidden/>
    <w:unhideWhenUsed/>
    <w:qFormat/>
    <w:rsid w:val="00ea1435"/>
  </w:style>
  <w:style w:type="numbering" w:styleId="FrListare612" w:customStyle="1">
    <w:name w:val="Fără Listare612"/>
    <w:uiPriority w:val="99"/>
    <w:semiHidden/>
    <w:unhideWhenUsed/>
    <w:qFormat/>
    <w:rsid w:val="00ea1435"/>
  </w:style>
  <w:style w:type="numbering" w:styleId="FrListare712" w:customStyle="1">
    <w:name w:val="Fără Listare712"/>
    <w:uiPriority w:val="99"/>
    <w:semiHidden/>
    <w:unhideWhenUsed/>
    <w:qFormat/>
    <w:rsid w:val="00ea1435"/>
  </w:style>
  <w:style w:type="numbering" w:styleId="FrListare812" w:customStyle="1">
    <w:name w:val="Fără Listare812"/>
    <w:semiHidden/>
    <w:qFormat/>
    <w:rsid w:val="00ea1435"/>
  </w:style>
  <w:style w:type="numbering" w:styleId="FrListare912" w:customStyle="1">
    <w:name w:val="Fără Listare912"/>
    <w:uiPriority w:val="99"/>
    <w:semiHidden/>
    <w:unhideWhenUsed/>
    <w:qFormat/>
    <w:rsid w:val="00ea1435"/>
  </w:style>
  <w:style w:type="numbering" w:styleId="FrListare1012" w:customStyle="1">
    <w:name w:val="Fără Listare1012"/>
    <w:uiPriority w:val="99"/>
    <w:semiHidden/>
    <w:unhideWhenUsed/>
    <w:qFormat/>
    <w:rsid w:val="00ea1435"/>
  </w:style>
  <w:style w:type="numbering" w:styleId="FrListare111112" w:customStyle="1">
    <w:name w:val="Fără Listare111112"/>
    <w:uiPriority w:val="99"/>
    <w:semiHidden/>
    <w:unhideWhenUsed/>
    <w:qFormat/>
    <w:rsid w:val="00ea1435"/>
  </w:style>
  <w:style w:type="numbering" w:styleId="FrListare1212" w:customStyle="1">
    <w:name w:val="Fără Listare1212"/>
    <w:uiPriority w:val="99"/>
    <w:semiHidden/>
    <w:unhideWhenUsed/>
    <w:qFormat/>
    <w:rsid w:val="00ea1435"/>
  </w:style>
  <w:style w:type="numbering" w:styleId="FrListare1312" w:customStyle="1">
    <w:name w:val="Fără Listare1312"/>
    <w:uiPriority w:val="99"/>
    <w:semiHidden/>
    <w:unhideWhenUsed/>
    <w:qFormat/>
    <w:rsid w:val="00ea1435"/>
  </w:style>
  <w:style w:type="numbering" w:styleId="FrListare1412" w:customStyle="1">
    <w:name w:val="Fără Listare1412"/>
    <w:uiPriority w:val="99"/>
    <w:semiHidden/>
    <w:unhideWhenUsed/>
    <w:qFormat/>
    <w:rsid w:val="00ea1435"/>
  </w:style>
  <w:style w:type="numbering" w:styleId="FrListare1512" w:customStyle="1">
    <w:name w:val="Fără Listare1512"/>
    <w:uiPriority w:val="99"/>
    <w:semiHidden/>
    <w:unhideWhenUsed/>
    <w:qFormat/>
    <w:rsid w:val="00ea1435"/>
  </w:style>
  <w:style w:type="numbering" w:styleId="FrListare1612" w:customStyle="1">
    <w:name w:val="Fără Listare1612"/>
    <w:semiHidden/>
    <w:qFormat/>
    <w:rsid w:val="00ea1435"/>
  </w:style>
  <w:style w:type="numbering" w:styleId="FrListare1712" w:customStyle="1">
    <w:name w:val="Fără Listare1712"/>
    <w:uiPriority w:val="99"/>
    <w:semiHidden/>
    <w:unhideWhenUsed/>
    <w:qFormat/>
    <w:rsid w:val="00ea1435"/>
  </w:style>
  <w:style w:type="numbering" w:styleId="FrListare1812" w:customStyle="1">
    <w:name w:val="Fără Listare1812"/>
    <w:uiPriority w:val="99"/>
    <w:semiHidden/>
    <w:unhideWhenUsed/>
    <w:qFormat/>
    <w:rsid w:val="00ea1435"/>
  </w:style>
  <w:style w:type="numbering" w:styleId="FrListare1912" w:customStyle="1">
    <w:name w:val="Fără Listare1912"/>
    <w:uiPriority w:val="99"/>
    <w:semiHidden/>
    <w:unhideWhenUsed/>
    <w:qFormat/>
    <w:rsid w:val="00ea1435"/>
  </w:style>
  <w:style w:type="numbering" w:styleId="FrListare2012" w:customStyle="1">
    <w:name w:val="Fără Listare2012"/>
    <w:uiPriority w:val="99"/>
    <w:semiHidden/>
    <w:unhideWhenUsed/>
    <w:qFormat/>
    <w:rsid w:val="00ea1435"/>
  </w:style>
  <w:style w:type="numbering" w:styleId="FrListare11012" w:customStyle="1">
    <w:name w:val="Fără Listare11012"/>
    <w:uiPriority w:val="99"/>
    <w:semiHidden/>
    <w:unhideWhenUsed/>
    <w:qFormat/>
    <w:rsid w:val="00ea1435"/>
  </w:style>
  <w:style w:type="numbering" w:styleId="FrListare2112" w:customStyle="1">
    <w:name w:val="Fără Listare2112"/>
    <w:uiPriority w:val="99"/>
    <w:semiHidden/>
    <w:unhideWhenUsed/>
    <w:qFormat/>
    <w:rsid w:val="00ea1435"/>
  </w:style>
  <w:style w:type="numbering" w:styleId="FrListare2212" w:customStyle="1">
    <w:name w:val="Fără Listare2212"/>
    <w:uiPriority w:val="99"/>
    <w:semiHidden/>
    <w:unhideWhenUsed/>
    <w:qFormat/>
    <w:rsid w:val="00ea1435"/>
  </w:style>
  <w:style w:type="numbering" w:styleId="FrListare2312" w:customStyle="1">
    <w:name w:val="Fără Listare2312"/>
    <w:uiPriority w:val="99"/>
    <w:semiHidden/>
    <w:unhideWhenUsed/>
    <w:qFormat/>
    <w:rsid w:val="00ea1435"/>
  </w:style>
  <w:style w:type="numbering" w:styleId="FrListare264" w:customStyle="1">
    <w:name w:val="Fără Listare264"/>
    <w:uiPriority w:val="99"/>
    <w:semiHidden/>
    <w:unhideWhenUsed/>
    <w:qFormat/>
    <w:rsid w:val="00ea1435"/>
  </w:style>
  <w:style w:type="numbering" w:styleId="FrListare273" w:customStyle="1">
    <w:name w:val="Fără Listare273"/>
    <w:uiPriority w:val="99"/>
    <w:semiHidden/>
    <w:unhideWhenUsed/>
    <w:qFormat/>
    <w:rsid w:val="00ea1435"/>
  </w:style>
  <w:style w:type="numbering" w:styleId="FrListare1131" w:customStyle="1">
    <w:name w:val="Fără Listare1131"/>
    <w:uiPriority w:val="99"/>
    <w:semiHidden/>
    <w:unhideWhenUsed/>
    <w:qFormat/>
    <w:rsid w:val="00ea1435"/>
  </w:style>
  <w:style w:type="numbering" w:styleId="FrListare281" w:customStyle="1">
    <w:name w:val="Fără Listare281"/>
    <w:uiPriority w:val="99"/>
    <w:semiHidden/>
    <w:unhideWhenUsed/>
    <w:qFormat/>
    <w:rsid w:val="00ea1435"/>
  </w:style>
  <w:style w:type="numbering" w:styleId="FrListare3211" w:customStyle="1">
    <w:name w:val="Fără Listare3211"/>
    <w:semiHidden/>
    <w:qFormat/>
    <w:rsid w:val="00ea1435"/>
  </w:style>
  <w:style w:type="numbering" w:styleId="FrListare4211" w:customStyle="1">
    <w:name w:val="Fără Listare4211"/>
    <w:semiHidden/>
    <w:qFormat/>
    <w:rsid w:val="00ea1435"/>
  </w:style>
  <w:style w:type="numbering" w:styleId="FrListare5211" w:customStyle="1">
    <w:name w:val="Fără Listare5211"/>
    <w:uiPriority w:val="99"/>
    <w:semiHidden/>
    <w:unhideWhenUsed/>
    <w:qFormat/>
    <w:rsid w:val="00ea1435"/>
  </w:style>
  <w:style w:type="numbering" w:styleId="FrListare621" w:customStyle="1">
    <w:name w:val="Fără Listare621"/>
    <w:uiPriority w:val="99"/>
    <w:semiHidden/>
    <w:unhideWhenUsed/>
    <w:qFormat/>
    <w:rsid w:val="00ea1435"/>
  </w:style>
  <w:style w:type="numbering" w:styleId="FrListare721" w:customStyle="1">
    <w:name w:val="Fără Listare721"/>
    <w:uiPriority w:val="99"/>
    <w:semiHidden/>
    <w:unhideWhenUsed/>
    <w:qFormat/>
    <w:rsid w:val="00ea1435"/>
  </w:style>
  <w:style w:type="numbering" w:styleId="FrListare821" w:customStyle="1">
    <w:name w:val="Fără Listare821"/>
    <w:semiHidden/>
    <w:qFormat/>
    <w:rsid w:val="00ea1435"/>
  </w:style>
  <w:style w:type="numbering" w:styleId="FrListare921" w:customStyle="1">
    <w:name w:val="Fără Listare921"/>
    <w:uiPriority w:val="99"/>
    <w:semiHidden/>
    <w:unhideWhenUsed/>
    <w:qFormat/>
    <w:rsid w:val="00ea1435"/>
  </w:style>
  <w:style w:type="numbering" w:styleId="FrListare1021" w:customStyle="1">
    <w:name w:val="Fără Listare1021"/>
    <w:uiPriority w:val="99"/>
    <w:semiHidden/>
    <w:unhideWhenUsed/>
    <w:qFormat/>
    <w:rsid w:val="00ea1435"/>
  </w:style>
  <w:style w:type="numbering" w:styleId="FrListare1141" w:customStyle="1">
    <w:name w:val="Fără Listare1141"/>
    <w:uiPriority w:val="99"/>
    <w:semiHidden/>
    <w:unhideWhenUsed/>
    <w:qFormat/>
    <w:rsid w:val="00ea1435"/>
  </w:style>
  <w:style w:type="numbering" w:styleId="FrListare1221" w:customStyle="1">
    <w:name w:val="Fără Listare1221"/>
    <w:uiPriority w:val="99"/>
    <w:semiHidden/>
    <w:unhideWhenUsed/>
    <w:qFormat/>
    <w:rsid w:val="00ea1435"/>
  </w:style>
  <w:style w:type="numbering" w:styleId="FrListare1321" w:customStyle="1">
    <w:name w:val="Fără Listare1321"/>
    <w:uiPriority w:val="99"/>
    <w:semiHidden/>
    <w:unhideWhenUsed/>
    <w:qFormat/>
    <w:rsid w:val="00ea1435"/>
  </w:style>
  <w:style w:type="numbering" w:styleId="FrListare1421" w:customStyle="1">
    <w:name w:val="Fără Listare1421"/>
    <w:uiPriority w:val="99"/>
    <w:semiHidden/>
    <w:unhideWhenUsed/>
    <w:qFormat/>
    <w:rsid w:val="00ea1435"/>
  </w:style>
  <w:style w:type="numbering" w:styleId="FrListare1521" w:customStyle="1">
    <w:name w:val="Fără Listare1521"/>
    <w:uiPriority w:val="99"/>
    <w:semiHidden/>
    <w:unhideWhenUsed/>
    <w:qFormat/>
    <w:rsid w:val="00ea1435"/>
  </w:style>
  <w:style w:type="numbering" w:styleId="FrListare1621" w:customStyle="1">
    <w:name w:val="Fără Listare1621"/>
    <w:semiHidden/>
    <w:qFormat/>
    <w:rsid w:val="00ea1435"/>
  </w:style>
  <w:style w:type="numbering" w:styleId="FrListare1721" w:customStyle="1">
    <w:name w:val="Fără Listare1721"/>
    <w:uiPriority w:val="99"/>
    <w:semiHidden/>
    <w:unhideWhenUsed/>
    <w:qFormat/>
    <w:rsid w:val="00ea1435"/>
  </w:style>
  <w:style w:type="numbering" w:styleId="FrListare1821" w:customStyle="1">
    <w:name w:val="Fără Listare1821"/>
    <w:uiPriority w:val="99"/>
    <w:semiHidden/>
    <w:unhideWhenUsed/>
    <w:qFormat/>
    <w:rsid w:val="00ea1435"/>
  </w:style>
  <w:style w:type="numbering" w:styleId="FrListare1921" w:customStyle="1">
    <w:name w:val="Fără Listare1921"/>
    <w:uiPriority w:val="99"/>
    <w:semiHidden/>
    <w:unhideWhenUsed/>
    <w:qFormat/>
    <w:rsid w:val="00ea1435"/>
  </w:style>
  <w:style w:type="numbering" w:styleId="FrListare2021" w:customStyle="1">
    <w:name w:val="Fără Listare2021"/>
    <w:uiPriority w:val="99"/>
    <w:semiHidden/>
    <w:unhideWhenUsed/>
    <w:qFormat/>
    <w:rsid w:val="00ea1435"/>
  </w:style>
  <w:style w:type="numbering" w:styleId="FrListare11021" w:customStyle="1">
    <w:name w:val="Fără Listare11021"/>
    <w:uiPriority w:val="99"/>
    <w:semiHidden/>
    <w:unhideWhenUsed/>
    <w:qFormat/>
    <w:rsid w:val="00ea1435"/>
  </w:style>
  <w:style w:type="numbering" w:styleId="FrListare2121" w:customStyle="1">
    <w:name w:val="Fără Listare2121"/>
    <w:semiHidden/>
    <w:qFormat/>
    <w:rsid w:val="00ea1435"/>
  </w:style>
  <w:style w:type="numbering" w:styleId="FrListare2221" w:customStyle="1">
    <w:name w:val="Fără Listare2221"/>
    <w:semiHidden/>
    <w:qFormat/>
    <w:rsid w:val="00ea1435"/>
  </w:style>
  <w:style w:type="numbering" w:styleId="FrListare2321" w:customStyle="1">
    <w:name w:val="Fără Listare2321"/>
    <w:semiHidden/>
    <w:qFormat/>
    <w:rsid w:val="00ea1435"/>
  </w:style>
  <w:style w:type="numbering" w:styleId="FrListare24111" w:customStyle="1">
    <w:name w:val="Fără Listare24111"/>
    <w:uiPriority w:val="99"/>
    <w:semiHidden/>
    <w:unhideWhenUsed/>
    <w:qFormat/>
    <w:rsid w:val="00ea1435"/>
  </w:style>
  <w:style w:type="numbering" w:styleId="FrListare25111" w:customStyle="1">
    <w:name w:val="Fără Listare25111"/>
    <w:semiHidden/>
    <w:qFormat/>
    <w:rsid w:val="00ea1435"/>
  </w:style>
  <w:style w:type="numbering" w:styleId="FrListare11121" w:customStyle="1">
    <w:name w:val="Fără Listare11121"/>
    <w:semiHidden/>
    <w:unhideWhenUsed/>
    <w:qFormat/>
    <w:rsid w:val="00ea1435"/>
  </w:style>
  <w:style w:type="numbering" w:styleId="FrListare2611" w:customStyle="1">
    <w:name w:val="Fără Listare2611"/>
    <w:uiPriority w:val="99"/>
    <w:semiHidden/>
    <w:unhideWhenUsed/>
    <w:qFormat/>
    <w:rsid w:val="00ea1435"/>
  </w:style>
  <w:style w:type="numbering" w:styleId="FrListare2711" w:customStyle="1">
    <w:name w:val="Fără Listare2711"/>
    <w:semiHidden/>
    <w:qFormat/>
    <w:rsid w:val="00ea1435"/>
  </w:style>
  <w:style w:type="numbering" w:styleId="FrListare2811" w:customStyle="1">
    <w:name w:val="Fără Listare2811"/>
    <w:uiPriority w:val="99"/>
    <w:semiHidden/>
    <w:unhideWhenUsed/>
    <w:qFormat/>
    <w:rsid w:val="00ea1435"/>
  </w:style>
  <w:style w:type="numbering" w:styleId="FrListare112111" w:customStyle="1">
    <w:name w:val="Fără Listare112111"/>
    <w:uiPriority w:val="99"/>
    <w:semiHidden/>
    <w:unhideWhenUsed/>
    <w:qFormat/>
    <w:rsid w:val="00ea1435"/>
  </w:style>
  <w:style w:type="numbering" w:styleId="FrListare291" w:customStyle="1">
    <w:name w:val="Fără Listare291"/>
    <w:uiPriority w:val="99"/>
    <w:semiHidden/>
    <w:unhideWhenUsed/>
    <w:qFormat/>
    <w:rsid w:val="00ea1435"/>
  </w:style>
  <w:style w:type="numbering" w:styleId="FrListare31111" w:customStyle="1">
    <w:name w:val="Fără Listare31111"/>
    <w:semiHidden/>
    <w:qFormat/>
    <w:rsid w:val="00ea1435"/>
  </w:style>
  <w:style w:type="numbering" w:styleId="FrListare41111" w:customStyle="1">
    <w:name w:val="Fără Listare41111"/>
    <w:semiHidden/>
    <w:qFormat/>
    <w:rsid w:val="00ea1435"/>
  </w:style>
  <w:style w:type="numbering" w:styleId="FrListare51111" w:customStyle="1">
    <w:name w:val="Fără Listare51111"/>
    <w:uiPriority w:val="99"/>
    <w:semiHidden/>
    <w:unhideWhenUsed/>
    <w:qFormat/>
    <w:rsid w:val="00ea1435"/>
  </w:style>
  <w:style w:type="numbering" w:styleId="FrListare61111" w:customStyle="1">
    <w:name w:val="Fără Listare61111"/>
    <w:uiPriority w:val="99"/>
    <w:semiHidden/>
    <w:unhideWhenUsed/>
    <w:qFormat/>
    <w:rsid w:val="00ea1435"/>
  </w:style>
  <w:style w:type="numbering" w:styleId="FrListare71111" w:customStyle="1">
    <w:name w:val="Fără Listare71111"/>
    <w:uiPriority w:val="99"/>
    <w:semiHidden/>
    <w:unhideWhenUsed/>
    <w:qFormat/>
    <w:rsid w:val="00ea1435"/>
  </w:style>
  <w:style w:type="numbering" w:styleId="FrListare81111" w:customStyle="1">
    <w:name w:val="Fără Listare81111"/>
    <w:semiHidden/>
    <w:qFormat/>
    <w:rsid w:val="00ea1435"/>
  </w:style>
  <w:style w:type="numbering" w:styleId="FrListare91111" w:customStyle="1">
    <w:name w:val="Fără Listare91111"/>
    <w:uiPriority w:val="99"/>
    <w:semiHidden/>
    <w:unhideWhenUsed/>
    <w:qFormat/>
    <w:rsid w:val="00ea1435"/>
  </w:style>
  <w:style w:type="numbering" w:styleId="FrListare101111" w:customStyle="1">
    <w:name w:val="Fără Listare101111"/>
    <w:uiPriority w:val="99"/>
    <w:semiHidden/>
    <w:unhideWhenUsed/>
    <w:qFormat/>
    <w:rsid w:val="00ea1435"/>
  </w:style>
  <w:style w:type="numbering" w:styleId="FrListare11311" w:customStyle="1">
    <w:name w:val="Fără Listare11311"/>
    <w:uiPriority w:val="99"/>
    <w:semiHidden/>
    <w:unhideWhenUsed/>
    <w:qFormat/>
    <w:rsid w:val="00ea1435"/>
  </w:style>
  <w:style w:type="numbering" w:styleId="FrListare121111" w:customStyle="1">
    <w:name w:val="Fără Listare121111"/>
    <w:uiPriority w:val="99"/>
    <w:semiHidden/>
    <w:unhideWhenUsed/>
    <w:qFormat/>
    <w:rsid w:val="00ea1435"/>
  </w:style>
  <w:style w:type="numbering" w:styleId="FrListare131111" w:customStyle="1">
    <w:name w:val="Fără Listare131111"/>
    <w:uiPriority w:val="99"/>
    <w:semiHidden/>
    <w:unhideWhenUsed/>
    <w:qFormat/>
    <w:rsid w:val="00ea1435"/>
  </w:style>
  <w:style w:type="numbering" w:styleId="FrListare141111" w:customStyle="1">
    <w:name w:val="Fără Listare141111"/>
    <w:uiPriority w:val="99"/>
    <w:semiHidden/>
    <w:unhideWhenUsed/>
    <w:qFormat/>
    <w:rsid w:val="00ea1435"/>
  </w:style>
  <w:style w:type="numbering" w:styleId="FrListare151111" w:customStyle="1">
    <w:name w:val="Fără Listare151111"/>
    <w:uiPriority w:val="99"/>
    <w:semiHidden/>
    <w:unhideWhenUsed/>
    <w:qFormat/>
    <w:rsid w:val="00ea1435"/>
  </w:style>
  <w:style w:type="numbering" w:styleId="FrListare161111" w:customStyle="1">
    <w:name w:val="Fără Listare161111"/>
    <w:semiHidden/>
    <w:qFormat/>
    <w:rsid w:val="00ea1435"/>
  </w:style>
  <w:style w:type="numbering" w:styleId="FrListare171111" w:customStyle="1">
    <w:name w:val="Fără Listare171111"/>
    <w:uiPriority w:val="99"/>
    <w:semiHidden/>
    <w:unhideWhenUsed/>
    <w:qFormat/>
    <w:rsid w:val="00ea1435"/>
  </w:style>
  <w:style w:type="numbering" w:styleId="FrListare181111" w:customStyle="1">
    <w:name w:val="Fără Listare181111"/>
    <w:uiPriority w:val="99"/>
    <w:semiHidden/>
    <w:unhideWhenUsed/>
    <w:qFormat/>
    <w:rsid w:val="00ea1435"/>
  </w:style>
  <w:style w:type="numbering" w:styleId="FrListare191111" w:customStyle="1">
    <w:name w:val="Fără Listare191111"/>
    <w:uiPriority w:val="99"/>
    <w:semiHidden/>
    <w:unhideWhenUsed/>
    <w:qFormat/>
    <w:rsid w:val="00ea1435"/>
  </w:style>
  <w:style w:type="numbering" w:styleId="FrListare201111" w:customStyle="1">
    <w:name w:val="Fără Listare201111"/>
    <w:uiPriority w:val="99"/>
    <w:semiHidden/>
    <w:unhideWhenUsed/>
    <w:qFormat/>
    <w:rsid w:val="00ea1435"/>
  </w:style>
  <w:style w:type="numbering" w:styleId="FrListare1101111" w:customStyle="1">
    <w:name w:val="Fără Listare1101111"/>
    <w:uiPriority w:val="99"/>
    <w:semiHidden/>
    <w:unhideWhenUsed/>
    <w:qFormat/>
    <w:rsid w:val="00ea1435"/>
  </w:style>
  <w:style w:type="numbering" w:styleId="FrListare211111" w:customStyle="1">
    <w:name w:val="Fără Listare211111"/>
    <w:semiHidden/>
    <w:qFormat/>
    <w:rsid w:val="00ea1435"/>
  </w:style>
  <w:style w:type="numbering" w:styleId="FrListare221111" w:customStyle="1">
    <w:name w:val="Fără Listare221111"/>
    <w:semiHidden/>
    <w:qFormat/>
    <w:rsid w:val="00ea1435"/>
  </w:style>
  <w:style w:type="numbering" w:styleId="FrListare231111" w:customStyle="1">
    <w:name w:val="Fără Listare231111"/>
    <w:semiHidden/>
    <w:qFormat/>
    <w:rsid w:val="00ea1435"/>
  </w:style>
  <w:style w:type="numbering" w:styleId="FrListare241111" w:customStyle="1">
    <w:name w:val="Fără Listare241111"/>
    <w:uiPriority w:val="99"/>
    <w:semiHidden/>
    <w:unhideWhenUsed/>
    <w:qFormat/>
    <w:rsid w:val="00ea1435"/>
  </w:style>
  <w:style w:type="numbering" w:styleId="FrListare251111" w:customStyle="1">
    <w:name w:val="Fără Listare251111"/>
    <w:semiHidden/>
    <w:qFormat/>
    <w:rsid w:val="00ea1435"/>
  </w:style>
  <w:style w:type="numbering" w:styleId="FrListare111121" w:customStyle="1">
    <w:name w:val="Fără Listare111121"/>
    <w:semiHidden/>
    <w:unhideWhenUsed/>
    <w:qFormat/>
    <w:rsid w:val="00ea1435"/>
  </w:style>
  <w:style w:type="numbering" w:styleId="FrListare26111" w:customStyle="1">
    <w:name w:val="Fără Listare26111"/>
    <w:uiPriority w:val="99"/>
    <w:semiHidden/>
    <w:unhideWhenUsed/>
    <w:qFormat/>
    <w:rsid w:val="00ea1435"/>
  </w:style>
  <w:style w:type="numbering" w:styleId="FrListare27111" w:customStyle="1">
    <w:name w:val="Fără Listare27111"/>
    <w:semiHidden/>
    <w:qFormat/>
    <w:rsid w:val="00ea1435"/>
  </w:style>
  <w:style w:type="numbering" w:styleId="FrListare301" w:customStyle="1">
    <w:name w:val="Fără Listare301"/>
    <w:uiPriority w:val="99"/>
    <w:semiHidden/>
    <w:unhideWhenUsed/>
    <w:qFormat/>
    <w:rsid w:val="00ea1435"/>
  </w:style>
  <w:style w:type="numbering" w:styleId="FrListare11411" w:customStyle="1">
    <w:name w:val="Fără Listare11411"/>
    <w:uiPriority w:val="99"/>
    <w:semiHidden/>
    <w:unhideWhenUsed/>
    <w:qFormat/>
    <w:rsid w:val="00ea1435"/>
  </w:style>
  <w:style w:type="numbering" w:styleId="FrListare2101" w:customStyle="1">
    <w:name w:val="Fără Listare2101"/>
    <w:uiPriority w:val="99"/>
    <w:semiHidden/>
    <w:unhideWhenUsed/>
    <w:qFormat/>
    <w:rsid w:val="00ea1435"/>
  </w:style>
  <w:style w:type="numbering" w:styleId="FrListare32111" w:customStyle="1">
    <w:name w:val="Fără Listare32111"/>
    <w:semiHidden/>
    <w:qFormat/>
    <w:rsid w:val="00ea1435"/>
  </w:style>
  <w:style w:type="numbering" w:styleId="FrListare42111" w:customStyle="1">
    <w:name w:val="Fără Listare42111"/>
    <w:semiHidden/>
    <w:qFormat/>
    <w:rsid w:val="00ea1435"/>
  </w:style>
  <w:style w:type="numbering" w:styleId="FrListare52111" w:customStyle="1">
    <w:name w:val="Fără Listare52111"/>
    <w:uiPriority w:val="99"/>
    <w:semiHidden/>
    <w:unhideWhenUsed/>
    <w:qFormat/>
    <w:rsid w:val="00ea1435"/>
  </w:style>
  <w:style w:type="numbering" w:styleId="FrListare6211" w:customStyle="1">
    <w:name w:val="Fără Listare6211"/>
    <w:uiPriority w:val="99"/>
    <w:semiHidden/>
    <w:unhideWhenUsed/>
    <w:qFormat/>
    <w:rsid w:val="00ea1435"/>
  </w:style>
  <w:style w:type="numbering" w:styleId="FrListare7211" w:customStyle="1">
    <w:name w:val="Fără Listare7211"/>
    <w:uiPriority w:val="99"/>
    <w:semiHidden/>
    <w:unhideWhenUsed/>
    <w:qFormat/>
    <w:rsid w:val="00ea1435"/>
  </w:style>
  <w:style w:type="numbering" w:styleId="FrListare8211" w:customStyle="1">
    <w:name w:val="Fără Listare8211"/>
    <w:semiHidden/>
    <w:qFormat/>
    <w:rsid w:val="00ea1435"/>
  </w:style>
  <w:style w:type="numbering" w:styleId="FrListare9211" w:customStyle="1">
    <w:name w:val="Fără Listare9211"/>
    <w:uiPriority w:val="99"/>
    <w:semiHidden/>
    <w:unhideWhenUsed/>
    <w:qFormat/>
    <w:rsid w:val="00ea1435"/>
  </w:style>
  <w:style w:type="numbering" w:styleId="FrListare10211" w:customStyle="1">
    <w:name w:val="Fără Listare10211"/>
    <w:uiPriority w:val="99"/>
    <w:semiHidden/>
    <w:unhideWhenUsed/>
    <w:qFormat/>
    <w:rsid w:val="00ea1435"/>
  </w:style>
  <w:style w:type="numbering" w:styleId="FrListare1151" w:customStyle="1">
    <w:name w:val="Fără Listare1151"/>
    <w:uiPriority w:val="99"/>
    <w:semiHidden/>
    <w:unhideWhenUsed/>
    <w:qFormat/>
    <w:rsid w:val="00ea1435"/>
  </w:style>
  <w:style w:type="numbering" w:styleId="FrListare12211" w:customStyle="1">
    <w:name w:val="Fără Listare12211"/>
    <w:uiPriority w:val="99"/>
    <w:semiHidden/>
    <w:unhideWhenUsed/>
    <w:qFormat/>
    <w:rsid w:val="00ea1435"/>
  </w:style>
  <w:style w:type="numbering" w:styleId="FrListare13211" w:customStyle="1">
    <w:name w:val="Fără Listare13211"/>
    <w:uiPriority w:val="99"/>
    <w:semiHidden/>
    <w:unhideWhenUsed/>
    <w:qFormat/>
    <w:rsid w:val="00ea1435"/>
  </w:style>
  <w:style w:type="numbering" w:styleId="FrListare14211" w:customStyle="1">
    <w:name w:val="Fără Listare14211"/>
    <w:uiPriority w:val="99"/>
    <w:semiHidden/>
    <w:unhideWhenUsed/>
    <w:qFormat/>
    <w:rsid w:val="00ea1435"/>
  </w:style>
  <w:style w:type="numbering" w:styleId="FrListare15211" w:customStyle="1">
    <w:name w:val="Fără Listare15211"/>
    <w:uiPriority w:val="99"/>
    <w:semiHidden/>
    <w:unhideWhenUsed/>
    <w:qFormat/>
    <w:rsid w:val="00ea1435"/>
  </w:style>
  <w:style w:type="numbering" w:styleId="FrListare16211" w:customStyle="1">
    <w:name w:val="Fără Listare16211"/>
    <w:semiHidden/>
    <w:qFormat/>
    <w:rsid w:val="00ea1435"/>
  </w:style>
  <w:style w:type="numbering" w:styleId="FrListare17211" w:customStyle="1">
    <w:name w:val="Fără Listare17211"/>
    <w:uiPriority w:val="99"/>
    <w:semiHidden/>
    <w:unhideWhenUsed/>
    <w:qFormat/>
    <w:rsid w:val="00ea1435"/>
  </w:style>
  <w:style w:type="numbering" w:styleId="FrListare18211" w:customStyle="1">
    <w:name w:val="Fără Listare18211"/>
    <w:uiPriority w:val="99"/>
    <w:semiHidden/>
    <w:unhideWhenUsed/>
    <w:qFormat/>
    <w:rsid w:val="00ea1435"/>
  </w:style>
  <w:style w:type="numbering" w:styleId="FrListare19211" w:customStyle="1">
    <w:name w:val="Fără Listare19211"/>
    <w:uiPriority w:val="99"/>
    <w:semiHidden/>
    <w:unhideWhenUsed/>
    <w:qFormat/>
    <w:rsid w:val="00ea1435"/>
  </w:style>
  <w:style w:type="numbering" w:styleId="FrListare20211" w:customStyle="1">
    <w:name w:val="Fără Listare20211"/>
    <w:uiPriority w:val="99"/>
    <w:semiHidden/>
    <w:unhideWhenUsed/>
    <w:qFormat/>
    <w:rsid w:val="00ea1435"/>
  </w:style>
  <w:style w:type="numbering" w:styleId="FrListare110211" w:customStyle="1">
    <w:name w:val="Fără Listare110211"/>
    <w:uiPriority w:val="99"/>
    <w:semiHidden/>
    <w:unhideWhenUsed/>
    <w:qFormat/>
    <w:rsid w:val="00ea1435"/>
  </w:style>
  <w:style w:type="numbering" w:styleId="FrListare21211" w:customStyle="1">
    <w:name w:val="Fără Listare21211"/>
    <w:semiHidden/>
    <w:qFormat/>
    <w:rsid w:val="00ea1435"/>
  </w:style>
  <w:style w:type="numbering" w:styleId="FrListare22211" w:customStyle="1">
    <w:name w:val="Fără Listare22211"/>
    <w:semiHidden/>
    <w:qFormat/>
    <w:rsid w:val="00ea1435"/>
  </w:style>
  <w:style w:type="numbering" w:styleId="FrListare23211" w:customStyle="1">
    <w:name w:val="Fără Listare23211"/>
    <w:semiHidden/>
    <w:qFormat/>
    <w:rsid w:val="00ea1435"/>
  </w:style>
  <w:style w:type="numbering" w:styleId="FrListare2421" w:customStyle="1">
    <w:name w:val="Fără Listare2421"/>
    <w:uiPriority w:val="99"/>
    <w:semiHidden/>
    <w:unhideWhenUsed/>
    <w:qFormat/>
    <w:rsid w:val="00ea1435"/>
  </w:style>
  <w:style w:type="numbering" w:styleId="FrListare2521" w:customStyle="1">
    <w:name w:val="Fără Listare2521"/>
    <w:semiHidden/>
    <w:qFormat/>
    <w:rsid w:val="00ea1435"/>
  </w:style>
  <w:style w:type="numbering" w:styleId="FrListare111211" w:customStyle="1">
    <w:name w:val="Fără Listare111211"/>
    <w:semiHidden/>
    <w:unhideWhenUsed/>
    <w:qFormat/>
    <w:rsid w:val="00ea1435"/>
  </w:style>
  <w:style w:type="numbering" w:styleId="FrListare2621" w:customStyle="1">
    <w:name w:val="Fără Listare2621"/>
    <w:uiPriority w:val="99"/>
    <w:semiHidden/>
    <w:unhideWhenUsed/>
    <w:qFormat/>
    <w:rsid w:val="00ea1435"/>
  </w:style>
  <w:style w:type="numbering" w:styleId="FrListare2721" w:customStyle="1">
    <w:name w:val="Fără Listare2721"/>
    <w:semiHidden/>
    <w:qFormat/>
    <w:rsid w:val="00ea1435"/>
  </w:style>
  <w:style w:type="numbering" w:styleId="FrListare3311" w:customStyle="1">
    <w:name w:val="Fără Listare3311"/>
    <w:uiPriority w:val="99"/>
    <w:semiHidden/>
    <w:unhideWhenUsed/>
    <w:qFormat/>
    <w:rsid w:val="00ea1435"/>
  </w:style>
  <w:style w:type="numbering" w:styleId="FrListare1161" w:customStyle="1">
    <w:name w:val="Fără Listare1161"/>
    <w:semiHidden/>
    <w:qFormat/>
    <w:rsid w:val="00ea1435"/>
  </w:style>
  <w:style w:type="numbering" w:styleId="FrListare3411" w:customStyle="1">
    <w:name w:val="Fără Listare3411"/>
    <w:uiPriority w:val="99"/>
    <w:semiHidden/>
    <w:unhideWhenUsed/>
    <w:qFormat/>
    <w:rsid w:val="00ea1435"/>
  </w:style>
  <w:style w:type="numbering" w:styleId="FrListare351" w:customStyle="1">
    <w:name w:val="Fără Listare351"/>
    <w:semiHidden/>
    <w:qFormat/>
    <w:rsid w:val="00ea1435"/>
  </w:style>
  <w:style w:type="numbering" w:styleId="FrListare361" w:customStyle="1">
    <w:name w:val="Fără Listare361"/>
    <w:semiHidden/>
    <w:qFormat/>
    <w:rsid w:val="00ea1435"/>
  </w:style>
  <w:style w:type="numbering" w:styleId="FrListare371" w:customStyle="1">
    <w:name w:val="Fără Listare371"/>
    <w:semiHidden/>
    <w:unhideWhenUsed/>
    <w:qFormat/>
    <w:rsid w:val="00ea1435"/>
  </w:style>
  <w:style w:type="numbering" w:styleId="FrListare381" w:customStyle="1">
    <w:name w:val="Fără Listare381"/>
    <w:semiHidden/>
    <w:qFormat/>
    <w:rsid w:val="00ea1435"/>
  </w:style>
  <w:style w:type="numbering" w:styleId="FrListare391" w:customStyle="1">
    <w:name w:val="Fără Listare391"/>
    <w:uiPriority w:val="99"/>
    <w:semiHidden/>
    <w:unhideWhenUsed/>
    <w:qFormat/>
    <w:rsid w:val="00ea1435"/>
  </w:style>
  <w:style w:type="numbering" w:styleId="FrListare401" w:customStyle="1">
    <w:name w:val="Fără Listare401"/>
    <w:uiPriority w:val="99"/>
    <w:semiHidden/>
    <w:unhideWhenUsed/>
    <w:qFormat/>
    <w:rsid w:val="00ea1435"/>
  </w:style>
  <w:style w:type="numbering" w:styleId="FrListare431" w:customStyle="1">
    <w:name w:val="Fără Listare431"/>
    <w:uiPriority w:val="99"/>
    <w:semiHidden/>
    <w:unhideWhenUsed/>
    <w:qFormat/>
    <w:rsid w:val="00ea1435"/>
  </w:style>
  <w:style w:type="numbering" w:styleId="FrListare441" w:customStyle="1">
    <w:name w:val="Fără Listare441"/>
    <w:uiPriority w:val="99"/>
    <w:semiHidden/>
    <w:unhideWhenUsed/>
    <w:qFormat/>
    <w:rsid w:val="00ea1435"/>
  </w:style>
  <w:style w:type="numbering" w:styleId="FrListare451" w:customStyle="1">
    <w:name w:val="Fără Listare451"/>
    <w:uiPriority w:val="99"/>
    <w:semiHidden/>
    <w:unhideWhenUsed/>
    <w:qFormat/>
    <w:rsid w:val="00ea1435"/>
  </w:style>
  <w:style w:type="numbering" w:styleId="FrListare461" w:customStyle="1">
    <w:name w:val="Fără Listare461"/>
    <w:uiPriority w:val="99"/>
    <w:semiHidden/>
    <w:unhideWhenUsed/>
    <w:qFormat/>
    <w:rsid w:val="00ea1435"/>
  </w:style>
  <w:style w:type="numbering" w:styleId="FrListare471" w:customStyle="1">
    <w:name w:val="Fără Listare471"/>
    <w:uiPriority w:val="99"/>
    <w:semiHidden/>
    <w:unhideWhenUsed/>
    <w:qFormat/>
    <w:rsid w:val="00ea1435"/>
  </w:style>
  <w:style w:type="numbering" w:styleId="FrListare481" w:customStyle="1">
    <w:name w:val="Fără Listare481"/>
    <w:uiPriority w:val="99"/>
    <w:semiHidden/>
    <w:unhideWhenUsed/>
    <w:qFormat/>
    <w:rsid w:val="00ea1435"/>
  </w:style>
  <w:style w:type="numbering" w:styleId="FrListare491" w:customStyle="1">
    <w:name w:val="Fără Listare491"/>
    <w:uiPriority w:val="99"/>
    <w:semiHidden/>
    <w:unhideWhenUsed/>
    <w:qFormat/>
    <w:rsid w:val="00ea1435"/>
  </w:style>
  <w:style w:type="numbering" w:styleId="FrListare501" w:customStyle="1">
    <w:name w:val="Fără Listare501"/>
    <w:uiPriority w:val="99"/>
    <w:semiHidden/>
    <w:unhideWhenUsed/>
    <w:qFormat/>
    <w:rsid w:val="00ea1435"/>
  </w:style>
  <w:style w:type="numbering" w:styleId="FrListare531" w:customStyle="1">
    <w:name w:val="Fără Listare531"/>
    <w:semiHidden/>
    <w:unhideWhenUsed/>
    <w:qFormat/>
    <w:rsid w:val="00ea1435"/>
  </w:style>
  <w:style w:type="numbering" w:styleId="FrListare541" w:customStyle="1">
    <w:name w:val="Fără Listare541"/>
    <w:uiPriority w:val="99"/>
    <w:semiHidden/>
    <w:unhideWhenUsed/>
    <w:qFormat/>
    <w:rsid w:val="00ea1435"/>
  </w:style>
  <w:style w:type="numbering" w:styleId="FrListare551" w:customStyle="1">
    <w:name w:val="Fără Listare551"/>
    <w:uiPriority w:val="99"/>
    <w:semiHidden/>
    <w:unhideWhenUsed/>
    <w:qFormat/>
    <w:rsid w:val="00ea1435"/>
  </w:style>
  <w:style w:type="numbering" w:styleId="FrListare561" w:customStyle="1">
    <w:name w:val="Fără Listare561"/>
    <w:uiPriority w:val="99"/>
    <w:semiHidden/>
    <w:unhideWhenUsed/>
    <w:qFormat/>
    <w:rsid w:val="00ea1435"/>
  </w:style>
  <w:style w:type="numbering" w:styleId="FrListare571" w:customStyle="1">
    <w:name w:val="Fără Listare571"/>
    <w:uiPriority w:val="99"/>
    <w:semiHidden/>
    <w:unhideWhenUsed/>
    <w:qFormat/>
    <w:rsid w:val="00ea1435"/>
  </w:style>
  <w:style w:type="numbering" w:styleId="FrListare581" w:customStyle="1">
    <w:name w:val="Fără Listare581"/>
    <w:semiHidden/>
    <w:unhideWhenUsed/>
    <w:qFormat/>
    <w:rsid w:val="00ea1435"/>
  </w:style>
  <w:style w:type="numbering" w:styleId="FrListare591" w:customStyle="1">
    <w:name w:val="Fără Listare591"/>
    <w:uiPriority w:val="99"/>
    <w:semiHidden/>
    <w:unhideWhenUsed/>
    <w:qFormat/>
    <w:rsid w:val="00ea1435"/>
  </w:style>
  <w:style w:type="numbering" w:styleId="FrListare601" w:customStyle="1">
    <w:name w:val="Fără Listare601"/>
    <w:uiPriority w:val="99"/>
    <w:semiHidden/>
    <w:unhideWhenUsed/>
    <w:qFormat/>
    <w:rsid w:val="00ea1435"/>
  </w:style>
  <w:style w:type="numbering" w:styleId="FrListare631" w:customStyle="1">
    <w:name w:val="Fără Listare631"/>
    <w:uiPriority w:val="99"/>
    <w:semiHidden/>
    <w:unhideWhenUsed/>
    <w:qFormat/>
    <w:rsid w:val="00ea1435"/>
  </w:style>
  <w:style w:type="numbering" w:styleId="FrListare641" w:customStyle="1">
    <w:name w:val="Fără Listare641"/>
    <w:uiPriority w:val="99"/>
    <w:semiHidden/>
    <w:unhideWhenUsed/>
    <w:qFormat/>
    <w:rsid w:val="00ea1435"/>
  </w:style>
  <w:style w:type="numbering" w:styleId="FrListare651" w:customStyle="1">
    <w:name w:val="Fără Listare651"/>
    <w:uiPriority w:val="99"/>
    <w:semiHidden/>
    <w:unhideWhenUsed/>
    <w:qFormat/>
    <w:rsid w:val="00ea1435"/>
  </w:style>
  <w:style w:type="numbering" w:styleId="FrListare661" w:customStyle="1">
    <w:name w:val="Fără Listare661"/>
    <w:uiPriority w:val="99"/>
    <w:semiHidden/>
    <w:unhideWhenUsed/>
    <w:qFormat/>
    <w:rsid w:val="00ea1435"/>
  </w:style>
  <w:style w:type="numbering" w:styleId="FrListare671" w:customStyle="1">
    <w:name w:val="Fără Listare671"/>
    <w:uiPriority w:val="99"/>
    <w:semiHidden/>
    <w:qFormat/>
    <w:rsid w:val="00ea1435"/>
  </w:style>
  <w:style w:type="numbering" w:styleId="FrListare1171" w:customStyle="1">
    <w:name w:val="Fără Listare1171"/>
    <w:uiPriority w:val="99"/>
    <w:semiHidden/>
    <w:unhideWhenUsed/>
    <w:qFormat/>
    <w:rsid w:val="00ea1435"/>
  </w:style>
  <w:style w:type="numbering" w:styleId="FrListare1181" w:customStyle="1">
    <w:name w:val="Fără Listare1181"/>
    <w:uiPriority w:val="99"/>
    <w:semiHidden/>
    <w:qFormat/>
    <w:rsid w:val="00ea1435"/>
  </w:style>
  <w:style w:type="numbering" w:styleId="FrListare2131" w:customStyle="1">
    <w:name w:val="Fără Listare2131"/>
    <w:uiPriority w:val="99"/>
    <w:semiHidden/>
    <w:unhideWhenUsed/>
    <w:qFormat/>
    <w:rsid w:val="00ea1435"/>
  </w:style>
  <w:style w:type="numbering" w:styleId="FrListare3101" w:customStyle="1">
    <w:name w:val="Fără Listare3101"/>
    <w:semiHidden/>
    <w:unhideWhenUsed/>
    <w:qFormat/>
    <w:rsid w:val="00ea1435"/>
  </w:style>
  <w:style w:type="numbering" w:styleId="FrListare4101" w:customStyle="1">
    <w:name w:val="Fără Listare4101"/>
    <w:semiHidden/>
    <w:unhideWhenUsed/>
    <w:qFormat/>
    <w:rsid w:val="00ea1435"/>
  </w:style>
  <w:style w:type="numbering" w:styleId="FrListare5101" w:customStyle="1">
    <w:name w:val="Fără Listare5101"/>
    <w:uiPriority w:val="99"/>
    <w:semiHidden/>
    <w:unhideWhenUsed/>
    <w:qFormat/>
    <w:rsid w:val="00ea1435"/>
  </w:style>
  <w:style w:type="numbering" w:styleId="FrListare681" w:customStyle="1">
    <w:name w:val="Fără Listare681"/>
    <w:uiPriority w:val="99"/>
    <w:semiHidden/>
    <w:unhideWhenUsed/>
    <w:qFormat/>
    <w:rsid w:val="00ea1435"/>
  </w:style>
  <w:style w:type="numbering" w:styleId="FrListare731" w:customStyle="1">
    <w:name w:val="Fără Listare731"/>
    <w:uiPriority w:val="99"/>
    <w:semiHidden/>
    <w:unhideWhenUsed/>
    <w:qFormat/>
    <w:rsid w:val="00ea1435"/>
  </w:style>
  <w:style w:type="numbering" w:styleId="FrListare831" w:customStyle="1">
    <w:name w:val="Fără Listare831"/>
    <w:semiHidden/>
    <w:qFormat/>
    <w:rsid w:val="00ea1435"/>
  </w:style>
  <w:style w:type="numbering" w:styleId="FrListare931" w:customStyle="1">
    <w:name w:val="Fără Listare931"/>
    <w:uiPriority w:val="99"/>
    <w:semiHidden/>
    <w:unhideWhenUsed/>
    <w:qFormat/>
    <w:rsid w:val="00ea1435"/>
  </w:style>
  <w:style w:type="numbering" w:styleId="FrListare1031" w:customStyle="1">
    <w:name w:val="Fără Listare1031"/>
    <w:uiPriority w:val="99"/>
    <w:semiHidden/>
    <w:unhideWhenUsed/>
    <w:qFormat/>
    <w:rsid w:val="00ea1435"/>
  </w:style>
  <w:style w:type="numbering" w:styleId="FrListare11131" w:customStyle="1">
    <w:name w:val="Fără Listare11131"/>
    <w:uiPriority w:val="99"/>
    <w:semiHidden/>
    <w:unhideWhenUsed/>
    <w:qFormat/>
    <w:rsid w:val="00ea1435"/>
  </w:style>
  <w:style w:type="numbering" w:styleId="FrListare1231" w:customStyle="1">
    <w:name w:val="Fără Listare1231"/>
    <w:uiPriority w:val="99"/>
    <w:semiHidden/>
    <w:unhideWhenUsed/>
    <w:qFormat/>
    <w:rsid w:val="00ea1435"/>
  </w:style>
  <w:style w:type="numbering" w:styleId="FrListare1331" w:customStyle="1">
    <w:name w:val="Fără Listare1331"/>
    <w:uiPriority w:val="99"/>
    <w:semiHidden/>
    <w:unhideWhenUsed/>
    <w:qFormat/>
    <w:rsid w:val="00ea1435"/>
  </w:style>
  <w:style w:type="numbering" w:styleId="FrListare1431" w:customStyle="1">
    <w:name w:val="Fără Listare1431"/>
    <w:uiPriority w:val="99"/>
    <w:semiHidden/>
    <w:unhideWhenUsed/>
    <w:qFormat/>
    <w:rsid w:val="00ea1435"/>
  </w:style>
  <w:style w:type="numbering" w:styleId="FrListare1531" w:customStyle="1">
    <w:name w:val="Fără Listare1531"/>
    <w:uiPriority w:val="99"/>
    <w:semiHidden/>
    <w:unhideWhenUsed/>
    <w:qFormat/>
    <w:rsid w:val="00ea1435"/>
  </w:style>
  <w:style w:type="numbering" w:styleId="FrListare1631" w:customStyle="1">
    <w:name w:val="Fără Listare1631"/>
    <w:semiHidden/>
    <w:qFormat/>
    <w:rsid w:val="00ea1435"/>
  </w:style>
  <w:style w:type="numbering" w:styleId="FrListare1731" w:customStyle="1">
    <w:name w:val="Fără Listare1731"/>
    <w:uiPriority w:val="99"/>
    <w:semiHidden/>
    <w:unhideWhenUsed/>
    <w:qFormat/>
    <w:rsid w:val="00ea1435"/>
  </w:style>
  <w:style w:type="numbering" w:styleId="FrListare1831" w:customStyle="1">
    <w:name w:val="Fără Listare1831"/>
    <w:uiPriority w:val="99"/>
    <w:semiHidden/>
    <w:unhideWhenUsed/>
    <w:qFormat/>
    <w:rsid w:val="00ea1435"/>
  </w:style>
  <w:style w:type="numbering" w:styleId="FrListare1931" w:customStyle="1">
    <w:name w:val="Fără Listare1931"/>
    <w:uiPriority w:val="99"/>
    <w:semiHidden/>
    <w:unhideWhenUsed/>
    <w:qFormat/>
    <w:rsid w:val="00ea1435"/>
  </w:style>
  <w:style w:type="numbering" w:styleId="FrListare2031" w:customStyle="1">
    <w:name w:val="Fără Listare2031"/>
    <w:uiPriority w:val="99"/>
    <w:semiHidden/>
    <w:unhideWhenUsed/>
    <w:qFormat/>
    <w:rsid w:val="00ea1435"/>
  </w:style>
  <w:style w:type="numbering" w:styleId="FrListare11031" w:customStyle="1">
    <w:name w:val="Fără Listare11031"/>
    <w:uiPriority w:val="99"/>
    <w:semiHidden/>
    <w:unhideWhenUsed/>
    <w:qFormat/>
    <w:rsid w:val="00ea1435"/>
  </w:style>
  <w:style w:type="numbering" w:styleId="FrListare2141" w:customStyle="1">
    <w:name w:val="Fără Listare2141"/>
    <w:uiPriority w:val="99"/>
    <w:semiHidden/>
    <w:unhideWhenUsed/>
    <w:qFormat/>
    <w:rsid w:val="00ea1435"/>
  </w:style>
  <w:style w:type="numbering" w:styleId="FrListare2231" w:customStyle="1">
    <w:name w:val="Fără Listare2231"/>
    <w:uiPriority w:val="99"/>
    <w:semiHidden/>
    <w:unhideWhenUsed/>
    <w:qFormat/>
    <w:rsid w:val="00ea1435"/>
  </w:style>
  <w:style w:type="numbering" w:styleId="FrListare2331" w:customStyle="1">
    <w:name w:val="Fără Listare2331"/>
    <w:uiPriority w:val="99"/>
    <w:semiHidden/>
    <w:unhideWhenUsed/>
    <w:qFormat/>
    <w:rsid w:val="00ea1435"/>
  </w:style>
  <w:style w:type="numbering" w:styleId="FrListare2431" w:customStyle="1">
    <w:name w:val="Fără Listare2431"/>
    <w:semiHidden/>
    <w:qFormat/>
    <w:rsid w:val="00ea1435"/>
  </w:style>
  <w:style w:type="numbering" w:styleId="FrListare11111111" w:customStyle="1">
    <w:name w:val="Fără Listare11111111"/>
    <w:uiPriority w:val="99"/>
    <w:semiHidden/>
    <w:qFormat/>
    <w:rsid w:val="00ea1435"/>
  </w:style>
  <w:style w:type="numbering" w:styleId="FrListare1121111" w:customStyle="1">
    <w:name w:val="Fără Listare1121111"/>
    <w:uiPriority w:val="99"/>
    <w:semiHidden/>
    <w:qFormat/>
    <w:rsid w:val="00ea1435"/>
  </w:style>
  <w:style w:type="numbering" w:styleId="FrListare2531" w:customStyle="1">
    <w:name w:val="Fără Listare2531"/>
    <w:uiPriority w:val="99"/>
    <w:semiHidden/>
    <w:unhideWhenUsed/>
    <w:qFormat/>
    <w:rsid w:val="00ea1435"/>
  </w:style>
  <w:style w:type="numbering" w:styleId="FrListare311111" w:customStyle="1">
    <w:name w:val="Fără Listare311111"/>
    <w:semiHidden/>
    <w:unhideWhenUsed/>
    <w:qFormat/>
    <w:rsid w:val="00ea1435"/>
  </w:style>
  <w:style w:type="numbering" w:styleId="FrListare411111" w:customStyle="1">
    <w:name w:val="Fără Listare411111"/>
    <w:semiHidden/>
    <w:unhideWhenUsed/>
    <w:qFormat/>
    <w:rsid w:val="00ea1435"/>
  </w:style>
  <w:style w:type="numbering" w:styleId="FrListare511111" w:customStyle="1">
    <w:name w:val="Fără Listare511111"/>
    <w:uiPriority w:val="99"/>
    <w:semiHidden/>
    <w:unhideWhenUsed/>
    <w:qFormat/>
    <w:rsid w:val="00ea1435"/>
  </w:style>
  <w:style w:type="numbering" w:styleId="FrListare611111" w:customStyle="1">
    <w:name w:val="Fără Listare611111"/>
    <w:uiPriority w:val="99"/>
    <w:semiHidden/>
    <w:unhideWhenUsed/>
    <w:qFormat/>
    <w:rsid w:val="00ea1435"/>
  </w:style>
  <w:style w:type="numbering" w:styleId="FrListare711111" w:customStyle="1">
    <w:name w:val="Fără Listare711111"/>
    <w:uiPriority w:val="99"/>
    <w:semiHidden/>
    <w:unhideWhenUsed/>
    <w:qFormat/>
    <w:rsid w:val="00ea1435"/>
  </w:style>
  <w:style w:type="numbering" w:styleId="FrListare811111" w:customStyle="1">
    <w:name w:val="Fără Listare811111"/>
    <w:semiHidden/>
    <w:qFormat/>
    <w:rsid w:val="00ea1435"/>
  </w:style>
  <w:style w:type="numbering" w:styleId="FrListare911111" w:customStyle="1">
    <w:name w:val="Fără Listare911111"/>
    <w:uiPriority w:val="99"/>
    <w:semiHidden/>
    <w:unhideWhenUsed/>
    <w:qFormat/>
    <w:rsid w:val="00ea1435"/>
  </w:style>
  <w:style w:type="numbering" w:styleId="FrListare1011111" w:customStyle="1">
    <w:name w:val="Fără Listare1011111"/>
    <w:uiPriority w:val="99"/>
    <w:semiHidden/>
    <w:unhideWhenUsed/>
    <w:qFormat/>
    <w:rsid w:val="00ea1435"/>
  </w:style>
  <w:style w:type="numbering" w:styleId="FrListare111111111" w:customStyle="1">
    <w:name w:val="Fără Listare111111111"/>
    <w:uiPriority w:val="99"/>
    <w:semiHidden/>
    <w:unhideWhenUsed/>
    <w:qFormat/>
    <w:rsid w:val="00ea1435"/>
  </w:style>
  <w:style w:type="numbering" w:styleId="FrListare1211111" w:customStyle="1">
    <w:name w:val="Fără Listare1211111"/>
    <w:uiPriority w:val="99"/>
    <w:semiHidden/>
    <w:unhideWhenUsed/>
    <w:qFormat/>
    <w:rsid w:val="00ea1435"/>
  </w:style>
  <w:style w:type="numbering" w:styleId="FrListare1311111" w:customStyle="1">
    <w:name w:val="Fără Listare1311111"/>
    <w:uiPriority w:val="99"/>
    <w:semiHidden/>
    <w:unhideWhenUsed/>
    <w:qFormat/>
    <w:rsid w:val="00ea1435"/>
  </w:style>
  <w:style w:type="numbering" w:styleId="FrListare1411111" w:customStyle="1">
    <w:name w:val="Fără Listare1411111"/>
    <w:uiPriority w:val="99"/>
    <w:semiHidden/>
    <w:unhideWhenUsed/>
    <w:qFormat/>
    <w:rsid w:val="00ea1435"/>
  </w:style>
  <w:style w:type="numbering" w:styleId="FrListare1511111" w:customStyle="1">
    <w:name w:val="Fără Listare1511111"/>
    <w:uiPriority w:val="99"/>
    <w:semiHidden/>
    <w:unhideWhenUsed/>
    <w:qFormat/>
    <w:rsid w:val="00ea1435"/>
  </w:style>
  <w:style w:type="numbering" w:styleId="FrListare1611111" w:customStyle="1">
    <w:name w:val="Fără Listare1611111"/>
    <w:semiHidden/>
    <w:qFormat/>
    <w:rsid w:val="00ea1435"/>
  </w:style>
  <w:style w:type="numbering" w:styleId="FrListare1711111" w:customStyle="1">
    <w:name w:val="Fără Listare1711111"/>
    <w:uiPriority w:val="99"/>
    <w:semiHidden/>
    <w:unhideWhenUsed/>
    <w:qFormat/>
    <w:rsid w:val="00ea1435"/>
  </w:style>
  <w:style w:type="numbering" w:styleId="FrListare1811111" w:customStyle="1">
    <w:name w:val="Fără Listare1811111"/>
    <w:uiPriority w:val="99"/>
    <w:semiHidden/>
    <w:unhideWhenUsed/>
    <w:qFormat/>
    <w:rsid w:val="00ea1435"/>
  </w:style>
  <w:style w:type="numbering" w:styleId="FrListare1911111" w:customStyle="1">
    <w:name w:val="Fără Listare1911111"/>
    <w:uiPriority w:val="99"/>
    <w:semiHidden/>
    <w:unhideWhenUsed/>
    <w:qFormat/>
    <w:rsid w:val="00ea1435"/>
  </w:style>
  <w:style w:type="numbering" w:styleId="FrListare2011111" w:customStyle="1">
    <w:name w:val="Fără Listare2011111"/>
    <w:uiPriority w:val="99"/>
    <w:semiHidden/>
    <w:unhideWhenUsed/>
    <w:qFormat/>
    <w:rsid w:val="00ea1435"/>
  </w:style>
  <w:style w:type="numbering" w:styleId="FrListare11011111" w:customStyle="1">
    <w:name w:val="Fără Listare11011111"/>
    <w:uiPriority w:val="99"/>
    <w:semiHidden/>
    <w:unhideWhenUsed/>
    <w:qFormat/>
    <w:rsid w:val="00ea1435"/>
  </w:style>
  <w:style w:type="numbering" w:styleId="FrListare2111111" w:customStyle="1">
    <w:name w:val="Fără Listare2111111"/>
    <w:uiPriority w:val="99"/>
    <w:semiHidden/>
    <w:unhideWhenUsed/>
    <w:qFormat/>
    <w:rsid w:val="00ea1435"/>
  </w:style>
  <w:style w:type="numbering" w:styleId="FrListare2211111" w:customStyle="1">
    <w:name w:val="Fără Listare2211111"/>
    <w:uiPriority w:val="99"/>
    <w:semiHidden/>
    <w:unhideWhenUsed/>
    <w:qFormat/>
    <w:rsid w:val="00ea1435"/>
  </w:style>
  <w:style w:type="numbering" w:styleId="FrListare2311111" w:customStyle="1">
    <w:name w:val="Fără Listare2311111"/>
    <w:uiPriority w:val="99"/>
    <w:semiHidden/>
    <w:unhideWhenUsed/>
    <w:qFormat/>
    <w:rsid w:val="00ea1435"/>
  </w:style>
  <w:style w:type="numbering" w:styleId="FrListare2631" w:customStyle="1">
    <w:name w:val="Fără Listare2631"/>
    <w:uiPriority w:val="99"/>
    <w:semiHidden/>
    <w:unhideWhenUsed/>
    <w:qFormat/>
    <w:rsid w:val="00ea1435"/>
  </w:style>
  <w:style w:type="numbering" w:styleId="FrListare70" w:customStyle="1">
    <w:name w:val="Fără Listare70"/>
    <w:uiPriority w:val="99"/>
    <w:semiHidden/>
    <w:unhideWhenUsed/>
    <w:qFormat/>
    <w:rsid w:val="00ea1435"/>
  </w:style>
  <w:style w:type="numbering" w:styleId="FrListare75" w:customStyle="1">
    <w:name w:val="Fără Listare75"/>
    <w:uiPriority w:val="99"/>
    <w:semiHidden/>
    <w:unhideWhenUsed/>
    <w:qFormat/>
    <w:rsid w:val="00ea1435"/>
  </w:style>
  <w:style w:type="numbering" w:styleId="FrListare76" w:customStyle="1">
    <w:name w:val="Fără Listare76"/>
    <w:uiPriority w:val="99"/>
    <w:semiHidden/>
    <w:unhideWhenUsed/>
    <w:qFormat/>
    <w:rsid w:val="00ea1435"/>
  </w:style>
  <w:style w:type="numbering" w:styleId="FrListare120" w:customStyle="1">
    <w:name w:val="Fără Listare120"/>
    <w:uiPriority w:val="99"/>
    <w:semiHidden/>
    <w:unhideWhenUsed/>
    <w:qFormat/>
    <w:rsid w:val="00ea1435"/>
  </w:style>
  <w:style w:type="numbering" w:styleId="FrListare217" w:customStyle="1">
    <w:name w:val="Fără Listare217"/>
    <w:uiPriority w:val="99"/>
    <w:semiHidden/>
    <w:unhideWhenUsed/>
    <w:qFormat/>
    <w:rsid w:val="00ea1435"/>
  </w:style>
  <w:style w:type="numbering" w:styleId="FrListare314" w:customStyle="1">
    <w:name w:val="Fără Listare314"/>
    <w:semiHidden/>
    <w:qFormat/>
    <w:rsid w:val="00ea1435"/>
  </w:style>
  <w:style w:type="numbering" w:styleId="FrListare414" w:customStyle="1">
    <w:name w:val="Fără Listare414"/>
    <w:semiHidden/>
    <w:qFormat/>
    <w:rsid w:val="00ea1435"/>
  </w:style>
  <w:style w:type="numbering" w:styleId="FrListare514" w:customStyle="1">
    <w:name w:val="Fără Listare514"/>
    <w:uiPriority w:val="99"/>
    <w:semiHidden/>
    <w:unhideWhenUsed/>
    <w:qFormat/>
    <w:rsid w:val="00ea1435"/>
  </w:style>
  <w:style w:type="numbering" w:styleId="FrListare613" w:customStyle="1">
    <w:name w:val="Fără Listare613"/>
    <w:uiPriority w:val="99"/>
    <w:semiHidden/>
    <w:unhideWhenUsed/>
    <w:qFormat/>
    <w:rsid w:val="00ea1435"/>
  </w:style>
  <w:style w:type="numbering" w:styleId="FrListare77" w:customStyle="1">
    <w:name w:val="Fără Listare77"/>
    <w:uiPriority w:val="99"/>
    <w:semiHidden/>
    <w:unhideWhenUsed/>
    <w:qFormat/>
    <w:rsid w:val="00ea1435"/>
  </w:style>
  <w:style w:type="numbering" w:styleId="FrListare85" w:customStyle="1">
    <w:name w:val="Fără Listare85"/>
    <w:semiHidden/>
    <w:qFormat/>
    <w:rsid w:val="00ea1435"/>
  </w:style>
  <w:style w:type="numbering" w:styleId="FrListare95" w:customStyle="1">
    <w:name w:val="Fără Listare95"/>
    <w:uiPriority w:val="99"/>
    <w:semiHidden/>
    <w:unhideWhenUsed/>
    <w:qFormat/>
    <w:rsid w:val="00ea1435"/>
  </w:style>
  <w:style w:type="numbering" w:styleId="FrListare105" w:customStyle="1">
    <w:name w:val="Fără Listare105"/>
    <w:uiPriority w:val="99"/>
    <w:semiHidden/>
    <w:unhideWhenUsed/>
    <w:qFormat/>
    <w:rsid w:val="00ea1435"/>
  </w:style>
  <w:style w:type="numbering" w:styleId="FrListare1115" w:customStyle="1">
    <w:name w:val="Fără Listare1115"/>
    <w:uiPriority w:val="99"/>
    <w:semiHidden/>
    <w:unhideWhenUsed/>
    <w:qFormat/>
    <w:rsid w:val="00ea1435"/>
  </w:style>
  <w:style w:type="numbering" w:styleId="FrListare125" w:customStyle="1">
    <w:name w:val="Fără Listare125"/>
    <w:uiPriority w:val="99"/>
    <w:semiHidden/>
    <w:unhideWhenUsed/>
    <w:qFormat/>
    <w:rsid w:val="00ea1435"/>
  </w:style>
  <w:style w:type="numbering" w:styleId="FrListare135" w:customStyle="1">
    <w:name w:val="Fără Listare135"/>
    <w:uiPriority w:val="99"/>
    <w:semiHidden/>
    <w:unhideWhenUsed/>
    <w:qFormat/>
    <w:rsid w:val="00ea1435"/>
  </w:style>
  <w:style w:type="numbering" w:styleId="FrListare145" w:customStyle="1">
    <w:name w:val="Fără Listare145"/>
    <w:uiPriority w:val="99"/>
    <w:semiHidden/>
    <w:unhideWhenUsed/>
    <w:qFormat/>
    <w:rsid w:val="00ea1435"/>
  </w:style>
  <w:style w:type="numbering" w:styleId="FrListare155" w:customStyle="1">
    <w:name w:val="Fără Listare155"/>
    <w:uiPriority w:val="99"/>
    <w:semiHidden/>
    <w:unhideWhenUsed/>
    <w:qFormat/>
    <w:rsid w:val="00ea1435"/>
  </w:style>
  <w:style w:type="numbering" w:styleId="FrListare165" w:customStyle="1">
    <w:name w:val="Fără Listare165"/>
    <w:semiHidden/>
    <w:qFormat/>
    <w:rsid w:val="00ea1435"/>
  </w:style>
  <w:style w:type="numbering" w:styleId="FrListare175" w:customStyle="1">
    <w:name w:val="Fără Listare175"/>
    <w:uiPriority w:val="99"/>
    <w:semiHidden/>
    <w:unhideWhenUsed/>
    <w:qFormat/>
    <w:rsid w:val="00ea1435"/>
  </w:style>
  <w:style w:type="numbering" w:styleId="FrListare185" w:customStyle="1">
    <w:name w:val="Fără Listare185"/>
    <w:uiPriority w:val="99"/>
    <w:semiHidden/>
    <w:unhideWhenUsed/>
    <w:qFormat/>
    <w:rsid w:val="00ea1435"/>
  </w:style>
  <w:style w:type="numbering" w:styleId="FrListare195" w:customStyle="1">
    <w:name w:val="Fără Listare195"/>
    <w:uiPriority w:val="99"/>
    <w:semiHidden/>
    <w:unhideWhenUsed/>
    <w:qFormat/>
    <w:rsid w:val="00ea1435"/>
  </w:style>
  <w:style w:type="numbering" w:styleId="FrListare205" w:customStyle="1">
    <w:name w:val="Fără Listare205"/>
    <w:uiPriority w:val="99"/>
    <w:semiHidden/>
    <w:unhideWhenUsed/>
    <w:qFormat/>
    <w:rsid w:val="00ea1435"/>
  </w:style>
  <w:style w:type="numbering" w:styleId="FrListare1105" w:customStyle="1">
    <w:name w:val="Fără Listare1105"/>
    <w:uiPriority w:val="99"/>
    <w:semiHidden/>
    <w:unhideWhenUsed/>
    <w:qFormat/>
    <w:rsid w:val="00ea1435"/>
  </w:style>
  <w:style w:type="numbering" w:styleId="FrListare218" w:customStyle="1">
    <w:name w:val="Fără Listare218"/>
    <w:semiHidden/>
    <w:qFormat/>
    <w:rsid w:val="00ea1435"/>
  </w:style>
  <w:style w:type="numbering" w:styleId="FrListare225" w:customStyle="1">
    <w:name w:val="Fără Listare225"/>
    <w:semiHidden/>
    <w:qFormat/>
    <w:rsid w:val="00ea1435"/>
  </w:style>
  <w:style w:type="numbering" w:styleId="FrListare235" w:customStyle="1">
    <w:name w:val="Fără Listare235"/>
    <w:semiHidden/>
    <w:qFormat/>
    <w:rsid w:val="00ea1435"/>
  </w:style>
  <w:style w:type="numbering" w:styleId="FrListare245" w:customStyle="1">
    <w:name w:val="Fără Listare245"/>
    <w:uiPriority w:val="99"/>
    <w:semiHidden/>
    <w:unhideWhenUsed/>
    <w:qFormat/>
    <w:rsid w:val="00ea1435"/>
  </w:style>
  <w:style w:type="numbering" w:styleId="FrListare255" w:customStyle="1">
    <w:name w:val="Fără Listare255"/>
    <w:semiHidden/>
    <w:qFormat/>
    <w:rsid w:val="00ea1435"/>
  </w:style>
  <w:style w:type="numbering" w:styleId="FrListare1116" w:customStyle="1">
    <w:name w:val="Fără Listare1116"/>
    <w:semiHidden/>
    <w:unhideWhenUsed/>
    <w:qFormat/>
    <w:rsid w:val="00ea1435"/>
  </w:style>
  <w:style w:type="numbering" w:styleId="FrListare265" w:customStyle="1">
    <w:name w:val="Fără Listare265"/>
    <w:uiPriority w:val="99"/>
    <w:semiHidden/>
    <w:unhideWhenUsed/>
    <w:qFormat/>
    <w:rsid w:val="00ea1435"/>
  </w:style>
  <w:style w:type="numbering" w:styleId="FrListare274" w:customStyle="1">
    <w:name w:val="Fără Listare274"/>
    <w:semiHidden/>
    <w:qFormat/>
    <w:rsid w:val="00ea1435"/>
  </w:style>
  <w:style w:type="numbering" w:styleId="FrListare282" w:customStyle="1">
    <w:name w:val="Fără Listare282"/>
    <w:uiPriority w:val="99"/>
    <w:semiHidden/>
    <w:unhideWhenUsed/>
    <w:qFormat/>
    <w:rsid w:val="00ea1435"/>
  </w:style>
  <w:style w:type="numbering" w:styleId="FrListare1123" w:customStyle="1">
    <w:name w:val="Fără Listare1123"/>
    <w:uiPriority w:val="99"/>
    <w:semiHidden/>
    <w:unhideWhenUsed/>
    <w:qFormat/>
    <w:rsid w:val="00ea1435"/>
  </w:style>
  <w:style w:type="numbering" w:styleId="FrListare292" w:customStyle="1">
    <w:name w:val="Fără Listare292"/>
    <w:uiPriority w:val="99"/>
    <w:semiHidden/>
    <w:unhideWhenUsed/>
    <w:qFormat/>
    <w:rsid w:val="00ea1435"/>
  </w:style>
  <w:style w:type="numbering" w:styleId="FrListare315" w:customStyle="1">
    <w:name w:val="Fără Listare315"/>
    <w:semiHidden/>
    <w:qFormat/>
    <w:rsid w:val="00ea1435"/>
  </w:style>
  <w:style w:type="numbering" w:styleId="FrListare415" w:customStyle="1">
    <w:name w:val="Fără Listare415"/>
    <w:semiHidden/>
    <w:qFormat/>
    <w:rsid w:val="00ea1435"/>
  </w:style>
  <w:style w:type="numbering" w:styleId="FrListare515" w:customStyle="1">
    <w:name w:val="Fără Listare515"/>
    <w:uiPriority w:val="99"/>
    <w:semiHidden/>
    <w:unhideWhenUsed/>
    <w:qFormat/>
    <w:rsid w:val="00ea1435"/>
  </w:style>
  <w:style w:type="numbering" w:styleId="FrListare614" w:customStyle="1">
    <w:name w:val="Fără Listare614"/>
    <w:uiPriority w:val="99"/>
    <w:semiHidden/>
    <w:unhideWhenUsed/>
    <w:qFormat/>
    <w:rsid w:val="00ea1435"/>
  </w:style>
  <w:style w:type="numbering" w:styleId="FrListare713" w:customStyle="1">
    <w:name w:val="Fără Listare713"/>
    <w:uiPriority w:val="99"/>
    <w:semiHidden/>
    <w:unhideWhenUsed/>
    <w:qFormat/>
    <w:rsid w:val="00ea1435"/>
  </w:style>
  <w:style w:type="numbering" w:styleId="FrListare813" w:customStyle="1">
    <w:name w:val="Fără Listare813"/>
    <w:semiHidden/>
    <w:qFormat/>
    <w:rsid w:val="00ea1435"/>
  </w:style>
  <w:style w:type="numbering" w:styleId="FrListare913" w:customStyle="1">
    <w:name w:val="Fără Listare913"/>
    <w:uiPriority w:val="99"/>
    <w:semiHidden/>
    <w:unhideWhenUsed/>
    <w:qFormat/>
    <w:rsid w:val="00ea1435"/>
  </w:style>
  <w:style w:type="numbering" w:styleId="FrListare1013" w:customStyle="1">
    <w:name w:val="Fără Listare1013"/>
    <w:uiPriority w:val="99"/>
    <w:semiHidden/>
    <w:unhideWhenUsed/>
    <w:qFormat/>
    <w:rsid w:val="00ea1435"/>
  </w:style>
  <w:style w:type="numbering" w:styleId="FrListare1132" w:customStyle="1">
    <w:name w:val="Fără Listare1132"/>
    <w:uiPriority w:val="99"/>
    <w:semiHidden/>
    <w:unhideWhenUsed/>
    <w:qFormat/>
    <w:rsid w:val="00ea1435"/>
  </w:style>
  <w:style w:type="numbering" w:styleId="FrListare1213" w:customStyle="1">
    <w:name w:val="Fără Listare1213"/>
    <w:uiPriority w:val="99"/>
    <w:semiHidden/>
    <w:unhideWhenUsed/>
    <w:qFormat/>
    <w:rsid w:val="00ea1435"/>
  </w:style>
  <w:style w:type="numbering" w:styleId="FrListare1313" w:customStyle="1">
    <w:name w:val="Fără Listare1313"/>
    <w:uiPriority w:val="99"/>
    <w:semiHidden/>
    <w:unhideWhenUsed/>
    <w:qFormat/>
    <w:rsid w:val="00ea1435"/>
  </w:style>
  <w:style w:type="numbering" w:styleId="FrListare1413" w:customStyle="1">
    <w:name w:val="Fără Listare1413"/>
    <w:uiPriority w:val="99"/>
    <w:semiHidden/>
    <w:unhideWhenUsed/>
    <w:qFormat/>
    <w:rsid w:val="00ea1435"/>
  </w:style>
  <w:style w:type="numbering" w:styleId="FrListare1513" w:customStyle="1">
    <w:name w:val="Fără Listare1513"/>
    <w:uiPriority w:val="99"/>
    <w:semiHidden/>
    <w:unhideWhenUsed/>
    <w:qFormat/>
    <w:rsid w:val="00ea1435"/>
  </w:style>
  <w:style w:type="numbering" w:styleId="FrListare1613" w:customStyle="1">
    <w:name w:val="Fără Listare1613"/>
    <w:semiHidden/>
    <w:qFormat/>
    <w:rsid w:val="00ea1435"/>
  </w:style>
  <w:style w:type="numbering" w:styleId="FrListare1713" w:customStyle="1">
    <w:name w:val="Fără Listare1713"/>
    <w:uiPriority w:val="99"/>
    <w:semiHidden/>
    <w:unhideWhenUsed/>
    <w:qFormat/>
    <w:rsid w:val="00ea1435"/>
  </w:style>
  <w:style w:type="numbering" w:styleId="FrListare1813" w:customStyle="1">
    <w:name w:val="Fără Listare1813"/>
    <w:uiPriority w:val="99"/>
    <w:semiHidden/>
    <w:unhideWhenUsed/>
    <w:qFormat/>
    <w:rsid w:val="00ea1435"/>
  </w:style>
  <w:style w:type="numbering" w:styleId="FrListare1913" w:customStyle="1">
    <w:name w:val="Fără Listare1913"/>
    <w:uiPriority w:val="99"/>
    <w:semiHidden/>
    <w:unhideWhenUsed/>
    <w:qFormat/>
    <w:rsid w:val="00ea1435"/>
  </w:style>
  <w:style w:type="numbering" w:styleId="FrListare2013" w:customStyle="1">
    <w:name w:val="Fără Listare2013"/>
    <w:uiPriority w:val="99"/>
    <w:semiHidden/>
    <w:unhideWhenUsed/>
    <w:qFormat/>
    <w:rsid w:val="00ea1435"/>
  </w:style>
  <w:style w:type="numbering" w:styleId="FrListare11013" w:customStyle="1">
    <w:name w:val="Fără Listare11013"/>
    <w:uiPriority w:val="99"/>
    <w:semiHidden/>
    <w:unhideWhenUsed/>
    <w:qFormat/>
    <w:rsid w:val="00ea1435"/>
  </w:style>
  <w:style w:type="numbering" w:styleId="FrListare2113" w:customStyle="1">
    <w:name w:val="Fără Listare2113"/>
    <w:semiHidden/>
    <w:qFormat/>
    <w:rsid w:val="00ea1435"/>
  </w:style>
  <w:style w:type="numbering" w:styleId="FrListare2213" w:customStyle="1">
    <w:name w:val="Fără Listare2213"/>
    <w:semiHidden/>
    <w:qFormat/>
    <w:rsid w:val="00ea1435"/>
  </w:style>
  <w:style w:type="numbering" w:styleId="FrListare2313" w:customStyle="1">
    <w:name w:val="Fără Listare2313"/>
    <w:semiHidden/>
    <w:qFormat/>
    <w:rsid w:val="00ea1435"/>
  </w:style>
  <w:style w:type="numbering" w:styleId="FrListare2412" w:customStyle="1">
    <w:name w:val="Fără Listare2412"/>
    <w:uiPriority w:val="99"/>
    <w:semiHidden/>
    <w:unhideWhenUsed/>
    <w:qFormat/>
    <w:rsid w:val="00ea1435"/>
  </w:style>
  <w:style w:type="numbering" w:styleId="FrListare2512" w:customStyle="1">
    <w:name w:val="Fără Listare2512"/>
    <w:semiHidden/>
    <w:qFormat/>
    <w:rsid w:val="00ea1435"/>
  </w:style>
  <w:style w:type="numbering" w:styleId="FrListare11113" w:customStyle="1">
    <w:name w:val="Fără Listare11113"/>
    <w:semiHidden/>
    <w:unhideWhenUsed/>
    <w:qFormat/>
    <w:rsid w:val="00ea1435"/>
  </w:style>
  <w:style w:type="numbering" w:styleId="FrListare2612" w:customStyle="1">
    <w:name w:val="Fără Listare2612"/>
    <w:uiPriority w:val="99"/>
    <w:semiHidden/>
    <w:unhideWhenUsed/>
    <w:qFormat/>
    <w:rsid w:val="00ea1435"/>
  </w:style>
  <w:style w:type="numbering" w:styleId="FrListare2712" w:customStyle="1">
    <w:name w:val="Fără Listare2712"/>
    <w:semiHidden/>
    <w:qFormat/>
    <w:rsid w:val="00ea1435"/>
  </w:style>
  <w:style w:type="numbering" w:styleId="FrListare302" w:customStyle="1">
    <w:name w:val="Fără Listare302"/>
    <w:uiPriority w:val="99"/>
    <w:semiHidden/>
    <w:unhideWhenUsed/>
    <w:qFormat/>
    <w:rsid w:val="00ea1435"/>
  </w:style>
  <w:style w:type="numbering" w:styleId="FrListare1142" w:customStyle="1">
    <w:name w:val="Fără Listare1142"/>
    <w:uiPriority w:val="99"/>
    <w:semiHidden/>
    <w:unhideWhenUsed/>
    <w:qFormat/>
    <w:rsid w:val="00ea1435"/>
  </w:style>
  <w:style w:type="numbering" w:styleId="FrListare2102" w:customStyle="1">
    <w:name w:val="Fără Listare2102"/>
    <w:uiPriority w:val="99"/>
    <w:semiHidden/>
    <w:unhideWhenUsed/>
    <w:qFormat/>
    <w:rsid w:val="00ea1435"/>
  </w:style>
  <w:style w:type="numbering" w:styleId="FrListare322" w:customStyle="1">
    <w:name w:val="Fără Listare322"/>
    <w:semiHidden/>
    <w:qFormat/>
    <w:rsid w:val="00ea1435"/>
  </w:style>
  <w:style w:type="numbering" w:styleId="FrListare422" w:customStyle="1">
    <w:name w:val="Fără Listare422"/>
    <w:semiHidden/>
    <w:qFormat/>
    <w:rsid w:val="00ea1435"/>
  </w:style>
  <w:style w:type="numbering" w:styleId="FrListare522" w:customStyle="1">
    <w:name w:val="Fără Listare522"/>
    <w:uiPriority w:val="99"/>
    <w:semiHidden/>
    <w:unhideWhenUsed/>
    <w:qFormat/>
    <w:rsid w:val="00ea1435"/>
  </w:style>
  <w:style w:type="numbering" w:styleId="FrListare622" w:customStyle="1">
    <w:name w:val="Fără Listare622"/>
    <w:uiPriority w:val="99"/>
    <w:semiHidden/>
    <w:unhideWhenUsed/>
    <w:qFormat/>
    <w:rsid w:val="00ea1435"/>
  </w:style>
  <w:style w:type="numbering" w:styleId="FrListare722" w:customStyle="1">
    <w:name w:val="Fără Listare722"/>
    <w:uiPriority w:val="99"/>
    <w:semiHidden/>
    <w:unhideWhenUsed/>
    <w:qFormat/>
    <w:rsid w:val="00ea1435"/>
  </w:style>
  <w:style w:type="numbering" w:styleId="FrListare822" w:customStyle="1">
    <w:name w:val="Fără Listare822"/>
    <w:semiHidden/>
    <w:qFormat/>
    <w:rsid w:val="00ea1435"/>
  </w:style>
  <w:style w:type="numbering" w:styleId="FrListare922" w:customStyle="1">
    <w:name w:val="Fără Listare922"/>
    <w:uiPriority w:val="99"/>
    <w:semiHidden/>
    <w:unhideWhenUsed/>
    <w:qFormat/>
    <w:rsid w:val="00ea1435"/>
  </w:style>
  <w:style w:type="numbering" w:styleId="FrListare1022" w:customStyle="1">
    <w:name w:val="Fără Listare1022"/>
    <w:uiPriority w:val="99"/>
    <w:semiHidden/>
    <w:unhideWhenUsed/>
    <w:qFormat/>
    <w:rsid w:val="00ea1435"/>
  </w:style>
  <w:style w:type="numbering" w:styleId="FrListare1152" w:customStyle="1">
    <w:name w:val="Fără Listare1152"/>
    <w:uiPriority w:val="99"/>
    <w:semiHidden/>
    <w:unhideWhenUsed/>
    <w:qFormat/>
    <w:rsid w:val="00ea1435"/>
  </w:style>
  <w:style w:type="numbering" w:styleId="FrListare1222" w:customStyle="1">
    <w:name w:val="Fără Listare1222"/>
    <w:uiPriority w:val="99"/>
    <w:semiHidden/>
    <w:unhideWhenUsed/>
    <w:qFormat/>
    <w:rsid w:val="00ea1435"/>
  </w:style>
  <w:style w:type="numbering" w:styleId="FrListare1322" w:customStyle="1">
    <w:name w:val="Fără Listare1322"/>
    <w:uiPriority w:val="99"/>
    <w:semiHidden/>
    <w:unhideWhenUsed/>
    <w:qFormat/>
    <w:rsid w:val="00ea1435"/>
  </w:style>
  <w:style w:type="numbering" w:styleId="FrListare1422" w:customStyle="1">
    <w:name w:val="Fără Listare1422"/>
    <w:uiPriority w:val="99"/>
    <w:semiHidden/>
    <w:unhideWhenUsed/>
    <w:qFormat/>
    <w:rsid w:val="00ea1435"/>
  </w:style>
  <w:style w:type="numbering" w:styleId="FrListare1522" w:customStyle="1">
    <w:name w:val="Fără Listare1522"/>
    <w:uiPriority w:val="99"/>
    <w:semiHidden/>
    <w:unhideWhenUsed/>
    <w:qFormat/>
    <w:rsid w:val="00ea1435"/>
  </w:style>
  <w:style w:type="numbering" w:styleId="FrListare1622" w:customStyle="1">
    <w:name w:val="Fără Listare1622"/>
    <w:semiHidden/>
    <w:qFormat/>
    <w:rsid w:val="00ea1435"/>
  </w:style>
  <w:style w:type="numbering" w:styleId="FrListare1722" w:customStyle="1">
    <w:name w:val="Fără Listare1722"/>
    <w:uiPriority w:val="99"/>
    <w:semiHidden/>
    <w:unhideWhenUsed/>
    <w:qFormat/>
    <w:rsid w:val="00ea1435"/>
  </w:style>
  <w:style w:type="numbering" w:styleId="FrListare1822" w:customStyle="1">
    <w:name w:val="Fără Listare1822"/>
    <w:uiPriority w:val="99"/>
    <w:semiHidden/>
    <w:unhideWhenUsed/>
    <w:qFormat/>
    <w:rsid w:val="00ea1435"/>
  </w:style>
  <w:style w:type="numbering" w:styleId="FrListare1922" w:customStyle="1">
    <w:name w:val="Fără Listare1922"/>
    <w:uiPriority w:val="99"/>
    <w:semiHidden/>
    <w:unhideWhenUsed/>
    <w:qFormat/>
    <w:rsid w:val="00ea1435"/>
  </w:style>
  <w:style w:type="numbering" w:styleId="FrListare2022" w:customStyle="1">
    <w:name w:val="Fără Listare2022"/>
    <w:uiPriority w:val="99"/>
    <w:semiHidden/>
    <w:unhideWhenUsed/>
    <w:qFormat/>
    <w:rsid w:val="00ea1435"/>
  </w:style>
  <w:style w:type="numbering" w:styleId="FrListare11022" w:customStyle="1">
    <w:name w:val="Fără Listare11022"/>
    <w:uiPriority w:val="99"/>
    <w:semiHidden/>
    <w:unhideWhenUsed/>
    <w:qFormat/>
    <w:rsid w:val="00ea1435"/>
  </w:style>
  <w:style w:type="numbering" w:styleId="FrListare2122" w:customStyle="1">
    <w:name w:val="Fără Listare2122"/>
    <w:semiHidden/>
    <w:qFormat/>
    <w:rsid w:val="00ea1435"/>
  </w:style>
  <w:style w:type="numbering" w:styleId="FrListare2222" w:customStyle="1">
    <w:name w:val="Fără Listare2222"/>
    <w:semiHidden/>
    <w:qFormat/>
    <w:rsid w:val="00ea1435"/>
  </w:style>
  <w:style w:type="numbering" w:styleId="FrListare2322" w:customStyle="1">
    <w:name w:val="Fără Listare2322"/>
    <w:semiHidden/>
    <w:qFormat/>
    <w:rsid w:val="00ea1435"/>
  </w:style>
  <w:style w:type="numbering" w:styleId="FrListare2422" w:customStyle="1">
    <w:name w:val="Fără Listare2422"/>
    <w:uiPriority w:val="99"/>
    <w:semiHidden/>
    <w:unhideWhenUsed/>
    <w:qFormat/>
    <w:rsid w:val="00ea1435"/>
  </w:style>
  <w:style w:type="numbering" w:styleId="FrListare2522" w:customStyle="1">
    <w:name w:val="Fără Listare2522"/>
    <w:semiHidden/>
    <w:qFormat/>
    <w:rsid w:val="00ea1435"/>
  </w:style>
  <w:style w:type="numbering" w:styleId="FrListare11122" w:customStyle="1">
    <w:name w:val="Fără Listare11122"/>
    <w:semiHidden/>
    <w:unhideWhenUsed/>
    <w:qFormat/>
    <w:rsid w:val="00ea1435"/>
  </w:style>
  <w:style w:type="numbering" w:styleId="FrListare2622" w:customStyle="1">
    <w:name w:val="Fără Listare2622"/>
    <w:uiPriority w:val="99"/>
    <w:semiHidden/>
    <w:unhideWhenUsed/>
    <w:qFormat/>
    <w:rsid w:val="00ea1435"/>
  </w:style>
  <w:style w:type="numbering" w:styleId="FrListare2722" w:customStyle="1">
    <w:name w:val="Fără Listare2722"/>
    <w:semiHidden/>
    <w:qFormat/>
    <w:rsid w:val="00ea1435"/>
  </w:style>
  <w:style w:type="numbering" w:styleId="FrListare332" w:customStyle="1">
    <w:name w:val="Fără Listare332"/>
    <w:uiPriority w:val="99"/>
    <w:semiHidden/>
    <w:unhideWhenUsed/>
    <w:qFormat/>
    <w:rsid w:val="00ea1435"/>
  </w:style>
  <w:style w:type="numbering" w:styleId="FrListare1162" w:customStyle="1">
    <w:name w:val="Fără Listare1162"/>
    <w:semiHidden/>
    <w:qFormat/>
    <w:rsid w:val="00ea1435"/>
  </w:style>
  <w:style w:type="numbering" w:styleId="FrListare342" w:customStyle="1">
    <w:name w:val="Fără Listare342"/>
    <w:uiPriority w:val="99"/>
    <w:semiHidden/>
    <w:unhideWhenUsed/>
    <w:qFormat/>
    <w:rsid w:val="00ea1435"/>
  </w:style>
  <w:style w:type="numbering" w:styleId="FrListare352" w:customStyle="1">
    <w:name w:val="Fără Listare352"/>
    <w:semiHidden/>
    <w:qFormat/>
    <w:rsid w:val="00ea1435"/>
  </w:style>
  <w:style w:type="numbering" w:styleId="FrListare362" w:customStyle="1">
    <w:name w:val="Fără Listare362"/>
    <w:semiHidden/>
    <w:qFormat/>
    <w:rsid w:val="00ea1435"/>
  </w:style>
  <w:style w:type="numbering" w:styleId="FrListare372" w:customStyle="1">
    <w:name w:val="Fără Listare372"/>
    <w:semiHidden/>
    <w:unhideWhenUsed/>
    <w:qFormat/>
    <w:rsid w:val="00ea1435"/>
  </w:style>
  <w:style w:type="numbering" w:styleId="FrListare382" w:customStyle="1">
    <w:name w:val="Fără Listare382"/>
    <w:semiHidden/>
    <w:qFormat/>
    <w:rsid w:val="00ea1435"/>
  </w:style>
  <w:style w:type="numbering" w:styleId="FrListare392" w:customStyle="1">
    <w:name w:val="Fără Listare392"/>
    <w:uiPriority w:val="99"/>
    <w:semiHidden/>
    <w:unhideWhenUsed/>
    <w:qFormat/>
    <w:rsid w:val="00ea1435"/>
  </w:style>
  <w:style w:type="numbering" w:styleId="FrListare402" w:customStyle="1">
    <w:name w:val="Fără Listare402"/>
    <w:uiPriority w:val="99"/>
    <w:semiHidden/>
    <w:unhideWhenUsed/>
    <w:qFormat/>
    <w:rsid w:val="00ea1435"/>
  </w:style>
  <w:style w:type="numbering" w:styleId="FrListare432" w:customStyle="1">
    <w:name w:val="Fără Listare432"/>
    <w:uiPriority w:val="99"/>
    <w:semiHidden/>
    <w:unhideWhenUsed/>
    <w:qFormat/>
    <w:rsid w:val="00ea1435"/>
  </w:style>
  <w:style w:type="numbering" w:styleId="FrListare442" w:customStyle="1">
    <w:name w:val="Fără Listare442"/>
    <w:uiPriority w:val="99"/>
    <w:semiHidden/>
    <w:unhideWhenUsed/>
    <w:qFormat/>
    <w:rsid w:val="00ea1435"/>
  </w:style>
  <w:style w:type="numbering" w:styleId="FrListare452" w:customStyle="1">
    <w:name w:val="Fără Listare452"/>
    <w:uiPriority w:val="99"/>
    <w:semiHidden/>
    <w:unhideWhenUsed/>
    <w:qFormat/>
    <w:rsid w:val="00ea1435"/>
  </w:style>
  <w:style w:type="numbering" w:styleId="FrListare462" w:customStyle="1">
    <w:name w:val="Fără Listare462"/>
    <w:uiPriority w:val="99"/>
    <w:semiHidden/>
    <w:unhideWhenUsed/>
    <w:qFormat/>
    <w:rsid w:val="00ea1435"/>
  </w:style>
  <w:style w:type="numbering" w:styleId="FrListare472" w:customStyle="1">
    <w:name w:val="Fără Listare472"/>
    <w:uiPriority w:val="99"/>
    <w:semiHidden/>
    <w:unhideWhenUsed/>
    <w:qFormat/>
    <w:rsid w:val="00ea1435"/>
  </w:style>
  <w:style w:type="numbering" w:styleId="FrListare482" w:customStyle="1">
    <w:name w:val="Fără Listare482"/>
    <w:uiPriority w:val="99"/>
    <w:semiHidden/>
    <w:unhideWhenUsed/>
    <w:qFormat/>
    <w:rsid w:val="00ea1435"/>
  </w:style>
  <w:style w:type="numbering" w:styleId="FrListare492" w:customStyle="1">
    <w:name w:val="Fără Listare492"/>
    <w:uiPriority w:val="99"/>
    <w:semiHidden/>
    <w:unhideWhenUsed/>
    <w:qFormat/>
    <w:rsid w:val="00ea1435"/>
  </w:style>
  <w:style w:type="numbering" w:styleId="FrListare502" w:customStyle="1">
    <w:name w:val="Fără Listare502"/>
    <w:uiPriority w:val="99"/>
    <w:semiHidden/>
    <w:unhideWhenUsed/>
    <w:qFormat/>
    <w:rsid w:val="00ea1435"/>
  </w:style>
  <w:style w:type="numbering" w:styleId="FrListare532" w:customStyle="1">
    <w:name w:val="Fără Listare532"/>
    <w:semiHidden/>
    <w:unhideWhenUsed/>
    <w:qFormat/>
    <w:rsid w:val="00ea1435"/>
  </w:style>
  <w:style w:type="numbering" w:styleId="FrListare542" w:customStyle="1">
    <w:name w:val="Fără Listare542"/>
    <w:uiPriority w:val="99"/>
    <w:semiHidden/>
    <w:unhideWhenUsed/>
    <w:qFormat/>
    <w:rsid w:val="00ea1435"/>
  </w:style>
  <w:style w:type="numbering" w:styleId="FrListare552" w:customStyle="1">
    <w:name w:val="Fără Listare552"/>
    <w:uiPriority w:val="99"/>
    <w:semiHidden/>
    <w:unhideWhenUsed/>
    <w:qFormat/>
    <w:rsid w:val="00ea1435"/>
  </w:style>
  <w:style w:type="numbering" w:styleId="FrListare562" w:customStyle="1">
    <w:name w:val="Fără Listare562"/>
    <w:uiPriority w:val="99"/>
    <w:semiHidden/>
    <w:unhideWhenUsed/>
    <w:qFormat/>
    <w:rsid w:val="00ea1435"/>
  </w:style>
  <w:style w:type="numbering" w:styleId="FrListare572" w:customStyle="1">
    <w:name w:val="Fără Listare572"/>
    <w:uiPriority w:val="99"/>
    <w:semiHidden/>
    <w:unhideWhenUsed/>
    <w:qFormat/>
    <w:rsid w:val="00ea1435"/>
  </w:style>
  <w:style w:type="numbering" w:styleId="FrListare582" w:customStyle="1">
    <w:name w:val="Fără Listare582"/>
    <w:semiHidden/>
    <w:unhideWhenUsed/>
    <w:qFormat/>
    <w:rsid w:val="00ea1435"/>
  </w:style>
  <w:style w:type="numbering" w:styleId="FrListare592" w:customStyle="1">
    <w:name w:val="Fără Listare592"/>
    <w:uiPriority w:val="99"/>
    <w:semiHidden/>
    <w:unhideWhenUsed/>
    <w:qFormat/>
    <w:rsid w:val="00ea1435"/>
  </w:style>
  <w:style w:type="numbering" w:styleId="FrListare602" w:customStyle="1">
    <w:name w:val="Fără Listare602"/>
    <w:uiPriority w:val="99"/>
    <w:semiHidden/>
    <w:unhideWhenUsed/>
    <w:qFormat/>
    <w:rsid w:val="00ea1435"/>
  </w:style>
  <w:style w:type="numbering" w:styleId="FrListare632" w:customStyle="1">
    <w:name w:val="Fără Listare632"/>
    <w:uiPriority w:val="99"/>
    <w:semiHidden/>
    <w:unhideWhenUsed/>
    <w:qFormat/>
    <w:rsid w:val="00ea1435"/>
  </w:style>
  <w:style w:type="numbering" w:styleId="FrListare642" w:customStyle="1">
    <w:name w:val="Fără Listare642"/>
    <w:uiPriority w:val="99"/>
    <w:semiHidden/>
    <w:unhideWhenUsed/>
    <w:qFormat/>
    <w:rsid w:val="00ea1435"/>
  </w:style>
  <w:style w:type="numbering" w:styleId="FrListare652" w:customStyle="1">
    <w:name w:val="Fără Listare652"/>
    <w:uiPriority w:val="99"/>
    <w:semiHidden/>
    <w:unhideWhenUsed/>
    <w:qFormat/>
    <w:rsid w:val="00ea1435"/>
  </w:style>
  <w:style w:type="numbering" w:styleId="FrListare662" w:customStyle="1">
    <w:name w:val="Fără Listare662"/>
    <w:uiPriority w:val="99"/>
    <w:semiHidden/>
    <w:unhideWhenUsed/>
    <w:qFormat/>
    <w:rsid w:val="00ea1435"/>
  </w:style>
  <w:style w:type="numbering" w:styleId="FrListare672" w:customStyle="1">
    <w:name w:val="Fără Listare672"/>
    <w:uiPriority w:val="99"/>
    <w:semiHidden/>
    <w:qFormat/>
    <w:rsid w:val="00ea1435"/>
  </w:style>
  <w:style w:type="numbering" w:styleId="FrListare1172" w:customStyle="1">
    <w:name w:val="Fără Listare1172"/>
    <w:uiPriority w:val="99"/>
    <w:semiHidden/>
    <w:unhideWhenUsed/>
    <w:qFormat/>
    <w:rsid w:val="00ea1435"/>
  </w:style>
  <w:style w:type="numbering" w:styleId="FrListare1182" w:customStyle="1">
    <w:name w:val="Fără Listare1182"/>
    <w:uiPriority w:val="99"/>
    <w:semiHidden/>
    <w:qFormat/>
    <w:rsid w:val="00ea1435"/>
  </w:style>
  <w:style w:type="numbering" w:styleId="FrListare2132" w:customStyle="1">
    <w:name w:val="Fără Listare2132"/>
    <w:uiPriority w:val="99"/>
    <w:semiHidden/>
    <w:unhideWhenUsed/>
    <w:qFormat/>
    <w:rsid w:val="00ea1435"/>
  </w:style>
  <w:style w:type="numbering" w:styleId="FrListare3102" w:customStyle="1">
    <w:name w:val="Fără Listare3102"/>
    <w:semiHidden/>
    <w:unhideWhenUsed/>
    <w:qFormat/>
    <w:rsid w:val="00ea1435"/>
  </w:style>
  <w:style w:type="numbering" w:styleId="FrListare4102" w:customStyle="1">
    <w:name w:val="Fără Listare4102"/>
    <w:semiHidden/>
    <w:unhideWhenUsed/>
    <w:qFormat/>
    <w:rsid w:val="00ea1435"/>
  </w:style>
  <w:style w:type="numbering" w:styleId="FrListare5102" w:customStyle="1">
    <w:name w:val="Fără Listare5102"/>
    <w:uiPriority w:val="99"/>
    <w:semiHidden/>
    <w:unhideWhenUsed/>
    <w:qFormat/>
    <w:rsid w:val="00ea1435"/>
  </w:style>
  <w:style w:type="numbering" w:styleId="FrListare682" w:customStyle="1">
    <w:name w:val="Fără Listare682"/>
    <w:uiPriority w:val="99"/>
    <w:semiHidden/>
    <w:unhideWhenUsed/>
    <w:qFormat/>
    <w:rsid w:val="00ea1435"/>
  </w:style>
  <w:style w:type="numbering" w:styleId="FrListare732" w:customStyle="1">
    <w:name w:val="Fără Listare732"/>
    <w:uiPriority w:val="99"/>
    <w:semiHidden/>
    <w:unhideWhenUsed/>
    <w:qFormat/>
    <w:rsid w:val="00ea1435"/>
  </w:style>
  <w:style w:type="numbering" w:styleId="FrListare832" w:customStyle="1">
    <w:name w:val="Fără Listare832"/>
    <w:semiHidden/>
    <w:qFormat/>
    <w:rsid w:val="00ea1435"/>
  </w:style>
  <w:style w:type="numbering" w:styleId="FrListare932" w:customStyle="1">
    <w:name w:val="Fără Listare932"/>
    <w:uiPriority w:val="99"/>
    <w:semiHidden/>
    <w:unhideWhenUsed/>
    <w:qFormat/>
    <w:rsid w:val="00ea1435"/>
  </w:style>
  <w:style w:type="numbering" w:styleId="FrListare1032" w:customStyle="1">
    <w:name w:val="Fără Listare1032"/>
    <w:uiPriority w:val="99"/>
    <w:semiHidden/>
    <w:unhideWhenUsed/>
    <w:qFormat/>
    <w:rsid w:val="00ea1435"/>
  </w:style>
  <w:style w:type="numbering" w:styleId="FrListare11132" w:customStyle="1">
    <w:name w:val="Fără Listare11132"/>
    <w:uiPriority w:val="99"/>
    <w:semiHidden/>
    <w:unhideWhenUsed/>
    <w:qFormat/>
    <w:rsid w:val="00ea1435"/>
  </w:style>
  <w:style w:type="numbering" w:styleId="FrListare1232" w:customStyle="1">
    <w:name w:val="Fără Listare1232"/>
    <w:uiPriority w:val="99"/>
    <w:semiHidden/>
    <w:unhideWhenUsed/>
    <w:qFormat/>
    <w:rsid w:val="00ea1435"/>
  </w:style>
  <w:style w:type="numbering" w:styleId="FrListare1332" w:customStyle="1">
    <w:name w:val="Fără Listare1332"/>
    <w:uiPriority w:val="99"/>
    <w:semiHidden/>
    <w:unhideWhenUsed/>
    <w:qFormat/>
    <w:rsid w:val="00ea1435"/>
  </w:style>
  <w:style w:type="numbering" w:styleId="FrListare1432" w:customStyle="1">
    <w:name w:val="Fără Listare1432"/>
    <w:uiPriority w:val="99"/>
    <w:semiHidden/>
    <w:unhideWhenUsed/>
    <w:qFormat/>
    <w:rsid w:val="00ea1435"/>
  </w:style>
  <w:style w:type="numbering" w:styleId="FrListare1532" w:customStyle="1">
    <w:name w:val="Fără Listare1532"/>
    <w:uiPriority w:val="99"/>
    <w:semiHidden/>
    <w:unhideWhenUsed/>
    <w:qFormat/>
    <w:rsid w:val="00ea1435"/>
  </w:style>
  <w:style w:type="numbering" w:styleId="FrListare1632" w:customStyle="1">
    <w:name w:val="Fără Listare1632"/>
    <w:semiHidden/>
    <w:qFormat/>
    <w:rsid w:val="00ea1435"/>
  </w:style>
  <w:style w:type="numbering" w:styleId="FrListare1732" w:customStyle="1">
    <w:name w:val="Fără Listare1732"/>
    <w:uiPriority w:val="99"/>
    <w:semiHidden/>
    <w:unhideWhenUsed/>
    <w:qFormat/>
    <w:rsid w:val="00ea1435"/>
  </w:style>
  <w:style w:type="numbering" w:styleId="FrListare1832" w:customStyle="1">
    <w:name w:val="Fără Listare1832"/>
    <w:uiPriority w:val="99"/>
    <w:semiHidden/>
    <w:unhideWhenUsed/>
    <w:qFormat/>
    <w:rsid w:val="00ea1435"/>
  </w:style>
  <w:style w:type="numbering" w:styleId="FrListare1932" w:customStyle="1">
    <w:name w:val="Fără Listare1932"/>
    <w:uiPriority w:val="99"/>
    <w:semiHidden/>
    <w:unhideWhenUsed/>
    <w:qFormat/>
    <w:rsid w:val="00ea1435"/>
  </w:style>
  <w:style w:type="numbering" w:styleId="FrListare2032" w:customStyle="1">
    <w:name w:val="Fără Listare2032"/>
    <w:uiPriority w:val="99"/>
    <w:semiHidden/>
    <w:unhideWhenUsed/>
    <w:qFormat/>
    <w:rsid w:val="00ea1435"/>
  </w:style>
  <w:style w:type="numbering" w:styleId="FrListare11032" w:customStyle="1">
    <w:name w:val="Fără Listare11032"/>
    <w:uiPriority w:val="99"/>
    <w:semiHidden/>
    <w:unhideWhenUsed/>
    <w:qFormat/>
    <w:rsid w:val="00ea1435"/>
  </w:style>
  <w:style w:type="numbering" w:styleId="FrListare2142" w:customStyle="1">
    <w:name w:val="Fără Listare2142"/>
    <w:uiPriority w:val="99"/>
    <w:semiHidden/>
    <w:unhideWhenUsed/>
    <w:qFormat/>
    <w:rsid w:val="00ea1435"/>
  </w:style>
  <w:style w:type="numbering" w:styleId="FrListare2232" w:customStyle="1">
    <w:name w:val="Fără Listare2232"/>
    <w:uiPriority w:val="99"/>
    <w:semiHidden/>
    <w:unhideWhenUsed/>
    <w:qFormat/>
    <w:rsid w:val="00ea1435"/>
  </w:style>
  <w:style w:type="numbering" w:styleId="FrListare2332" w:customStyle="1">
    <w:name w:val="Fără Listare2332"/>
    <w:uiPriority w:val="99"/>
    <w:semiHidden/>
    <w:unhideWhenUsed/>
    <w:qFormat/>
    <w:rsid w:val="00ea1435"/>
  </w:style>
  <w:style w:type="numbering" w:styleId="FrListare2432" w:customStyle="1">
    <w:name w:val="Fără Listare2432"/>
    <w:semiHidden/>
    <w:qFormat/>
    <w:rsid w:val="00ea1435"/>
  </w:style>
  <w:style w:type="numbering" w:styleId="FrListare111113" w:customStyle="1">
    <w:name w:val="Fără Listare111113"/>
    <w:uiPriority w:val="99"/>
    <w:semiHidden/>
    <w:qFormat/>
    <w:rsid w:val="00ea1435"/>
  </w:style>
  <w:style w:type="numbering" w:styleId="FrListare11212" w:customStyle="1">
    <w:name w:val="Fără Listare11212"/>
    <w:uiPriority w:val="99"/>
    <w:semiHidden/>
    <w:qFormat/>
    <w:rsid w:val="00ea1435"/>
  </w:style>
  <w:style w:type="numbering" w:styleId="FrListare2532" w:customStyle="1">
    <w:name w:val="Fără Listare2532"/>
    <w:uiPriority w:val="99"/>
    <w:semiHidden/>
    <w:unhideWhenUsed/>
    <w:qFormat/>
    <w:rsid w:val="00ea1435"/>
  </w:style>
  <w:style w:type="numbering" w:styleId="FrListare3112" w:customStyle="1">
    <w:name w:val="Fără Listare3112"/>
    <w:semiHidden/>
    <w:unhideWhenUsed/>
    <w:qFormat/>
    <w:rsid w:val="00ea1435"/>
  </w:style>
  <w:style w:type="numbering" w:styleId="FrListare4112" w:customStyle="1">
    <w:name w:val="Fără Listare4112"/>
    <w:semiHidden/>
    <w:unhideWhenUsed/>
    <w:qFormat/>
    <w:rsid w:val="00ea1435"/>
  </w:style>
  <w:style w:type="numbering" w:styleId="FrListare5112" w:customStyle="1">
    <w:name w:val="Fără Listare5112"/>
    <w:uiPriority w:val="99"/>
    <w:semiHidden/>
    <w:unhideWhenUsed/>
    <w:qFormat/>
    <w:rsid w:val="00ea1435"/>
  </w:style>
  <w:style w:type="numbering" w:styleId="FrListare6112" w:customStyle="1">
    <w:name w:val="Fără Listare6112"/>
    <w:uiPriority w:val="99"/>
    <w:semiHidden/>
    <w:unhideWhenUsed/>
    <w:qFormat/>
    <w:rsid w:val="00ea1435"/>
  </w:style>
  <w:style w:type="numbering" w:styleId="FrListare7112" w:customStyle="1">
    <w:name w:val="Fără Listare7112"/>
    <w:uiPriority w:val="99"/>
    <w:semiHidden/>
    <w:unhideWhenUsed/>
    <w:qFormat/>
    <w:rsid w:val="00ea1435"/>
  </w:style>
  <w:style w:type="numbering" w:styleId="FrListare8112" w:customStyle="1">
    <w:name w:val="Fără Listare8112"/>
    <w:semiHidden/>
    <w:qFormat/>
    <w:rsid w:val="00ea1435"/>
  </w:style>
  <w:style w:type="numbering" w:styleId="FrListare9112" w:customStyle="1">
    <w:name w:val="Fără Listare9112"/>
    <w:uiPriority w:val="99"/>
    <w:semiHidden/>
    <w:unhideWhenUsed/>
    <w:qFormat/>
    <w:rsid w:val="00ea1435"/>
  </w:style>
  <w:style w:type="numbering" w:styleId="FrListare10112" w:customStyle="1">
    <w:name w:val="Fără Listare10112"/>
    <w:uiPriority w:val="99"/>
    <w:semiHidden/>
    <w:unhideWhenUsed/>
    <w:qFormat/>
    <w:rsid w:val="00ea1435"/>
  </w:style>
  <w:style w:type="numbering" w:styleId="FrListare1111112" w:customStyle="1">
    <w:name w:val="Fără Listare1111112"/>
    <w:uiPriority w:val="99"/>
    <w:semiHidden/>
    <w:unhideWhenUsed/>
    <w:qFormat/>
    <w:rsid w:val="00ea1435"/>
  </w:style>
  <w:style w:type="numbering" w:styleId="FrListare12112" w:customStyle="1">
    <w:name w:val="Fără Listare12112"/>
    <w:uiPriority w:val="99"/>
    <w:semiHidden/>
    <w:unhideWhenUsed/>
    <w:qFormat/>
    <w:rsid w:val="00ea1435"/>
  </w:style>
  <w:style w:type="numbering" w:styleId="FrListare13112" w:customStyle="1">
    <w:name w:val="Fără Listare13112"/>
    <w:uiPriority w:val="99"/>
    <w:semiHidden/>
    <w:unhideWhenUsed/>
    <w:qFormat/>
    <w:rsid w:val="00ea1435"/>
  </w:style>
  <w:style w:type="numbering" w:styleId="FrListare14112" w:customStyle="1">
    <w:name w:val="Fără Listare14112"/>
    <w:uiPriority w:val="99"/>
    <w:semiHidden/>
    <w:unhideWhenUsed/>
    <w:qFormat/>
    <w:rsid w:val="00ea1435"/>
  </w:style>
  <w:style w:type="numbering" w:styleId="FrListare15112" w:customStyle="1">
    <w:name w:val="Fără Listare15112"/>
    <w:uiPriority w:val="99"/>
    <w:semiHidden/>
    <w:unhideWhenUsed/>
    <w:qFormat/>
    <w:rsid w:val="00ea1435"/>
  </w:style>
  <w:style w:type="numbering" w:styleId="FrListare16112" w:customStyle="1">
    <w:name w:val="Fără Listare16112"/>
    <w:semiHidden/>
    <w:qFormat/>
    <w:rsid w:val="00ea1435"/>
  </w:style>
  <w:style w:type="numbering" w:styleId="FrListare17112" w:customStyle="1">
    <w:name w:val="Fără Listare17112"/>
    <w:uiPriority w:val="99"/>
    <w:semiHidden/>
    <w:unhideWhenUsed/>
    <w:qFormat/>
    <w:rsid w:val="00ea1435"/>
  </w:style>
  <w:style w:type="numbering" w:styleId="FrListare18112" w:customStyle="1">
    <w:name w:val="Fără Listare18112"/>
    <w:uiPriority w:val="99"/>
    <w:semiHidden/>
    <w:unhideWhenUsed/>
    <w:qFormat/>
    <w:rsid w:val="00ea1435"/>
  </w:style>
  <w:style w:type="numbering" w:styleId="FrListare19112" w:customStyle="1">
    <w:name w:val="Fără Listare19112"/>
    <w:uiPriority w:val="99"/>
    <w:semiHidden/>
    <w:unhideWhenUsed/>
    <w:qFormat/>
    <w:rsid w:val="00ea1435"/>
  </w:style>
  <w:style w:type="numbering" w:styleId="FrListare20112" w:customStyle="1">
    <w:name w:val="Fără Listare20112"/>
    <w:uiPriority w:val="99"/>
    <w:semiHidden/>
    <w:unhideWhenUsed/>
    <w:qFormat/>
    <w:rsid w:val="00ea1435"/>
  </w:style>
  <w:style w:type="numbering" w:styleId="FrListare110112" w:customStyle="1">
    <w:name w:val="Fără Listare110112"/>
    <w:uiPriority w:val="99"/>
    <w:semiHidden/>
    <w:unhideWhenUsed/>
    <w:qFormat/>
    <w:rsid w:val="00ea1435"/>
  </w:style>
  <w:style w:type="numbering" w:styleId="FrListare21112" w:customStyle="1">
    <w:name w:val="Fără Listare21112"/>
    <w:uiPriority w:val="99"/>
    <w:semiHidden/>
    <w:unhideWhenUsed/>
    <w:qFormat/>
    <w:rsid w:val="00ea1435"/>
  </w:style>
  <w:style w:type="numbering" w:styleId="FrListare22112" w:customStyle="1">
    <w:name w:val="Fără Listare22112"/>
    <w:uiPriority w:val="99"/>
    <w:semiHidden/>
    <w:unhideWhenUsed/>
    <w:qFormat/>
    <w:rsid w:val="00ea1435"/>
  </w:style>
  <w:style w:type="numbering" w:styleId="FrListare23112" w:customStyle="1">
    <w:name w:val="Fără Listare23112"/>
    <w:uiPriority w:val="99"/>
    <w:semiHidden/>
    <w:unhideWhenUsed/>
    <w:qFormat/>
    <w:rsid w:val="00ea1435"/>
  </w:style>
  <w:style w:type="numbering" w:styleId="FrListare2632" w:customStyle="1">
    <w:name w:val="Fără Listare2632"/>
    <w:uiPriority w:val="99"/>
    <w:semiHidden/>
    <w:unhideWhenUsed/>
    <w:qFormat/>
    <w:rsid w:val="00ea1435"/>
  </w:style>
  <w:style w:type="numbering" w:styleId="FrListare691" w:customStyle="1">
    <w:name w:val="Fără Listare691"/>
    <w:uiPriority w:val="99"/>
    <w:semiHidden/>
    <w:qFormat/>
    <w:rsid w:val="00ea1435"/>
  </w:style>
  <w:style w:type="numbering" w:styleId="FrListare1191" w:customStyle="1">
    <w:name w:val="Fără Listare1191"/>
    <w:uiPriority w:val="99"/>
    <w:semiHidden/>
    <w:unhideWhenUsed/>
    <w:qFormat/>
    <w:rsid w:val="00ea1435"/>
  </w:style>
  <w:style w:type="numbering" w:styleId="FrListare11101" w:customStyle="1">
    <w:name w:val="Fără Listare11101"/>
    <w:uiPriority w:val="99"/>
    <w:semiHidden/>
    <w:qFormat/>
    <w:rsid w:val="00ea1435"/>
  </w:style>
  <w:style w:type="numbering" w:styleId="FrListare2151" w:customStyle="1">
    <w:name w:val="Fără Listare2151"/>
    <w:uiPriority w:val="99"/>
    <w:semiHidden/>
    <w:unhideWhenUsed/>
    <w:qFormat/>
    <w:rsid w:val="00ea1435"/>
  </w:style>
  <w:style w:type="numbering" w:styleId="FrListare3121" w:customStyle="1">
    <w:name w:val="Fără Listare3121"/>
    <w:semiHidden/>
    <w:unhideWhenUsed/>
    <w:qFormat/>
    <w:rsid w:val="00ea1435"/>
  </w:style>
  <w:style w:type="numbering" w:styleId="FrListare4121" w:customStyle="1">
    <w:name w:val="Fără Listare4121"/>
    <w:semiHidden/>
    <w:unhideWhenUsed/>
    <w:qFormat/>
    <w:rsid w:val="00ea1435"/>
  </w:style>
  <w:style w:type="numbering" w:styleId="FrListare5121" w:customStyle="1">
    <w:name w:val="Fără Listare5121"/>
    <w:uiPriority w:val="99"/>
    <w:semiHidden/>
    <w:unhideWhenUsed/>
    <w:qFormat/>
    <w:rsid w:val="00ea1435"/>
  </w:style>
  <w:style w:type="numbering" w:styleId="FrListare6101" w:customStyle="1">
    <w:name w:val="Fără Listare6101"/>
    <w:uiPriority w:val="99"/>
    <w:semiHidden/>
    <w:unhideWhenUsed/>
    <w:qFormat/>
    <w:rsid w:val="00ea1435"/>
  </w:style>
  <w:style w:type="numbering" w:styleId="FrListare741" w:customStyle="1">
    <w:name w:val="Fără Listare741"/>
    <w:uiPriority w:val="99"/>
    <w:semiHidden/>
    <w:unhideWhenUsed/>
    <w:qFormat/>
    <w:rsid w:val="00ea1435"/>
  </w:style>
  <w:style w:type="numbering" w:styleId="FrListare841" w:customStyle="1">
    <w:name w:val="Fără Listare841"/>
    <w:semiHidden/>
    <w:qFormat/>
    <w:rsid w:val="00ea1435"/>
  </w:style>
  <w:style w:type="numbering" w:styleId="FrListare941" w:customStyle="1">
    <w:name w:val="Fără Listare941"/>
    <w:uiPriority w:val="99"/>
    <w:semiHidden/>
    <w:unhideWhenUsed/>
    <w:qFormat/>
    <w:rsid w:val="00ea1435"/>
  </w:style>
  <w:style w:type="numbering" w:styleId="FrListare1041" w:customStyle="1">
    <w:name w:val="Fără Listare1041"/>
    <w:uiPriority w:val="99"/>
    <w:semiHidden/>
    <w:unhideWhenUsed/>
    <w:qFormat/>
    <w:rsid w:val="00ea1435"/>
  </w:style>
  <w:style w:type="numbering" w:styleId="FrListare11141" w:customStyle="1">
    <w:name w:val="Fără Listare11141"/>
    <w:uiPriority w:val="99"/>
    <w:semiHidden/>
    <w:unhideWhenUsed/>
    <w:qFormat/>
    <w:rsid w:val="00ea1435"/>
  </w:style>
  <w:style w:type="numbering" w:styleId="FrListare1241" w:customStyle="1">
    <w:name w:val="Fără Listare1241"/>
    <w:uiPriority w:val="99"/>
    <w:semiHidden/>
    <w:unhideWhenUsed/>
    <w:qFormat/>
    <w:rsid w:val="00ea1435"/>
  </w:style>
  <w:style w:type="numbering" w:styleId="FrListare1341" w:customStyle="1">
    <w:name w:val="Fără Listare1341"/>
    <w:uiPriority w:val="99"/>
    <w:semiHidden/>
    <w:unhideWhenUsed/>
    <w:qFormat/>
    <w:rsid w:val="00ea1435"/>
  </w:style>
  <w:style w:type="numbering" w:styleId="FrListare1441" w:customStyle="1">
    <w:name w:val="Fără Listare1441"/>
    <w:uiPriority w:val="99"/>
    <w:semiHidden/>
    <w:unhideWhenUsed/>
    <w:qFormat/>
    <w:rsid w:val="00ea1435"/>
  </w:style>
  <w:style w:type="numbering" w:styleId="FrListare1541" w:customStyle="1">
    <w:name w:val="Fără Listare1541"/>
    <w:uiPriority w:val="99"/>
    <w:semiHidden/>
    <w:unhideWhenUsed/>
    <w:qFormat/>
    <w:rsid w:val="00ea1435"/>
  </w:style>
  <w:style w:type="numbering" w:styleId="FrListare1641" w:customStyle="1">
    <w:name w:val="Fără Listare1641"/>
    <w:semiHidden/>
    <w:qFormat/>
    <w:rsid w:val="00ea1435"/>
  </w:style>
  <w:style w:type="numbering" w:styleId="FrListare1741" w:customStyle="1">
    <w:name w:val="Fără Listare1741"/>
    <w:uiPriority w:val="99"/>
    <w:semiHidden/>
    <w:unhideWhenUsed/>
    <w:qFormat/>
    <w:rsid w:val="00ea1435"/>
  </w:style>
  <w:style w:type="numbering" w:styleId="FrListare1841" w:customStyle="1">
    <w:name w:val="Fără Listare1841"/>
    <w:uiPriority w:val="99"/>
    <w:semiHidden/>
    <w:unhideWhenUsed/>
    <w:qFormat/>
    <w:rsid w:val="00ea1435"/>
  </w:style>
  <w:style w:type="numbering" w:styleId="FrListare1941" w:customStyle="1">
    <w:name w:val="Fără Listare1941"/>
    <w:uiPriority w:val="99"/>
    <w:semiHidden/>
    <w:unhideWhenUsed/>
    <w:qFormat/>
    <w:rsid w:val="00ea1435"/>
  </w:style>
  <w:style w:type="numbering" w:styleId="FrListare2041" w:customStyle="1">
    <w:name w:val="Fără Listare2041"/>
    <w:uiPriority w:val="99"/>
    <w:semiHidden/>
    <w:unhideWhenUsed/>
    <w:qFormat/>
    <w:rsid w:val="00ea1435"/>
  </w:style>
  <w:style w:type="numbering" w:styleId="FrListare11041" w:customStyle="1">
    <w:name w:val="Fără Listare11041"/>
    <w:uiPriority w:val="99"/>
    <w:semiHidden/>
    <w:unhideWhenUsed/>
    <w:qFormat/>
    <w:rsid w:val="00ea1435"/>
  </w:style>
  <w:style w:type="numbering" w:styleId="FrListare2161" w:customStyle="1">
    <w:name w:val="Fără Listare2161"/>
    <w:uiPriority w:val="99"/>
    <w:semiHidden/>
    <w:unhideWhenUsed/>
    <w:qFormat/>
    <w:rsid w:val="00ea1435"/>
  </w:style>
  <w:style w:type="numbering" w:styleId="FrListare2241" w:customStyle="1">
    <w:name w:val="Fără Listare2241"/>
    <w:uiPriority w:val="99"/>
    <w:semiHidden/>
    <w:unhideWhenUsed/>
    <w:qFormat/>
    <w:rsid w:val="00ea1435"/>
  </w:style>
  <w:style w:type="numbering" w:styleId="FrListare2341" w:customStyle="1">
    <w:name w:val="Fără Listare2341"/>
    <w:uiPriority w:val="99"/>
    <w:semiHidden/>
    <w:unhideWhenUsed/>
    <w:qFormat/>
    <w:rsid w:val="00ea1435"/>
  </w:style>
  <w:style w:type="numbering" w:styleId="FrListare2441" w:customStyle="1">
    <w:name w:val="Fără Listare2441"/>
    <w:semiHidden/>
    <w:qFormat/>
    <w:rsid w:val="00ea1435"/>
  </w:style>
  <w:style w:type="numbering" w:styleId="FrListare111122" w:customStyle="1">
    <w:name w:val="Fără Listare111122"/>
    <w:uiPriority w:val="99"/>
    <w:semiHidden/>
    <w:qFormat/>
    <w:rsid w:val="00ea1435"/>
  </w:style>
  <w:style w:type="numbering" w:styleId="FrListare11221" w:customStyle="1">
    <w:name w:val="Fără Listare11221"/>
    <w:uiPriority w:val="99"/>
    <w:semiHidden/>
    <w:qFormat/>
    <w:rsid w:val="00ea1435"/>
  </w:style>
  <w:style w:type="numbering" w:styleId="FrListare2541" w:customStyle="1">
    <w:name w:val="Fără Listare2541"/>
    <w:uiPriority w:val="99"/>
    <w:semiHidden/>
    <w:unhideWhenUsed/>
    <w:qFormat/>
    <w:rsid w:val="00ea1435"/>
  </w:style>
  <w:style w:type="numbering" w:styleId="FrListare3131" w:customStyle="1">
    <w:name w:val="Fără Listare3131"/>
    <w:semiHidden/>
    <w:unhideWhenUsed/>
    <w:qFormat/>
    <w:rsid w:val="00ea1435"/>
  </w:style>
  <w:style w:type="numbering" w:styleId="FrListare4131" w:customStyle="1">
    <w:name w:val="Fără Listare4131"/>
    <w:semiHidden/>
    <w:unhideWhenUsed/>
    <w:qFormat/>
    <w:rsid w:val="00ea1435"/>
  </w:style>
  <w:style w:type="numbering" w:styleId="FrListare5131" w:customStyle="1">
    <w:name w:val="Fără Listare5131"/>
    <w:uiPriority w:val="99"/>
    <w:semiHidden/>
    <w:unhideWhenUsed/>
    <w:qFormat/>
    <w:rsid w:val="00ea1435"/>
  </w:style>
  <w:style w:type="numbering" w:styleId="FrListare6121" w:customStyle="1">
    <w:name w:val="Fără Listare6121"/>
    <w:uiPriority w:val="99"/>
    <w:semiHidden/>
    <w:unhideWhenUsed/>
    <w:qFormat/>
    <w:rsid w:val="00ea1435"/>
  </w:style>
  <w:style w:type="numbering" w:styleId="FrListare7121" w:customStyle="1">
    <w:name w:val="Fără Listare7121"/>
    <w:uiPriority w:val="99"/>
    <w:semiHidden/>
    <w:unhideWhenUsed/>
    <w:qFormat/>
    <w:rsid w:val="00ea1435"/>
  </w:style>
  <w:style w:type="numbering" w:styleId="FrListare8121" w:customStyle="1">
    <w:name w:val="Fără Listare8121"/>
    <w:semiHidden/>
    <w:qFormat/>
    <w:rsid w:val="00ea1435"/>
  </w:style>
  <w:style w:type="numbering" w:styleId="FrListare9121" w:customStyle="1">
    <w:name w:val="Fără Listare9121"/>
    <w:uiPriority w:val="99"/>
    <w:semiHidden/>
    <w:unhideWhenUsed/>
    <w:qFormat/>
    <w:rsid w:val="00ea1435"/>
  </w:style>
  <w:style w:type="numbering" w:styleId="FrListare10121" w:customStyle="1">
    <w:name w:val="Fără Listare10121"/>
    <w:uiPriority w:val="99"/>
    <w:semiHidden/>
    <w:unhideWhenUsed/>
    <w:qFormat/>
    <w:rsid w:val="00ea1435"/>
  </w:style>
  <w:style w:type="numbering" w:styleId="FrListare1111121" w:customStyle="1">
    <w:name w:val="Fără Listare1111121"/>
    <w:uiPriority w:val="99"/>
    <w:semiHidden/>
    <w:unhideWhenUsed/>
    <w:qFormat/>
    <w:rsid w:val="00ea1435"/>
  </w:style>
  <w:style w:type="numbering" w:styleId="FrListare12121" w:customStyle="1">
    <w:name w:val="Fără Listare12121"/>
    <w:uiPriority w:val="99"/>
    <w:semiHidden/>
    <w:unhideWhenUsed/>
    <w:qFormat/>
    <w:rsid w:val="00ea1435"/>
  </w:style>
  <w:style w:type="numbering" w:styleId="FrListare13121" w:customStyle="1">
    <w:name w:val="Fără Listare13121"/>
    <w:uiPriority w:val="99"/>
    <w:semiHidden/>
    <w:unhideWhenUsed/>
    <w:qFormat/>
    <w:rsid w:val="00ea1435"/>
  </w:style>
  <w:style w:type="numbering" w:styleId="FrListare14121" w:customStyle="1">
    <w:name w:val="Fără Listare14121"/>
    <w:uiPriority w:val="99"/>
    <w:semiHidden/>
    <w:unhideWhenUsed/>
    <w:qFormat/>
    <w:rsid w:val="00ea1435"/>
  </w:style>
  <w:style w:type="numbering" w:styleId="FrListare15121" w:customStyle="1">
    <w:name w:val="Fără Listare15121"/>
    <w:uiPriority w:val="99"/>
    <w:semiHidden/>
    <w:unhideWhenUsed/>
    <w:qFormat/>
    <w:rsid w:val="00ea1435"/>
  </w:style>
  <w:style w:type="numbering" w:styleId="FrListare16121" w:customStyle="1">
    <w:name w:val="Fără Listare16121"/>
    <w:semiHidden/>
    <w:qFormat/>
    <w:rsid w:val="00ea1435"/>
  </w:style>
  <w:style w:type="numbering" w:styleId="FrListare17121" w:customStyle="1">
    <w:name w:val="Fără Listare17121"/>
    <w:uiPriority w:val="99"/>
    <w:semiHidden/>
    <w:unhideWhenUsed/>
    <w:qFormat/>
    <w:rsid w:val="00ea1435"/>
  </w:style>
  <w:style w:type="numbering" w:styleId="FrListare18121" w:customStyle="1">
    <w:name w:val="Fără Listare18121"/>
    <w:uiPriority w:val="99"/>
    <w:semiHidden/>
    <w:unhideWhenUsed/>
    <w:qFormat/>
    <w:rsid w:val="00ea1435"/>
  </w:style>
  <w:style w:type="numbering" w:styleId="FrListare19121" w:customStyle="1">
    <w:name w:val="Fără Listare19121"/>
    <w:uiPriority w:val="99"/>
    <w:semiHidden/>
    <w:unhideWhenUsed/>
    <w:qFormat/>
    <w:rsid w:val="00ea1435"/>
  </w:style>
  <w:style w:type="numbering" w:styleId="FrListare20121" w:customStyle="1">
    <w:name w:val="Fără Listare20121"/>
    <w:uiPriority w:val="99"/>
    <w:semiHidden/>
    <w:unhideWhenUsed/>
    <w:qFormat/>
    <w:rsid w:val="00ea1435"/>
  </w:style>
  <w:style w:type="numbering" w:styleId="FrListare110121" w:customStyle="1">
    <w:name w:val="Fără Listare110121"/>
    <w:uiPriority w:val="99"/>
    <w:semiHidden/>
    <w:unhideWhenUsed/>
    <w:qFormat/>
    <w:rsid w:val="00ea1435"/>
  </w:style>
  <w:style w:type="numbering" w:styleId="FrListare21121" w:customStyle="1">
    <w:name w:val="Fără Listare21121"/>
    <w:uiPriority w:val="99"/>
    <w:semiHidden/>
    <w:unhideWhenUsed/>
    <w:qFormat/>
    <w:rsid w:val="00ea1435"/>
  </w:style>
  <w:style w:type="numbering" w:styleId="FrListare22121" w:customStyle="1">
    <w:name w:val="Fără Listare22121"/>
    <w:uiPriority w:val="99"/>
    <w:semiHidden/>
    <w:unhideWhenUsed/>
    <w:qFormat/>
    <w:rsid w:val="00ea1435"/>
  </w:style>
  <w:style w:type="numbering" w:styleId="FrListare23121" w:customStyle="1">
    <w:name w:val="Fără Listare23121"/>
    <w:uiPriority w:val="99"/>
    <w:semiHidden/>
    <w:unhideWhenUsed/>
    <w:qFormat/>
    <w:rsid w:val="00ea1435"/>
  </w:style>
  <w:style w:type="numbering" w:styleId="FrListare2641" w:customStyle="1">
    <w:name w:val="Fără Listare2641"/>
    <w:uiPriority w:val="99"/>
    <w:semiHidden/>
    <w:unhideWhenUsed/>
    <w:qFormat/>
    <w:rsid w:val="00ea1435"/>
  </w:style>
  <w:style w:type="numbering" w:styleId="FrListare2731" w:customStyle="1">
    <w:name w:val="Fără Listare2731"/>
    <w:uiPriority w:val="99"/>
    <w:semiHidden/>
    <w:unhideWhenUsed/>
    <w:qFormat/>
    <w:rsid w:val="00ea1435"/>
  </w:style>
  <w:style w:type="numbering" w:styleId="FrListare11312" w:customStyle="1">
    <w:name w:val="Fără Listare11312"/>
    <w:uiPriority w:val="99"/>
    <w:semiHidden/>
    <w:unhideWhenUsed/>
    <w:qFormat/>
    <w:rsid w:val="00ea1435"/>
  </w:style>
  <w:style w:type="numbering" w:styleId="FrListare2812" w:customStyle="1">
    <w:name w:val="Fără Listare2812"/>
    <w:uiPriority w:val="99"/>
    <w:semiHidden/>
    <w:unhideWhenUsed/>
    <w:qFormat/>
    <w:rsid w:val="00ea1435"/>
  </w:style>
  <w:style w:type="numbering" w:styleId="FrListare3212" w:customStyle="1">
    <w:name w:val="Fără Listare3212"/>
    <w:semiHidden/>
    <w:qFormat/>
    <w:rsid w:val="00ea1435"/>
  </w:style>
  <w:style w:type="numbering" w:styleId="FrListare4212" w:customStyle="1">
    <w:name w:val="Fără Listare4212"/>
    <w:semiHidden/>
    <w:qFormat/>
    <w:rsid w:val="00ea1435"/>
  </w:style>
  <w:style w:type="numbering" w:styleId="FrListare5212" w:customStyle="1">
    <w:name w:val="Fără Listare5212"/>
    <w:uiPriority w:val="99"/>
    <w:semiHidden/>
    <w:unhideWhenUsed/>
    <w:qFormat/>
    <w:rsid w:val="00ea1435"/>
  </w:style>
  <w:style w:type="numbering" w:styleId="FrListare6212" w:customStyle="1">
    <w:name w:val="Fără Listare6212"/>
    <w:uiPriority w:val="99"/>
    <w:semiHidden/>
    <w:unhideWhenUsed/>
    <w:qFormat/>
    <w:rsid w:val="00ea1435"/>
  </w:style>
  <w:style w:type="numbering" w:styleId="FrListare7212" w:customStyle="1">
    <w:name w:val="Fără Listare7212"/>
    <w:uiPriority w:val="99"/>
    <w:semiHidden/>
    <w:unhideWhenUsed/>
    <w:qFormat/>
    <w:rsid w:val="00ea1435"/>
  </w:style>
  <w:style w:type="numbering" w:styleId="FrListare8212" w:customStyle="1">
    <w:name w:val="Fără Listare8212"/>
    <w:semiHidden/>
    <w:qFormat/>
    <w:rsid w:val="00ea1435"/>
  </w:style>
  <w:style w:type="numbering" w:styleId="FrListare9212" w:customStyle="1">
    <w:name w:val="Fără Listare9212"/>
    <w:uiPriority w:val="99"/>
    <w:semiHidden/>
    <w:unhideWhenUsed/>
    <w:qFormat/>
    <w:rsid w:val="00ea1435"/>
  </w:style>
  <w:style w:type="numbering" w:styleId="FrListare10212" w:customStyle="1">
    <w:name w:val="Fără Listare10212"/>
    <w:uiPriority w:val="99"/>
    <w:semiHidden/>
    <w:unhideWhenUsed/>
    <w:qFormat/>
    <w:rsid w:val="00ea1435"/>
  </w:style>
  <w:style w:type="numbering" w:styleId="FrListare11412" w:customStyle="1">
    <w:name w:val="Fără Listare11412"/>
    <w:uiPriority w:val="99"/>
    <w:semiHidden/>
    <w:unhideWhenUsed/>
    <w:qFormat/>
    <w:rsid w:val="00ea1435"/>
  </w:style>
  <w:style w:type="numbering" w:styleId="FrListare12212" w:customStyle="1">
    <w:name w:val="Fără Listare12212"/>
    <w:uiPriority w:val="99"/>
    <w:semiHidden/>
    <w:unhideWhenUsed/>
    <w:qFormat/>
    <w:rsid w:val="00ea1435"/>
  </w:style>
  <w:style w:type="numbering" w:styleId="FrListare13212" w:customStyle="1">
    <w:name w:val="Fără Listare13212"/>
    <w:uiPriority w:val="99"/>
    <w:semiHidden/>
    <w:unhideWhenUsed/>
    <w:qFormat/>
    <w:rsid w:val="00ea1435"/>
  </w:style>
  <w:style w:type="numbering" w:styleId="FrListare14212" w:customStyle="1">
    <w:name w:val="Fără Listare14212"/>
    <w:uiPriority w:val="99"/>
    <w:semiHidden/>
    <w:unhideWhenUsed/>
    <w:qFormat/>
    <w:rsid w:val="00ea1435"/>
  </w:style>
  <w:style w:type="numbering" w:styleId="FrListare15212" w:customStyle="1">
    <w:name w:val="Fără Listare15212"/>
    <w:uiPriority w:val="99"/>
    <w:semiHidden/>
    <w:unhideWhenUsed/>
    <w:qFormat/>
    <w:rsid w:val="00ea1435"/>
  </w:style>
  <w:style w:type="numbering" w:styleId="FrListare16212" w:customStyle="1">
    <w:name w:val="Fără Listare16212"/>
    <w:semiHidden/>
    <w:qFormat/>
    <w:rsid w:val="00ea1435"/>
  </w:style>
  <w:style w:type="numbering" w:styleId="FrListare17212" w:customStyle="1">
    <w:name w:val="Fără Listare17212"/>
    <w:uiPriority w:val="99"/>
    <w:semiHidden/>
    <w:unhideWhenUsed/>
    <w:qFormat/>
    <w:rsid w:val="00ea1435"/>
  </w:style>
  <w:style w:type="numbering" w:styleId="FrListare18212" w:customStyle="1">
    <w:name w:val="Fără Listare18212"/>
    <w:uiPriority w:val="99"/>
    <w:semiHidden/>
    <w:unhideWhenUsed/>
    <w:qFormat/>
    <w:rsid w:val="00ea1435"/>
  </w:style>
  <w:style w:type="numbering" w:styleId="FrListare19212" w:customStyle="1">
    <w:name w:val="Fără Listare19212"/>
    <w:uiPriority w:val="99"/>
    <w:semiHidden/>
    <w:unhideWhenUsed/>
    <w:qFormat/>
    <w:rsid w:val="00ea1435"/>
  </w:style>
  <w:style w:type="numbering" w:styleId="FrListare20212" w:customStyle="1">
    <w:name w:val="Fără Listare20212"/>
    <w:uiPriority w:val="99"/>
    <w:semiHidden/>
    <w:unhideWhenUsed/>
    <w:qFormat/>
    <w:rsid w:val="00ea1435"/>
  </w:style>
  <w:style w:type="numbering" w:styleId="FrListare110212" w:customStyle="1">
    <w:name w:val="Fără Listare110212"/>
    <w:uiPriority w:val="99"/>
    <w:semiHidden/>
    <w:unhideWhenUsed/>
    <w:qFormat/>
    <w:rsid w:val="00ea1435"/>
  </w:style>
  <w:style w:type="numbering" w:styleId="FrListare21212" w:customStyle="1">
    <w:name w:val="Fără Listare21212"/>
    <w:semiHidden/>
    <w:qFormat/>
    <w:rsid w:val="00ea1435"/>
  </w:style>
  <w:style w:type="numbering" w:styleId="FrListare22212" w:customStyle="1">
    <w:name w:val="Fără Listare22212"/>
    <w:semiHidden/>
    <w:qFormat/>
    <w:rsid w:val="00ea1435"/>
  </w:style>
  <w:style w:type="numbering" w:styleId="FrListare23212" w:customStyle="1">
    <w:name w:val="Fără Listare23212"/>
    <w:semiHidden/>
    <w:qFormat/>
    <w:rsid w:val="00ea1435"/>
  </w:style>
  <w:style w:type="numbering" w:styleId="FrListare24112" w:customStyle="1">
    <w:name w:val="Fără Listare24112"/>
    <w:uiPriority w:val="99"/>
    <w:semiHidden/>
    <w:unhideWhenUsed/>
    <w:qFormat/>
    <w:rsid w:val="00ea1435"/>
  </w:style>
  <w:style w:type="numbering" w:styleId="FrListare25112" w:customStyle="1">
    <w:name w:val="Fără Listare25112"/>
    <w:semiHidden/>
    <w:qFormat/>
    <w:rsid w:val="00ea1435"/>
  </w:style>
  <w:style w:type="numbering" w:styleId="FrListare111212" w:customStyle="1">
    <w:name w:val="Fără Listare111212"/>
    <w:semiHidden/>
    <w:unhideWhenUsed/>
    <w:qFormat/>
    <w:rsid w:val="00ea1435"/>
  </w:style>
  <w:style w:type="numbering" w:styleId="FrListare26112" w:customStyle="1">
    <w:name w:val="Fără Listare26112"/>
    <w:uiPriority w:val="99"/>
    <w:semiHidden/>
    <w:unhideWhenUsed/>
    <w:qFormat/>
    <w:rsid w:val="00ea1435"/>
  </w:style>
  <w:style w:type="numbering" w:styleId="FrListare27112" w:customStyle="1">
    <w:name w:val="Fără Listare27112"/>
    <w:semiHidden/>
    <w:qFormat/>
    <w:rsid w:val="00ea1435"/>
  </w:style>
  <w:style w:type="numbering" w:styleId="FrListare28111" w:customStyle="1">
    <w:name w:val="Fără Listare28111"/>
    <w:uiPriority w:val="99"/>
    <w:semiHidden/>
    <w:unhideWhenUsed/>
    <w:qFormat/>
    <w:rsid w:val="00ea1435"/>
  </w:style>
  <w:style w:type="numbering" w:styleId="FrListare112112" w:customStyle="1">
    <w:name w:val="Fără Listare112112"/>
    <w:uiPriority w:val="99"/>
    <w:semiHidden/>
    <w:unhideWhenUsed/>
    <w:qFormat/>
    <w:rsid w:val="00ea1435"/>
  </w:style>
  <w:style w:type="numbering" w:styleId="FrListare2911" w:customStyle="1">
    <w:name w:val="Fără Listare2911"/>
    <w:uiPriority w:val="99"/>
    <w:semiHidden/>
    <w:unhideWhenUsed/>
    <w:qFormat/>
    <w:rsid w:val="00ea1435"/>
  </w:style>
  <w:style w:type="numbering" w:styleId="FrListare31112" w:customStyle="1">
    <w:name w:val="Fără Listare31112"/>
    <w:semiHidden/>
    <w:qFormat/>
    <w:rsid w:val="00ea1435"/>
  </w:style>
  <w:style w:type="numbering" w:styleId="FrListare41112" w:customStyle="1">
    <w:name w:val="Fără Listare41112"/>
    <w:semiHidden/>
    <w:qFormat/>
    <w:rsid w:val="00ea1435"/>
  </w:style>
  <w:style w:type="numbering" w:styleId="FrListare51112" w:customStyle="1">
    <w:name w:val="Fără Listare51112"/>
    <w:uiPriority w:val="99"/>
    <w:semiHidden/>
    <w:unhideWhenUsed/>
    <w:qFormat/>
    <w:rsid w:val="00ea1435"/>
  </w:style>
  <w:style w:type="numbering" w:styleId="FrListare61112" w:customStyle="1">
    <w:name w:val="Fără Listare61112"/>
    <w:uiPriority w:val="99"/>
    <w:semiHidden/>
    <w:unhideWhenUsed/>
    <w:qFormat/>
    <w:rsid w:val="00ea1435"/>
  </w:style>
  <w:style w:type="numbering" w:styleId="FrListare71112" w:customStyle="1">
    <w:name w:val="Fără Listare71112"/>
    <w:uiPriority w:val="99"/>
    <w:semiHidden/>
    <w:unhideWhenUsed/>
    <w:qFormat/>
    <w:rsid w:val="00ea1435"/>
  </w:style>
  <w:style w:type="numbering" w:styleId="FrListare81112" w:customStyle="1">
    <w:name w:val="Fără Listare81112"/>
    <w:semiHidden/>
    <w:qFormat/>
    <w:rsid w:val="00ea1435"/>
  </w:style>
  <w:style w:type="numbering" w:styleId="FrListare91112" w:customStyle="1">
    <w:name w:val="Fără Listare91112"/>
    <w:uiPriority w:val="99"/>
    <w:semiHidden/>
    <w:unhideWhenUsed/>
    <w:qFormat/>
    <w:rsid w:val="00ea1435"/>
  </w:style>
  <w:style w:type="numbering" w:styleId="FrListare101112" w:customStyle="1">
    <w:name w:val="Fără Listare101112"/>
    <w:uiPriority w:val="99"/>
    <w:semiHidden/>
    <w:unhideWhenUsed/>
    <w:qFormat/>
    <w:rsid w:val="00ea1435"/>
  </w:style>
  <w:style w:type="numbering" w:styleId="FrListare113111" w:customStyle="1">
    <w:name w:val="Fără Listare113111"/>
    <w:uiPriority w:val="99"/>
    <w:semiHidden/>
    <w:unhideWhenUsed/>
    <w:qFormat/>
    <w:rsid w:val="00ea1435"/>
  </w:style>
  <w:style w:type="numbering" w:styleId="FrListare121112" w:customStyle="1">
    <w:name w:val="Fără Listare121112"/>
    <w:uiPriority w:val="99"/>
    <w:semiHidden/>
    <w:unhideWhenUsed/>
    <w:qFormat/>
    <w:rsid w:val="00ea1435"/>
  </w:style>
  <w:style w:type="numbering" w:styleId="FrListare131112" w:customStyle="1">
    <w:name w:val="Fără Listare131112"/>
    <w:uiPriority w:val="99"/>
    <w:semiHidden/>
    <w:unhideWhenUsed/>
    <w:qFormat/>
    <w:rsid w:val="00ea1435"/>
  </w:style>
  <w:style w:type="numbering" w:styleId="FrListare141112" w:customStyle="1">
    <w:name w:val="Fără Listare141112"/>
    <w:uiPriority w:val="99"/>
    <w:semiHidden/>
    <w:unhideWhenUsed/>
    <w:qFormat/>
    <w:rsid w:val="00ea1435"/>
  </w:style>
  <w:style w:type="numbering" w:styleId="FrListare151112" w:customStyle="1">
    <w:name w:val="Fără Listare151112"/>
    <w:uiPriority w:val="99"/>
    <w:semiHidden/>
    <w:unhideWhenUsed/>
    <w:qFormat/>
    <w:rsid w:val="00ea1435"/>
  </w:style>
  <w:style w:type="numbering" w:styleId="FrListare161112" w:customStyle="1">
    <w:name w:val="Fără Listare161112"/>
    <w:semiHidden/>
    <w:qFormat/>
    <w:rsid w:val="00ea1435"/>
  </w:style>
  <w:style w:type="numbering" w:styleId="FrListare171112" w:customStyle="1">
    <w:name w:val="Fără Listare171112"/>
    <w:uiPriority w:val="99"/>
    <w:semiHidden/>
    <w:unhideWhenUsed/>
    <w:qFormat/>
    <w:rsid w:val="00ea1435"/>
  </w:style>
  <w:style w:type="numbering" w:styleId="FrListare181112" w:customStyle="1">
    <w:name w:val="Fără Listare181112"/>
    <w:uiPriority w:val="99"/>
    <w:semiHidden/>
    <w:unhideWhenUsed/>
    <w:qFormat/>
    <w:rsid w:val="00ea1435"/>
  </w:style>
  <w:style w:type="numbering" w:styleId="FrListare191112" w:customStyle="1">
    <w:name w:val="Fără Listare191112"/>
    <w:uiPriority w:val="99"/>
    <w:semiHidden/>
    <w:unhideWhenUsed/>
    <w:qFormat/>
    <w:rsid w:val="00ea1435"/>
  </w:style>
  <w:style w:type="numbering" w:styleId="FrListare201112" w:customStyle="1">
    <w:name w:val="Fără Listare201112"/>
    <w:uiPriority w:val="99"/>
    <w:semiHidden/>
    <w:unhideWhenUsed/>
    <w:qFormat/>
    <w:rsid w:val="00ea1435"/>
  </w:style>
  <w:style w:type="numbering" w:styleId="FrListare1101112" w:customStyle="1">
    <w:name w:val="Fără Listare1101112"/>
    <w:uiPriority w:val="99"/>
    <w:semiHidden/>
    <w:unhideWhenUsed/>
    <w:qFormat/>
    <w:rsid w:val="00ea1435"/>
  </w:style>
  <w:style w:type="numbering" w:styleId="FrListare211112" w:customStyle="1">
    <w:name w:val="Fără Listare211112"/>
    <w:semiHidden/>
    <w:qFormat/>
    <w:rsid w:val="00ea1435"/>
  </w:style>
  <w:style w:type="numbering" w:styleId="FrListare221112" w:customStyle="1">
    <w:name w:val="Fără Listare221112"/>
    <w:semiHidden/>
    <w:qFormat/>
    <w:rsid w:val="00ea1435"/>
  </w:style>
  <w:style w:type="numbering" w:styleId="FrListare231112" w:customStyle="1">
    <w:name w:val="Fără Listare231112"/>
    <w:semiHidden/>
    <w:qFormat/>
    <w:rsid w:val="00ea1435"/>
  </w:style>
  <w:style w:type="numbering" w:styleId="FrListare241112" w:customStyle="1">
    <w:name w:val="Fără Listare241112"/>
    <w:uiPriority w:val="99"/>
    <w:semiHidden/>
    <w:unhideWhenUsed/>
    <w:qFormat/>
    <w:rsid w:val="00ea1435"/>
  </w:style>
  <w:style w:type="numbering" w:styleId="FrListare251112" w:customStyle="1">
    <w:name w:val="Fără Listare251112"/>
    <w:semiHidden/>
    <w:qFormat/>
    <w:rsid w:val="00ea1435"/>
  </w:style>
  <w:style w:type="numbering" w:styleId="FrListare1111211" w:customStyle="1">
    <w:name w:val="Fără Listare1111211"/>
    <w:semiHidden/>
    <w:unhideWhenUsed/>
    <w:qFormat/>
    <w:rsid w:val="00ea1435"/>
  </w:style>
  <w:style w:type="numbering" w:styleId="FrListare261111" w:customStyle="1">
    <w:name w:val="Fără Listare261111"/>
    <w:uiPriority w:val="99"/>
    <w:semiHidden/>
    <w:unhideWhenUsed/>
    <w:qFormat/>
    <w:rsid w:val="00ea1435"/>
  </w:style>
  <w:style w:type="numbering" w:styleId="FrListare271111" w:customStyle="1">
    <w:name w:val="Fără Listare271111"/>
    <w:semiHidden/>
    <w:qFormat/>
    <w:rsid w:val="00ea1435"/>
  </w:style>
  <w:style w:type="numbering" w:styleId="FrListare3011" w:customStyle="1">
    <w:name w:val="Fără Listare3011"/>
    <w:uiPriority w:val="99"/>
    <w:semiHidden/>
    <w:unhideWhenUsed/>
    <w:qFormat/>
    <w:rsid w:val="00ea1435"/>
  </w:style>
  <w:style w:type="numbering" w:styleId="FrListare114111" w:customStyle="1">
    <w:name w:val="Fără Listare114111"/>
    <w:uiPriority w:val="99"/>
    <w:semiHidden/>
    <w:unhideWhenUsed/>
    <w:qFormat/>
    <w:rsid w:val="00ea1435"/>
  </w:style>
  <w:style w:type="numbering" w:styleId="FrListare21011" w:customStyle="1">
    <w:name w:val="Fără Listare21011"/>
    <w:uiPriority w:val="99"/>
    <w:semiHidden/>
    <w:unhideWhenUsed/>
    <w:qFormat/>
    <w:rsid w:val="00ea1435"/>
  </w:style>
  <w:style w:type="numbering" w:styleId="FrListare32112" w:customStyle="1">
    <w:name w:val="Fără Listare32112"/>
    <w:semiHidden/>
    <w:qFormat/>
    <w:rsid w:val="00ea1435"/>
  </w:style>
  <w:style w:type="numbering" w:styleId="FrListare42112" w:customStyle="1">
    <w:name w:val="Fără Listare42112"/>
    <w:semiHidden/>
    <w:qFormat/>
    <w:rsid w:val="00ea1435"/>
  </w:style>
  <w:style w:type="numbering" w:styleId="FrListare52112" w:customStyle="1">
    <w:name w:val="Fără Listare52112"/>
    <w:uiPriority w:val="99"/>
    <w:semiHidden/>
    <w:unhideWhenUsed/>
    <w:qFormat/>
    <w:rsid w:val="00ea1435"/>
  </w:style>
  <w:style w:type="numbering" w:styleId="FrListare62111" w:customStyle="1">
    <w:name w:val="Fără Listare62111"/>
    <w:uiPriority w:val="99"/>
    <w:semiHidden/>
    <w:unhideWhenUsed/>
    <w:qFormat/>
    <w:rsid w:val="00ea1435"/>
  </w:style>
  <w:style w:type="numbering" w:styleId="FrListare72111" w:customStyle="1">
    <w:name w:val="Fără Listare72111"/>
    <w:uiPriority w:val="99"/>
    <w:semiHidden/>
    <w:unhideWhenUsed/>
    <w:qFormat/>
    <w:rsid w:val="00ea1435"/>
  </w:style>
  <w:style w:type="numbering" w:styleId="FrListare82111" w:customStyle="1">
    <w:name w:val="Fără Listare82111"/>
    <w:semiHidden/>
    <w:qFormat/>
    <w:rsid w:val="00ea1435"/>
  </w:style>
  <w:style w:type="numbering" w:styleId="FrListare92111" w:customStyle="1">
    <w:name w:val="Fără Listare92111"/>
    <w:uiPriority w:val="99"/>
    <w:semiHidden/>
    <w:unhideWhenUsed/>
    <w:qFormat/>
    <w:rsid w:val="00ea1435"/>
  </w:style>
  <w:style w:type="numbering" w:styleId="FrListare102111" w:customStyle="1">
    <w:name w:val="Fără Listare102111"/>
    <w:uiPriority w:val="99"/>
    <w:semiHidden/>
    <w:unhideWhenUsed/>
    <w:qFormat/>
    <w:rsid w:val="00ea1435"/>
  </w:style>
  <w:style w:type="numbering" w:styleId="FrListare11511" w:customStyle="1">
    <w:name w:val="Fără Listare11511"/>
    <w:uiPriority w:val="99"/>
    <w:semiHidden/>
    <w:unhideWhenUsed/>
    <w:qFormat/>
    <w:rsid w:val="00ea1435"/>
  </w:style>
  <w:style w:type="numbering" w:styleId="FrListare122111" w:customStyle="1">
    <w:name w:val="Fără Listare122111"/>
    <w:uiPriority w:val="99"/>
    <w:semiHidden/>
    <w:unhideWhenUsed/>
    <w:qFormat/>
    <w:rsid w:val="00ea1435"/>
  </w:style>
  <w:style w:type="numbering" w:styleId="FrListare132111" w:customStyle="1">
    <w:name w:val="Fără Listare132111"/>
    <w:uiPriority w:val="99"/>
    <w:semiHidden/>
    <w:unhideWhenUsed/>
    <w:qFormat/>
    <w:rsid w:val="00ea1435"/>
  </w:style>
  <w:style w:type="numbering" w:styleId="FrListare142111" w:customStyle="1">
    <w:name w:val="Fără Listare142111"/>
    <w:uiPriority w:val="99"/>
    <w:semiHidden/>
    <w:unhideWhenUsed/>
    <w:qFormat/>
    <w:rsid w:val="00ea1435"/>
  </w:style>
  <w:style w:type="numbering" w:styleId="FrListare152111" w:customStyle="1">
    <w:name w:val="Fără Listare152111"/>
    <w:uiPriority w:val="99"/>
    <w:semiHidden/>
    <w:unhideWhenUsed/>
    <w:qFormat/>
    <w:rsid w:val="00ea1435"/>
  </w:style>
  <w:style w:type="numbering" w:styleId="FrListare162111" w:customStyle="1">
    <w:name w:val="Fără Listare162111"/>
    <w:semiHidden/>
    <w:qFormat/>
    <w:rsid w:val="00ea1435"/>
  </w:style>
  <w:style w:type="numbering" w:styleId="FrListare172111" w:customStyle="1">
    <w:name w:val="Fără Listare172111"/>
    <w:uiPriority w:val="99"/>
    <w:semiHidden/>
    <w:unhideWhenUsed/>
    <w:qFormat/>
    <w:rsid w:val="00ea1435"/>
  </w:style>
  <w:style w:type="numbering" w:styleId="FrListare182111" w:customStyle="1">
    <w:name w:val="Fără Listare182111"/>
    <w:uiPriority w:val="99"/>
    <w:semiHidden/>
    <w:unhideWhenUsed/>
    <w:qFormat/>
    <w:rsid w:val="00ea1435"/>
  </w:style>
  <w:style w:type="numbering" w:styleId="FrListare192111" w:customStyle="1">
    <w:name w:val="Fără Listare192111"/>
    <w:uiPriority w:val="99"/>
    <w:semiHidden/>
    <w:unhideWhenUsed/>
    <w:qFormat/>
    <w:rsid w:val="00ea1435"/>
  </w:style>
  <w:style w:type="numbering" w:styleId="FrListare202111" w:customStyle="1">
    <w:name w:val="Fără Listare202111"/>
    <w:uiPriority w:val="99"/>
    <w:semiHidden/>
    <w:unhideWhenUsed/>
    <w:qFormat/>
    <w:rsid w:val="00ea1435"/>
  </w:style>
  <w:style w:type="numbering" w:styleId="FrListare1102111" w:customStyle="1">
    <w:name w:val="Fără Listare1102111"/>
    <w:uiPriority w:val="99"/>
    <w:semiHidden/>
    <w:unhideWhenUsed/>
    <w:qFormat/>
    <w:rsid w:val="00ea1435"/>
  </w:style>
  <w:style w:type="numbering" w:styleId="FrListare212111" w:customStyle="1">
    <w:name w:val="Fără Listare212111"/>
    <w:semiHidden/>
    <w:qFormat/>
    <w:rsid w:val="00ea1435"/>
  </w:style>
  <w:style w:type="numbering" w:styleId="FrListare222111" w:customStyle="1">
    <w:name w:val="Fără Listare222111"/>
    <w:semiHidden/>
    <w:qFormat/>
    <w:rsid w:val="00ea1435"/>
  </w:style>
  <w:style w:type="numbering" w:styleId="FrListare232111" w:customStyle="1">
    <w:name w:val="Fără Listare232111"/>
    <w:semiHidden/>
    <w:qFormat/>
    <w:rsid w:val="00ea1435"/>
  </w:style>
  <w:style w:type="numbering" w:styleId="FrListare24211" w:customStyle="1">
    <w:name w:val="Fără Listare24211"/>
    <w:uiPriority w:val="99"/>
    <w:semiHidden/>
    <w:unhideWhenUsed/>
    <w:qFormat/>
    <w:rsid w:val="00ea1435"/>
  </w:style>
  <w:style w:type="numbering" w:styleId="FrListare25211" w:customStyle="1">
    <w:name w:val="Fără Listare25211"/>
    <w:semiHidden/>
    <w:qFormat/>
    <w:rsid w:val="00ea1435"/>
  </w:style>
  <w:style w:type="numbering" w:styleId="FrListare1112111" w:customStyle="1">
    <w:name w:val="Fără Listare1112111"/>
    <w:semiHidden/>
    <w:unhideWhenUsed/>
    <w:qFormat/>
    <w:rsid w:val="00ea1435"/>
  </w:style>
  <w:style w:type="numbering" w:styleId="FrListare26211" w:customStyle="1">
    <w:name w:val="Fără Listare26211"/>
    <w:uiPriority w:val="99"/>
    <w:semiHidden/>
    <w:unhideWhenUsed/>
    <w:qFormat/>
    <w:rsid w:val="00ea1435"/>
  </w:style>
  <w:style w:type="numbering" w:styleId="FrListare27211" w:customStyle="1">
    <w:name w:val="Fără Listare27211"/>
    <w:semiHidden/>
    <w:qFormat/>
    <w:rsid w:val="00ea1435"/>
  </w:style>
  <w:style w:type="numbering" w:styleId="FrListare3312" w:customStyle="1">
    <w:name w:val="Fără Listare3312"/>
    <w:uiPriority w:val="99"/>
    <w:semiHidden/>
    <w:unhideWhenUsed/>
    <w:qFormat/>
    <w:rsid w:val="00ea1435"/>
  </w:style>
  <w:style w:type="numbering" w:styleId="FrListare11611" w:customStyle="1">
    <w:name w:val="Fără Listare11611"/>
    <w:semiHidden/>
    <w:qFormat/>
    <w:rsid w:val="00ea1435"/>
  </w:style>
  <w:style w:type="numbering" w:styleId="FrListare3412" w:customStyle="1">
    <w:name w:val="Fără Listare3412"/>
    <w:uiPriority w:val="99"/>
    <w:semiHidden/>
    <w:unhideWhenUsed/>
    <w:qFormat/>
    <w:rsid w:val="00ea1435"/>
  </w:style>
  <w:style w:type="numbering" w:styleId="FrListare3511" w:customStyle="1">
    <w:name w:val="Fără Listare3511"/>
    <w:semiHidden/>
    <w:qFormat/>
    <w:rsid w:val="00ea1435"/>
  </w:style>
  <w:style w:type="numbering" w:styleId="FrListare3611" w:customStyle="1">
    <w:name w:val="Fără Listare3611"/>
    <w:semiHidden/>
    <w:qFormat/>
    <w:rsid w:val="00ea1435"/>
  </w:style>
  <w:style w:type="numbering" w:styleId="FrListare3711" w:customStyle="1">
    <w:name w:val="Fără Listare3711"/>
    <w:semiHidden/>
    <w:unhideWhenUsed/>
    <w:qFormat/>
    <w:rsid w:val="00ea1435"/>
  </w:style>
  <w:style w:type="numbering" w:styleId="FrListare3811" w:customStyle="1">
    <w:name w:val="Fără Listare3811"/>
    <w:semiHidden/>
    <w:qFormat/>
    <w:rsid w:val="00ea1435"/>
  </w:style>
  <w:style w:type="numbering" w:styleId="FrListare3911" w:customStyle="1">
    <w:name w:val="Fără Listare3911"/>
    <w:uiPriority w:val="99"/>
    <w:semiHidden/>
    <w:unhideWhenUsed/>
    <w:qFormat/>
    <w:rsid w:val="00ea1435"/>
  </w:style>
  <w:style w:type="numbering" w:styleId="FrListare4011" w:customStyle="1">
    <w:name w:val="Fără Listare4011"/>
    <w:uiPriority w:val="99"/>
    <w:semiHidden/>
    <w:unhideWhenUsed/>
    <w:qFormat/>
    <w:rsid w:val="00ea1435"/>
  </w:style>
  <w:style w:type="numbering" w:styleId="FrListare4311" w:customStyle="1">
    <w:name w:val="Fără Listare4311"/>
    <w:uiPriority w:val="99"/>
    <w:semiHidden/>
    <w:unhideWhenUsed/>
    <w:qFormat/>
    <w:rsid w:val="00ea1435"/>
  </w:style>
  <w:style w:type="numbering" w:styleId="FrListare4411" w:customStyle="1">
    <w:name w:val="Fără Listare4411"/>
    <w:uiPriority w:val="99"/>
    <w:semiHidden/>
    <w:unhideWhenUsed/>
    <w:qFormat/>
    <w:rsid w:val="00ea1435"/>
  </w:style>
  <w:style w:type="numbering" w:styleId="FrListare4511" w:customStyle="1">
    <w:name w:val="Fără Listare4511"/>
    <w:uiPriority w:val="99"/>
    <w:semiHidden/>
    <w:unhideWhenUsed/>
    <w:qFormat/>
    <w:rsid w:val="00ea1435"/>
  </w:style>
  <w:style w:type="numbering" w:styleId="FrListare4611" w:customStyle="1">
    <w:name w:val="Fără Listare4611"/>
    <w:uiPriority w:val="99"/>
    <w:semiHidden/>
    <w:unhideWhenUsed/>
    <w:qFormat/>
    <w:rsid w:val="00ea1435"/>
  </w:style>
  <w:style w:type="numbering" w:styleId="FrListare4711" w:customStyle="1">
    <w:name w:val="Fără Listare4711"/>
    <w:uiPriority w:val="99"/>
    <w:semiHidden/>
    <w:unhideWhenUsed/>
    <w:qFormat/>
    <w:rsid w:val="00ea1435"/>
  </w:style>
  <w:style w:type="numbering" w:styleId="FrListare4811" w:customStyle="1">
    <w:name w:val="Fără Listare4811"/>
    <w:uiPriority w:val="99"/>
    <w:semiHidden/>
    <w:unhideWhenUsed/>
    <w:qFormat/>
    <w:rsid w:val="00ea1435"/>
  </w:style>
  <w:style w:type="numbering" w:styleId="FrListare4911" w:customStyle="1">
    <w:name w:val="Fără Listare4911"/>
    <w:uiPriority w:val="99"/>
    <w:semiHidden/>
    <w:unhideWhenUsed/>
    <w:qFormat/>
    <w:rsid w:val="00ea1435"/>
  </w:style>
  <w:style w:type="numbering" w:styleId="FrListare5011" w:customStyle="1">
    <w:name w:val="Fără Listare5011"/>
    <w:uiPriority w:val="99"/>
    <w:semiHidden/>
    <w:unhideWhenUsed/>
    <w:qFormat/>
    <w:rsid w:val="00ea1435"/>
  </w:style>
  <w:style w:type="numbering" w:styleId="FrListare5311" w:customStyle="1">
    <w:name w:val="Fără Listare5311"/>
    <w:semiHidden/>
    <w:unhideWhenUsed/>
    <w:qFormat/>
    <w:rsid w:val="00ea1435"/>
  </w:style>
  <w:style w:type="numbering" w:styleId="FrListare5411" w:customStyle="1">
    <w:name w:val="Fără Listare5411"/>
    <w:uiPriority w:val="99"/>
    <w:semiHidden/>
    <w:unhideWhenUsed/>
    <w:qFormat/>
    <w:rsid w:val="00ea1435"/>
  </w:style>
  <w:style w:type="numbering" w:styleId="FrListare5511" w:customStyle="1">
    <w:name w:val="Fără Listare5511"/>
    <w:uiPriority w:val="99"/>
    <w:semiHidden/>
    <w:unhideWhenUsed/>
    <w:qFormat/>
    <w:rsid w:val="00ea1435"/>
  </w:style>
  <w:style w:type="numbering" w:styleId="FrListare5611" w:customStyle="1">
    <w:name w:val="Fără Listare5611"/>
    <w:uiPriority w:val="99"/>
    <w:semiHidden/>
    <w:unhideWhenUsed/>
    <w:qFormat/>
    <w:rsid w:val="00ea1435"/>
  </w:style>
  <w:style w:type="numbering" w:styleId="FrListare5711" w:customStyle="1">
    <w:name w:val="Fără Listare5711"/>
    <w:uiPriority w:val="99"/>
    <w:semiHidden/>
    <w:unhideWhenUsed/>
    <w:qFormat/>
    <w:rsid w:val="00ea1435"/>
  </w:style>
  <w:style w:type="numbering" w:styleId="FrListare5811" w:customStyle="1">
    <w:name w:val="Fără Listare5811"/>
    <w:semiHidden/>
    <w:unhideWhenUsed/>
    <w:qFormat/>
    <w:rsid w:val="00ea1435"/>
  </w:style>
  <w:style w:type="numbering" w:styleId="FrListare5911" w:customStyle="1">
    <w:name w:val="Fără Listare5911"/>
    <w:uiPriority w:val="99"/>
    <w:semiHidden/>
    <w:unhideWhenUsed/>
    <w:qFormat/>
    <w:rsid w:val="00ea1435"/>
  </w:style>
  <w:style w:type="numbering" w:styleId="FrListare6011" w:customStyle="1">
    <w:name w:val="Fără Listare6011"/>
    <w:uiPriority w:val="99"/>
    <w:semiHidden/>
    <w:unhideWhenUsed/>
    <w:qFormat/>
    <w:rsid w:val="00ea1435"/>
  </w:style>
  <w:style w:type="numbering" w:styleId="FrListare6311" w:customStyle="1">
    <w:name w:val="Fără Listare6311"/>
    <w:uiPriority w:val="99"/>
    <w:semiHidden/>
    <w:unhideWhenUsed/>
    <w:qFormat/>
    <w:rsid w:val="00ea1435"/>
  </w:style>
  <w:style w:type="numbering" w:styleId="FrListare6411" w:customStyle="1">
    <w:name w:val="Fără Listare6411"/>
    <w:uiPriority w:val="99"/>
    <w:semiHidden/>
    <w:unhideWhenUsed/>
    <w:qFormat/>
    <w:rsid w:val="00ea1435"/>
  </w:style>
  <w:style w:type="numbering" w:styleId="FrListare6511" w:customStyle="1">
    <w:name w:val="Fără Listare6511"/>
    <w:uiPriority w:val="99"/>
    <w:semiHidden/>
    <w:unhideWhenUsed/>
    <w:qFormat/>
    <w:rsid w:val="00ea1435"/>
  </w:style>
  <w:style w:type="numbering" w:styleId="FrListare6611" w:customStyle="1">
    <w:name w:val="Fără Listare6611"/>
    <w:uiPriority w:val="99"/>
    <w:semiHidden/>
    <w:unhideWhenUsed/>
    <w:qFormat/>
    <w:rsid w:val="00ea1435"/>
  </w:style>
  <w:style w:type="numbering" w:styleId="FrListare6711" w:customStyle="1">
    <w:name w:val="Fără Listare6711"/>
    <w:uiPriority w:val="99"/>
    <w:semiHidden/>
    <w:qFormat/>
    <w:rsid w:val="00ea1435"/>
  </w:style>
  <w:style w:type="numbering" w:styleId="FrListare11711" w:customStyle="1">
    <w:name w:val="Fără Listare11711"/>
    <w:uiPriority w:val="99"/>
    <w:semiHidden/>
    <w:unhideWhenUsed/>
    <w:qFormat/>
    <w:rsid w:val="00ea1435"/>
  </w:style>
  <w:style w:type="numbering" w:styleId="FrListare11811" w:customStyle="1">
    <w:name w:val="Fără Listare11811"/>
    <w:uiPriority w:val="99"/>
    <w:semiHidden/>
    <w:qFormat/>
    <w:rsid w:val="00ea1435"/>
  </w:style>
  <w:style w:type="numbering" w:styleId="FrListare21311" w:customStyle="1">
    <w:name w:val="Fără Listare21311"/>
    <w:uiPriority w:val="99"/>
    <w:semiHidden/>
    <w:unhideWhenUsed/>
    <w:qFormat/>
    <w:rsid w:val="00ea1435"/>
  </w:style>
  <w:style w:type="numbering" w:styleId="FrListare31011" w:customStyle="1">
    <w:name w:val="Fără Listare31011"/>
    <w:semiHidden/>
    <w:unhideWhenUsed/>
    <w:qFormat/>
    <w:rsid w:val="00ea1435"/>
  </w:style>
  <w:style w:type="numbering" w:styleId="FrListare41011" w:customStyle="1">
    <w:name w:val="Fără Listare41011"/>
    <w:semiHidden/>
    <w:unhideWhenUsed/>
    <w:qFormat/>
    <w:rsid w:val="00ea1435"/>
  </w:style>
  <w:style w:type="numbering" w:styleId="FrListare51011" w:customStyle="1">
    <w:name w:val="Fără Listare51011"/>
    <w:uiPriority w:val="99"/>
    <w:semiHidden/>
    <w:unhideWhenUsed/>
    <w:qFormat/>
    <w:rsid w:val="00ea1435"/>
  </w:style>
  <w:style w:type="numbering" w:styleId="FrListare6811" w:customStyle="1">
    <w:name w:val="Fără Listare6811"/>
    <w:uiPriority w:val="99"/>
    <w:semiHidden/>
    <w:unhideWhenUsed/>
    <w:qFormat/>
    <w:rsid w:val="00ea1435"/>
  </w:style>
  <w:style w:type="numbering" w:styleId="FrListare7311" w:customStyle="1">
    <w:name w:val="Fără Listare7311"/>
    <w:uiPriority w:val="99"/>
    <w:semiHidden/>
    <w:unhideWhenUsed/>
    <w:qFormat/>
    <w:rsid w:val="00ea1435"/>
  </w:style>
  <w:style w:type="numbering" w:styleId="FrListare8311" w:customStyle="1">
    <w:name w:val="Fără Listare8311"/>
    <w:semiHidden/>
    <w:qFormat/>
    <w:rsid w:val="00ea1435"/>
  </w:style>
  <w:style w:type="numbering" w:styleId="FrListare9311" w:customStyle="1">
    <w:name w:val="Fără Listare9311"/>
    <w:uiPriority w:val="99"/>
    <w:semiHidden/>
    <w:unhideWhenUsed/>
    <w:qFormat/>
    <w:rsid w:val="00ea1435"/>
  </w:style>
  <w:style w:type="numbering" w:styleId="FrListare10311" w:customStyle="1">
    <w:name w:val="Fără Listare10311"/>
    <w:uiPriority w:val="99"/>
    <w:semiHidden/>
    <w:unhideWhenUsed/>
    <w:qFormat/>
    <w:rsid w:val="00ea1435"/>
  </w:style>
  <w:style w:type="numbering" w:styleId="FrListare111311" w:customStyle="1">
    <w:name w:val="Fără Listare111311"/>
    <w:uiPriority w:val="99"/>
    <w:semiHidden/>
    <w:unhideWhenUsed/>
    <w:qFormat/>
    <w:rsid w:val="00ea1435"/>
  </w:style>
  <w:style w:type="numbering" w:styleId="FrListare12311" w:customStyle="1">
    <w:name w:val="Fără Listare12311"/>
    <w:uiPriority w:val="99"/>
    <w:semiHidden/>
    <w:unhideWhenUsed/>
    <w:qFormat/>
    <w:rsid w:val="00ea1435"/>
  </w:style>
  <w:style w:type="numbering" w:styleId="FrListare13311" w:customStyle="1">
    <w:name w:val="Fără Listare13311"/>
    <w:uiPriority w:val="99"/>
    <w:semiHidden/>
    <w:unhideWhenUsed/>
    <w:qFormat/>
    <w:rsid w:val="00ea1435"/>
  </w:style>
  <w:style w:type="numbering" w:styleId="FrListare14311" w:customStyle="1">
    <w:name w:val="Fără Listare14311"/>
    <w:uiPriority w:val="99"/>
    <w:semiHidden/>
    <w:unhideWhenUsed/>
    <w:qFormat/>
    <w:rsid w:val="00ea1435"/>
  </w:style>
  <w:style w:type="numbering" w:styleId="FrListare15311" w:customStyle="1">
    <w:name w:val="Fără Listare15311"/>
    <w:uiPriority w:val="99"/>
    <w:semiHidden/>
    <w:unhideWhenUsed/>
    <w:qFormat/>
    <w:rsid w:val="00ea1435"/>
  </w:style>
  <w:style w:type="numbering" w:styleId="FrListare16311" w:customStyle="1">
    <w:name w:val="Fără Listare16311"/>
    <w:semiHidden/>
    <w:qFormat/>
    <w:rsid w:val="00ea1435"/>
  </w:style>
  <w:style w:type="numbering" w:styleId="FrListare17311" w:customStyle="1">
    <w:name w:val="Fără Listare17311"/>
    <w:uiPriority w:val="99"/>
    <w:semiHidden/>
    <w:unhideWhenUsed/>
    <w:qFormat/>
    <w:rsid w:val="00ea1435"/>
  </w:style>
  <w:style w:type="numbering" w:styleId="FrListare18311" w:customStyle="1">
    <w:name w:val="Fără Listare18311"/>
    <w:uiPriority w:val="99"/>
    <w:semiHidden/>
    <w:unhideWhenUsed/>
    <w:qFormat/>
    <w:rsid w:val="00ea1435"/>
  </w:style>
  <w:style w:type="numbering" w:styleId="FrListare19311" w:customStyle="1">
    <w:name w:val="Fără Listare19311"/>
    <w:uiPriority w:val="99"/>
    <w:semiHidden/>
    <w:unhideWhenUsed/>
    <w:qFormat/>
    <w:rsid w:val="00ea1435"/>
  </w:style>
  <w:style w:type="numbering" w:styleId="FrListare20311" w:customStyle="1">
    <w:name w:val="Fără Listare20311"/>
    <w:uiPriority w:val="99"/>
    <w:semiHidden/>
    <w:unhideWhenUsed/>
    <w:qFormat/>
    <w:rsid w:val="00ea1435"/>
  </w:style>
  <w:style w:type="numbering" w:styleId="FrListare110311" w:customStyle="1">
    <w:name w:val="Fără Listare110311"/>
    <w:uiPriority w:val="99"/>
    <w:semiHidden/>
    <w:unhideWhenUsed/>
    <w:qFormat/>
    <w:rsid w:val="00ea1435"/>
  </w:style>
  <w:style w:type="numbering" w:styleId="FrListare21411" w:customStyle="1">
    <w:name w:val="Fără Listare21411"/>
    <w:uiPriority w:val="99"/>
    <w:semiHidden/>
    <w:unhideWhenUsed/>
    <w:qFormat/>
    <w:rsid w:val="00ea1435"/>
  </w:style>
  <w:style w:type="numbering" w:styleId="FrListare22311" w:customStyle="1">
    <w:name w:val="Fără Listare22311"/>
    <w:uiPriority w:val="99"/>
    <w:semiHidden/>
    <w:unhideWhenUsed/>
    <w:qFormat/>
    <w:rsid w:val="00ea1435"/>
  </w:style>
  <w:style w:type="numbering" w:styleId="FrListare23311" w:customStyle="1">
    <w:name w:val="Fără Listare23311"/>
    <w:uiPriority w:val="99"/>
    <w:semiHidden/>
    <w:unhideWhenUsed/>
    <w:qFormat/>
    <w:rsid w:val="00ea1435"/>
  </w:style>
  <w:style w:type="numbering" w:styleId="FrListare24311" w:customStyle="1">
    <w:name w:val="Fără Listare24311"/>
    <w:semiHidden/>
    <w:qFormat/>
    <w:rsid w:val="00ea1435"/>
  </w:style>
  <w:style w:type="numbering" w:styleId="FrListare11111112" w:customStyle="1">
    <w:name w:val="Fără Listare11111112"/>
    <w:uiPriority w:val="99"/>
    <w:semiHidden/>
    <w:qFormat/>
    <w:rsid w:val="00ea1435"/>
  </w:style>
  <w:style w:type="numbering" w:styleId="FrListare1121112" w:customStyle="1">
    <w:name w:val="Fără Listare1121112"/>
    <w:uiPriority w:val="99"/>
    <w:semiHidden/>
    <w:qFormat/>
    <w:rsid w:val="00ea1435"/>
  </w:style>
  <w:style w:type="numbering" w:styleId="FrListare25311" w:customStyle="1">
    <w:name w:val="Fără Listare25311"/>
    <w:uiPriority w:val="99"/>
    <w:semiHidden/>
    <w:unhideWhenUsed/>
    <w:qFormat/>
    <w:rsid w:val="00ea1435"/>
  </w:style>
  <w:style w:type="numbering" w:styleId="FrListare311112" w:customStyle="1">
    <w:name w:val="Fără Listare311112"/>
    <w:semiHidden/>
    <w:unhideWhenUsed/>
    <w:qFormat/>
    <w:rsid w:val="00ea1435"/>
  </w:style>
  <w:style w:type="numbering" w:styleId="FrListare411112" w:customStyle="1">
    <w:name w:val="Fără Listare411112"/>
    <w:semiHidden/>
    <w:unhideWhenUsed/>
    <w:qFormat/>
    <w:rsid w:val="00ea1435"/>
  </w:style>
  <w:style w:type="numbering" w:styleId="FrListare511112" w:customStyle="1">
    <w:name w:val="Fără Listare511112"/>
    <w:uiPriority w:val="99"/>
    <w:semiHidden/>
    <w:unhideWhenUsed/>
    <w:qFormat/>
    <w:rsid w:val="00ea1435"/>
  </w:style>
  <w:style w:type="numbering" w:styleId="FrListare611112" w:customStyle="1">
    <w:name w:val="Fără Listare611112"/>
    <w:uiPriority w:val="99"/>
    <w:semiHidden/>
    <w:unhideWhenUsed/>
    <w:qFormat/>
    <w:rsid w:val="00ea1435"/>
  </w:style>
  <w:style w:type="numbering" w:styleId="FrListare711112" w:customStyle="1">
    <w:name w:val="Fără Listare711112"/>
    <w:uiPriority w:val="99"/>
    <w:semiHidden/>
    <w:unhideWhenUsed/>
    <w:qFormat/>
    <w:rsid w:val="00ea1435"/>
  </w:style>
  <w:style w:type="numbering" w:styleId="FrListare811112" w:customStyle="1">
    <w:name w:val="Fără Listare811112"/>
    <w:semiHidden/>
    <w:qFormat/>
    <w:rsid w:val="00ea1435"/>
  </w:style>
  <w:style w:type="numbering" w:styleId="FrListare911112" w:customStyle="1">
    <w:name w:val="Fără Listare911112"/>
    <w:uiPriority w:val="99"/>
    <w:semiHidden/>
    <w:unhideWhenUsed/>
    <w:qFormat/>
    <w:rsid w:val="00ea1435"/>
  </w:style>
  <w:style w:type="numbering" w:styleId="FrListare1011112" w:customStyle="1">
    <w:name w:val="Fără Listare1011112"/>
    <w:uiPriority w:val="99"/>
    <w:semiHidden/>
    <w:unhideWhenUsed/>
    <w:qFormat/>
    <w:rsid w:val="00ea1435"/>
  </w:style>
  <w:style w:type="numbering" w:styleId="FrListare111111112" w:customStyle="1">
    <w:name w:val="Fără Listare111111112"/>
    <w:uiPriority w:val="99"/>
    <w:semiHidden/>
    <w:unhideWhenUsed/>
    <w:qFormat/>
    <w:rsid w:val="00ea1435"/>
  </w:style>
  <w:style w:type="numbering" w:styleId="FrListare1211112" w:customStyle="1">
    <w:name w:val="Fără Listare1211112"/>
    <w:uiPriority w:val="99"/>
    <w:semiHidden/>
    <w:unhideWhenUsed/>
    <w:qFormat/>
    <w:rsid w:val="00ea1435"/>
  </w:style>
  <w:style w:type="numbering" w:styleId="FrListare1311112" w:customStyle="1">
    <w:name w:val="Fără Listare1311112"/>
    <w:uiPriority w:val="99"/>
    <w:semiHidden/>
    <w:unhideWhenUsed/>
    <w:qFormat/>
    <w:rsid w:val="00ea1435"/>
  </w:style>
  <w:style w:type="numbering" w:styleId="FrListare1411112" w:customStyle="1">
    <w:name w:val="Fără Listare1411112"/>
    <w:uiPriority w:val="99"/>
    <w:semiHidden/>
    <w:unhideWhenUsed/>
    <w:qFormat/>
    <w:rsid w:val="00ea1435"/>
  </w:style>
  <w:style w:type="numbering" w:styleId="FrListare1511112" w:customStyle="1">
    <w:name w:val="Fără Listare1511112"/>
    <w:uiPriority w:val="99"/>
    <w:semiHidden/>
    <w:unhideWhenUsed/>
    <w:qFormat/>
    <w:rsid w:val="00ea1435"/>
  </w:style>
  <w:style w:type="numbering" w:styleId="FrListare1611112" w:customStyle="1">
    <w:name w:val="Fără Listare1611112"/>
    <w:semiHidden/>
    <w:qFormat/>
    <w:rsid w:val="00ea1435"/>
  </w:style>
  <w:style w:type="numbering" w:styleId="FrListare1711112" w:customStyle="1">
    <w:name w:val="Fără Listare1711112"/>
    <w:uiPriority w:val="99"/>
    <w:semiHidden/>
    <w:unhideWhenUsed/>
    <w:qFormat/>
    <w:rsid w:val="00ea1435"/>
  </w:style>
  <w:style w:type="numbering" w:styleId="FrListare1811112" w:customStyle="1">
    <w:name w:val="Fără Listare1811112"/>
    <w:uiPriority w:val="99"/>
    <w:semiHidden/>
    <w:unhideWhenUsed/>
    <w:qFormat/>
    <w:rsid w:val="00ea1435"/>
  </w:style>
  <w:style w:type="numbering" w:styleId="FrListare1911112" w:customStyle="1">
    <w:name w:val="Fără Listare1911112"/>
    <w:uiPriority w:val="99"/>
    <w:semiHidden/>
    <w:unhideWhenUsed/>
    <w:qFormat/>
    <w:rsid w:val="00ea1435"/>
  </w:style>
  <w:style w:type="numbering" w:styleId="FrListare2011112" w:customStyle="1">
    <w:name w:val="Fără Listare2011112"/>
    <w:uiPriority w:val="99"/>
    <w:semiHidden/>
    <w:unhideWhenUsed/>
    <w:qFormat/>
    <w:rsid w:val="00ea1435"/>
  </w:style>
  <w:style w:type="numbering" w:styleId="FrListare11011112" w:customStyle="1">
    <w:name w:val="Fără Listare11011112"/>
    <w:uiPriority w:val="99"/>
    <w:semiHidden/>
    <w:unhideWhenUsed/>
    <w:qFormat/>
    <w:rsid w:val="00ea1435"/>
  </w:style>
  <w:style w:type="numbering" w:styleId="FrListare2111112" w:customStyle="1">
    <w:name w:val="Fără Listare2111112"/>
    <w:uiPriority w:val="99"/>
    <w:semiHidden/>
    <w:unhideWhenUsed/>
    <w:qFormat/>
    <w:rsid w:val="00ea1435"/>
  </w:style>
  <w:style w:type="numbering" w:styleId="FrListare2211112" w:customStyle="1">
    <w:name w:val="Fără Listare2211112"/>
    <w:uiPriority w:val="99"/>
    <w:semiHidden/>
    <w:unhideWhenUsed/>
    <w:qFormat/>
    <w:rsid w:val="00ea1435"/>
  </w:style>
  <w:style w:type="numbering" w:styleId="FrListare2311112" w:customStyle="1">
    <w:name w:val="Fără Listare2311112"/>
    <w:uiPriority w:val="99"/>
    <w:semiHidden/>
    <w:unhideWhenUsed/>
    <w:qFormat/>
    <w:rsid w:val="00ea1435"/>
  </w:style>
  <w:style w:type="numbering" w:styleId="FrListare26311" w:customStyle="1">
    <w:name w:val="Fără Listare26311"/>
    <w:uiPriority w:val="99"/>
    <w:semiHidden/>
    <w:unhideWhenUsed/>
    <w:qFormat/>
    <w:rsid w:val="00ea1435"/>
  </w:style>
  <w:style w:type="numbering" w:styleId="FrListare701" w:customStyle="1">
    <w:name w:val="Fără Listare701"/>
    <w:uiPriority w:val="99"/>
    <w:semiHidden/>
    <w:unhideWhenUsed/>
    <w:qFormat/>
    <w:rsid w:val="00ea1435"/>
  </w:style>
  <w:style w:type="numbering" w:styleId="FrListare751" w:customStyle="1">
    <w:name w:val="Fără Listare751"/>
    <w:uiPriority w:val="99"/>
    <w:semiHidden/>
    <w:unhideWhenUsed/>
    <w:qFormat/>
    <w:rsid w:val="00ea1435"/>
  </w:style>
  <w:style w:type="numbering" w:styleId="FrListare78" w:customStyle="1">
    <w:name w:val="Fără Listare78"/>
    <w:uiPriority w:val="99"/>
    <w:semiHidden/>
    <w:unhideWhenUsed/>
    <w:qFormat/>
    <w:rsid w:val="00ea1435"/>
  </w:style>
  <w:style w:type="numbering" w:styleId="FrListare126" w:customStyle="1">
    <w:name w:val="Fără Listare126"/>
    <w:uiPriority w:val="99"/>
    <w:semiHidden/>
    <w:unhideWhenUsed/>
    <w:qFormat/>
    <w:rsid w:val="00ea1435"/>
  </w:style>
  <w:style w:type="numbering" w:styleId="FrListare219" w:customStyle="1">
    <w:name w:val="Fără Listare219"/>
    <w:uiPriority w:val="99"/>
    <w:semiHidden/>
    <w:unhideWhenUsed/>
    <w:qFormat/>
    <w:rsid w:val="00ea1435"/>
  </w:style>
  <w:style w:type="numbering" w:styleId="FrListare316" w:customStyle="1">
    <w:name w:val="Fără Listare316"/>
    <w:semiHidden/>
    <w:qFormat/>
    <w:rsid w:val="00ea1435"/>
  </w:style>
  <w:style w:type="numbering" w:styleId="FrListare416" w:customStyle="1">
    <w:name w:val="Fără Listare416"/>
    <w:semiHidden/>
    <w:qFormat/>
    <w:rsid w:val="00ea1435"/>
  </w:style>
  <w:style w:type="numbering" w:styleId="FrListare516" w:customStyle="1">
    <w:name w:val="Fără Listare516"/>
    <w:uiPriority w:val="99"/>
    <w:semiHidden/>
    <w:unhideWhenUsed/>
    <w:qFormat/>
    <w:rsid w:val="00ea1435"/>
  </w:style>
  <w:style w:type="numbering" w:styleId="FrListare615" w:customStyle="1">
    <w:name w:val="Fără Listare615"/>
    <w:uiPriority w:val="99"/>
    <w:semiHidden/>
    <w:unhideWhenUsed/>
    <w:qFormat/>
    <w:rsid w:val="00ea1435"/>
  </w:style>
  <w:style w:type="numbering" w:styleId="FrListare79" w:customStyle="1">
    <w:name w:val="Fără Listare79"/>
    <w:uiPriority w:val="99"/>
    <w:semiHidden/>
    <w:unhideWhenUsed/>
    <w:qFormat/>
    <w:rsid w:val="00ea1435"/>
  </w:style>
  <w:style w:type="numbering" w:styleId="FrListare86" w:customStyle="1">
    <w:name w:val="Fără Listare86"/>
    <w:semiHidden/>
    <w:qFormat/>
    <w:rsid w:val="00ea1435"/>
  </w:style>
  <w:style w:type="numbering" w:styleId="FrListare96" w:customStyle="1">
    <w:name w:val="Fără Listare96"/>
    <w:uiPriority w:val="99"/>
    <w:semiHidden/>
    <w:unhideWhenUsed/>
    <w:qFormat/>
    <w:rsid w:val="00ea1435"/>
  </w:style>
  <w:style w:type="numbering" w:styleId="FrListare106" w:customStyle="1">
    <w:name w:val="Fără Listare106"/>
    <w:uiPriority w:val="99"/>
    <w:semiHidden/>
    <w:unhideWhenUsed/>
    <w:qFormat/>
    <w:rsid w:val="00ea1435"/>
  </w:style>
  <w:style w:type="numbering" w:styleId="FrListare1117" w:customStyle="1">
    <w:name w:val="Fără Listare1117"/>
    <w:uiPriority w:val="99"/>
    <w:semiHidden/>
    <w:unhideWhenUsed/>
    <w:qFormat/>
    <w:rsid w:val="00ea1435"/>
  </w:style>
  <w:style w:type="numbering" w:styleId="FrListare127" w:customStyle="1">
    <w:name w:val="Fără Listare127"/>
    <w:uiPriority w:val="99"/>
    <w:semiHidden/>
    <w:unhideWhenUsed/>
    <w:qFormat/>
    <w:rsid w:val="00ea1435"/>
  </w:style>
  <w:style w:type="numbering" w:styleId="FrListare136" w:customStyle="1">
    <w:name w:val="Fără Listare136"/>
    <w:uiPriority w:val="99"/>
    <w:semiHidden/>
    <w:unhideWhenUsed/>
    <w:qFormat/>
    <w:rsid w:val="00ea1435"/>
  </w:style>
  <w:style w:type="numbering" w:styleId="FrListare146" w:customStyle="1">
    <w:name w:val="Fără Listare146"/>
    <w:uiPriority w:val="99"/>
    <w:semiHidden/>
    <w:unhideWhenUsed/>
    <w:qFormat/>
    <w:rsid w:val="00ea1435"/>
  </w:style>
  <w:style w:type="numbering" w:styleId="FrListare156" w:customStyle="1">
    <w:name w:val="Fără Listare156"/>
    <w:uiPriority w:val="99"/>
    <w:semiHidden/>
    <w:unhideWhenUsed/>
    <w:qFormat/>
    <w:rsid w:val="00ea1435"/>
  </w:style>
  <w:style w:type="numbering" w:styleId="FrListare166" w:customStyle="1">
    <w:name w:val="Fără Listare166"/>
    <w:semiHidden/>
    <w:qFormat/>
    <w:rsid w:val="00ea1435"/>
  </w:style>
  <w:style w:type="numbering" w:styleId="FrListare176" w:customStyle="1">
    <w:name w:val="Fără Listare176"/>
    <w:uiPriority w:val="99"/>
    <w:semiHidden/>
    <w:unhideWhenUsed/>
    <w:qFormat/>
    <w:rsid w:val="00ea1435"/>
  </w:style>
  <w:style w:type="numbering" w:styleId="FrListare186" w:customStyle="1">
    <w:name w:val="Fără Listare186"/>
    <w:uiPriority w:val="99"/>
    <w:semiHidden/>
    <w:unhideWhenUsed/>
    <w:qFormat/>
    <w:rsid w:val="00ea1435"/>
  </w:style>
  <w:style w:type="numbering" w:styleId="FrListare196" w:customStyle="1">
    <w:name w:val="Fără Listare196"/>
    <w:uiPriority w:val="99"/>
    <w:semiHidden/>
    <w:unhideWhenUsed/>
    <w:qFormat/>
    <w:rsid w:val="00ea1435"/>
  </w:style>
  <w:style w:type="numbering" w:styleId="FrListare206" w:customStyle="1">
    <w:name w:val="Fără Listare206"/>
    <w:uiPriority w:val="99"/>
    <w:semiHidden/>
    <w:unhideWhenUsed/>
    <w:qFormat/>
    <w:rsid w:val="00ea1435"/>
  </w:style>
  <w:style w:type="numbering" w:styleId="FrListare1106" w:customStyle="1">
    <w:name w:val="Fără Listare1106"/>
    <w:uiPriority w:val="99"/>
    <w:semiHidden/>
    <w:unhideWhenUsed/>
    <w:qFormat/>
    <w:rsid w:val="00ea1435"/>
  </w:style>
  <w:style w:type="numbering" w:styleId="FrListare2110" w:customStyle="1">
    <w:name w:val="Fără Listare2110"/>
    <w:uiPriority w:val="99"/>
    <w:semiHidden/>
    <w:qFormat/>
    <w:rsid w:val="00ea1435"/>
  </w:style>
  <w:style w:type="numbering" w:styleId="FrListare226" w:customStyle="1">
    <w:name w:val="Fără Listare226"/>
    <w:uiPriority w:val="99"/>
    <w:semiHidden/>
    <w:qFormat/>
    <w:rsid w:val="00ea1435"/>
  </w:style>
  <w:style w:type="numbering" w:styleId="FrListare236" w:customStyle="1">
    <w:name w:val="Fără Listare236"/>
    <w:uiPriority w:val="99"/>
    <w:semiHidden/>
    <w:qFormat/>
    <w:rsid w:val="00ea1435"/>
  </w:style>
  <w:style w:type="numbering" w:styleId="FrListare246" w:customStyle="1">
    <w:name w:val="Fără Listare246"/>
    <w:uiPriority w:val="99"/>
    <w:semiHidden/>
    <w:unhideWhenUsed/>
    <w:qFormat/>
    <w:rsid w:val="00ea1435"/>
  </w:style>
  <w:style w:type="numbering" w:styleId="FrListare256" w:customStyle="1">
    <w:name w:val="Fără Listare256"/>
    <w:semiHidden/>
    <w:qFormat/>
    <w:rsid w:val="00ea1435"/>
  </w:style>
  <w:style w:type="numbering" w:styleId="FrListare1118" w:customStyle="1">
    <w:name w:val="Fără Listare1118"/>
    <w:semiHidden/>
    <w:unhideWhenUsed/>
    <w:qFormat/>
    <w:rsid w:val="00ea1435"/>
  </w:style>
  <w:style w:type="numbering" w:styleId="FrListare266" w:customStyle="1">
    <w:name w:val="Fără Listare266"/>
    <w:uiPriority w:val="99"/>
    <w:semiHidden/>
    <w:unhideWhenUsed/>
    <w:qFormat/>
    <w:rsid w:val="00ea1435"/>
  </w:style>
  <w:style w:type="numbering" w:styleId="FrListare275" w:customStyle="1">
    <w:name w:val="Fără Listare275"/>
    <w:semiHidden/>
    <w:qFormat/>
    <w:rsid w:val="00ea1435"/>
  </w:style>
  <w:style w:type="numbering" w:styleId="FrListare283" w:customStyle="1">
    <w:name w:val="Fără Listare283"/>
    <w:uiPriority w:val="99"/>
    <w:semiHidden/>
    <w:unhideWhenUsed/>
    <w:qFormat/>
    <w:rsid w:val="00ea1435"/>
  </w:style>
  <w:style w:type="numbering" w:styleId="FrListare1124" w:customStyle="1">
    <w:name w:val="Fără Listare1124"/>
    <w:uiPriority w:val="99"/>
    <w:semiHidden/>
    <w:unhideWhenUsed/>
    <w:qFormat/>
    <w:rsid w:val="00ea1435"/>
  </w:style>
  <w:style w:type="numbering" w:styleId="FrListare293" w:customStyle="1">
    <w:name w:val="Fără Listare293"/>
    <w:uiPriority w:val="99"/>
    <w:semiHidden/>
    <w:unhideWhenUsed/>
    <w:qFormat/>
    <w:rsid w:val="00ea1435"/>
  </w:style>
  <w:style w:type="numbering" w:styleId="FrListare317" w:customStyle="1">
    <w:name w:val="Fără Listare317"/>
    <w:semiHidden/>
    <w:qFormat/>
    <w:rsid w:val="00ea1435"/>
  </w:style>
  <w:style w:type="numbering" w:styleId="FrListare417" w:customStyle="1">
    <w:name w:val="Fără Listare417"/>
    <w:semiHidden/>
    <w:qFormat/>
    <w:rsid w:val="00ea1435"/>
  </w:style>
  <w:style w:type="numbering" w:styleId="FrListare517" w:customStyle="1">
    <w:name w:val="Fără Listare517"/>
    <w:uiPriority w:val="99"/>
    <w:semiHidden/>
    <w:unhideWhenUsed/>
    <w:qFormat/>
    <w:rsid w:val="00ea1435"/>
  </w:style>
  <w:style w:type="numbering" w:styleId="FrListare616" w:customStyle="1">
    <w:name w:val="Fără Listare616"/>
    <w:uiPriority w:val="99"/>
    <w:semiHidden/>
    <w:unhideWhenUsed/>
    <w:qFormat/>
    <w:rsid w:val="00ea1435"/>
  </w:style>
  <w:style w:type="numbering" w:styleId="FrListare714" w:customStyle="1">
    <w:name w:val="Fără Listare714"/>
    <w:uiPriority w:val="99"/>
    <w:semiHidden/>
    <w:unhideWhenUsed/>
    <w:qFormat/>
    <w:rsid w:val="00ea1435"/>
  </w:style>
  <w:style w:type="numbering" w:styleId="FrListare814" w:customStyle="1">
    <w:name w:val="Fără Listare814"/>
    <w:semiHidden/>
    <w:qFormat/>
    <w:rsid w:val="00ea1435"/>
  </w:style>
  <w:style w:type="numbering" w:styleId="FrListare914" w:customStyle="1">
    <w:name w:val="Fără Listare914"/>
    <w:uiPriority w:val="99"/>
    <w:semiHidden/>
    <w:unhideWhenUsed/>
    <w:qFormat/>
    <w:rsid w:val="00ea1435"/>
  </w:style>
  <w:style w:type="numbering" w:styleId="FrListare1014" w:customStyle="1">
    <w:name w:val="Fără Listare1014"/>
    <w:uiPriority w:val="99"/>
    <w:semiHidden/>
    <w:unhideWhenUsed/>
    <w:qFormat/>
    <w:rsid w:val="00ea1435"/>
  </w:style>
  <w:style w:type="numbering" w:styleId="FrListare1133" w:customStyle="1">
    <w:name w:val="Fără Listare1133"/>
    <w:uiPriority w:val="99"/>
    <w:semiHidden/>
    <w:unhideWhenUsed/>
    <w:qFormat/>
    <w:rsid w:val="00ea1435"/>
  </w:style>
  <w:style w:type="numbering" w:styleId="FrListare1214" w:customStyle="1">
    <w:name w:val="Fără Listare1214"/>
    <w:uiPriority w:val="99"/>
    <w:semiHidden/>
    <w:unhideWhenUsed/>
    <w:qFormat/>
    <w:rsid w:val="00ea1435"/>
  </w:style>
  <w:style w:type="numbering" w:styleId="FrListare1314" w:customStyle="1">
    <w:name w:val="Fără Listare1314"/>
    <w:uiPriority w:val="99"/>
    <w:semiHidden/>
    <w:unhideWhenUsed/>
    <w:qFormat/>
    <w:rsid w:val="00ea1435"/>
  </w:style>
  <w:style w:type="numbering" w:styleId="FrListare1414" w:customStyle="1">
    <w:name w:val="Fără Listare1414"/>
    <w:uiPriority w:val="99"/>
    <w:semiHidden/>
    <w:unhideWhenUsed/>
    <w:qFormat/>
    <w:rsid w:val="00ea1435"/>
  </w:style>
  <w:style w:type="numbering" w:styleId="FrListare1514" w:customStyle="1">
    <w:name w:val="Fără Listare1514"/>
    <w:uiPriority w:val="99"/>
    <w:semiHidden/>
    <w:unhideWhenUsed/>
    <w:qFormat/>
    <w:rsid w:val="00ea1435"/>
  </w:style>
  <w:style w:type="numbering" w:styleId="FrListare1614" w:customStyle="1">
    <w:name w:val="Fără Listare1614"/>
    <w:semiHidden/>
    <w:qFormat/>
    <w:rsid w:val="00ea1435"/>
  </w:style>
  <w:style w:type="numbering" w:styleId="FrListare1714" w:customStyle="1">
    <w:name w:val="Fără Listare1714"/>
    <w:uiPriority w:val="99"/>
    <w:semiHidden/>
    <w:unhideWhenUsed/>
    <w:qFormat/>
    <w:rsid w:val="00ea1435"/>
  </w:style>
  <w:style w:type="numbering" w:styleId="FrListare1814" w:customStyle="1">
    <w:name w:val="Fără Listare1814"/>
    <w:uiPriority w:val="99"/>
    <w:semiHidden/>
    <w:unhideWhenUsed/>
    <w:qFormat/>
    <w:rsid w:val="00ea1435"/>
  </w:style>
  <w:style w:type="numbering" w:styleId="FrListare1914" w:customStyle="1">
    <w:name w:val="Fără Listare1914"/>
    <w:uiPriority w:val="99"/>
    <w:semiHidden/>
    <w:unhideWhenUsed/>
    <w:qFormat/>
    <w:rsid w:val="00ea1435"/>
  </w:style>
  <w:style w:type="numbering" w:styleId="FrListare2014" w:customStyle="1">
    <w:name w:val="Fără Listare2014"/>
    <w:uiPriority w:val="99"/>
    <w:semiHidden/>
    <w:unhideWhenUsed/>
    <w:qFormat/>
    <w:rsid w:val="00ea1435"/>
  </w:style>
  <w:style w:type="numbering" w:styleId="FrListare11014" w:customStyle="1">
    <w:name w:val="Fără Listare11014"/>
    <w:uiPriority w:val="99"/>
    <w:semiHidden/>
    <w:unhideWhenUsed/>
    <w:qFormat/>
    <w:rsid w:val="00ea1435"/>
  </w:style>
  <w:style w:type="numbering" w:styleId="FrListare2114" w:customStyle="1">
    <w:name w:val="Fără Listare2114"/>
    <w:semiHidden/>
    <w:qFormat/>
    <w:rsid w:val="00ea1435"/>
  </w:style>
  <w:style w:type="numbering" w:styleId="FrListare2214" w:customStyle="1">
    <w:name w:val="Fără Listare2214"/>
    <w:semiHidden/>
    <w:qFormat/>
    <w:rsid w:val="00ea1435"/>
  </w:style>
  <w:style w:type="numbering" w:styleId="FrListare2314" w:customStyle="1">
    <w:name w:val="Fără Listare2314"/>
    <w:semiHidden/>
    <w:qFormat/>
    <w:rsid w:val="00ea1435"/>
  </w:style>
  <w:style w:type="numbering" w:styleId="FrListare2413" w:customStyle="1">
    <w:name w:val="Fără Listare2413"/>
    <w:uiPriority w:val="99"/>
    <w:semiHidden/>
    <w:unhideWhenUsed/>
    <w:qFormat/>
    <w:rsid w:val="00ea1435"/>
  </w:style>
  <w:style w:type="numbering" w:styleId="FrListare2513" w:customStyle="1">
    <w:name w:val="Fără Listare2513"/>
    <w:semiHidden/>
    <w:qFormat/>
    <w:rsid w:val="00ea1435"/>
  </w:style>
  <w:style w:type="numbering" w:styleId="FrListare11114" w:customStyle="1">
    <w:name w:val="Fără Listare11114"/>
    <w:semiHidden/>
    <w:unhideWhenUsed/>
    <w:qFormat/>
    <w:rsid w:val="00ea1435"/>
  </w:style>
  <w:style w:type="numbering" w:styleId="FrListare2613" w:customStyle="1">
    <w:name w:val="Fără Listare2613"/>
    <w:uiPriority w:val="99"/>
    <w:semiHidden/>
    <w:unhideWhenUsed/>
    <w:qFormat/>
    <w:rsid w:val="00ea1435"/>
  </w:style>
  <w:style w:type="numbering" w:styleId="FrListare2713" w:customStyle="1">
    <w:name w:val="Fără Listare2713"/>
    <w:semiHidden/>
    <w:qFormat/>
    <w:rsid w:val="00ea1435"/>
  </w:style>
  <w:style w:type="numbering" w:styleId="FrListare303" w:customStyle="1">
    <w:name w:val="Fără Listare303"/>
    <w:uiPriority w:val="99"/>
    <w:semiHidden/>
    <w:unhideWhenUsed/>
    <w:qFormat/>
    <w:rsid w:val="00ea1435"/>
  </w:style>
  <w:style w:type="numbering" w:styleId="FrListare1143" w:customStyle="1">
    <w:name w:val="Fără Listare1143"/>
    <w:uiPriority w:val="99"/>
    <w:semiHidden/>
    <w:unhideWhenUsed/>
    <w:qFormat/>
    <w:rsid w:val="00ea1435"/>
  </w:style>
  <w:style w:type="numbering" w:styleId="FrListare2103" w:customStyle="1">
    <w:name w:val="Fără Listare2103"/>
    <w:uiPriority w:val="99"/>
    <w:semiHidden/>
    <w:unhideWhenUsed/>
    <w:qFormat/>
    <w:rsid w:val="00ea1435"/>
  </w:style>
  <w:style w:type="numbering" w:styleId="FrListare323" w:customStyle="1">
    <w:name w:val="Fără Listare323"/>
    <w:semiHidden/>
    <w:qFormat/>
    <w:rsid w:val="00ea1435"/>
  </w:style>
  <w:style w:type="numbering" w:styleId="FrListare423" w:customStyle="1">
    <w:name w:val="Fără Listare423"/>
    <w:semiHidden/>
    <w:qFormat/>
    <w:rsid w:val="00ea1435"/>
  </w:style>
  <w:style w:type="numbering" w:styleId="FrListare523" w:customStyle="1">
    <w:name w:val="Fără Listare523"/>
    <w:uiPriority w:val="99"/>
    <w:semiHidden/>
    <w:unhideWhenUsed/>
    <w:qFormat/>
    <w:rsid w:val="00ea1435"/>
  </w:style>
  <w:style w:type="numbering" w:styleId="FrListare623" w:customStyle="1">
    <w:name w:val="Fără Listare623"/>
    <w:uiPriority w:val="99"/>
    <w:semiHidden/>
    <w:unhideWhenUsed/>
    <w:qFormat/>
    <w:rsid w:val="00ea1435"/>
  </w:style>
  <w:style w:type="numbering" w:styleId="FrListare723" w:customStyle="1">
    <w:name w:val="Fără Listare723"/>
    <w:uiPriority w:val="99"/>
    <w:semiHidden/>
    <w:unhideWhenUsed/>
    <w:qFormat/>
    <w:rsid w:val="00ea1435"/>
  </w:style>
  <w:style w:type="numbering" w:styleId="FrListare823" w:customStyle="1">
    <w:name w:val="Fără Listare823"/>
    <w:semiHidden/>
    <w:qFormat/>
    <w:rsid w:val="00ea1435"/>
  </w:style>
  <w:style w:type="numbering" w:styleId="FrListare923" w:customStyle="1">
    <w:name w:val="Fără Listare923"/>
    <w:uiPriority w:val="99"/>
    <w:semiHidden/>
    <w:unhideWhenUsed/>
    <w:qFormat/>
    <w:rsid w:val="00ea1435"/>
  </w:style>
  <w:style w:type="numbering" w:styleId="FrListare1023" w:customStyle="1">
    <w:name w:val="Fără Listare1023"/>
    <w:uiPriority w:val="99"/>
    <w:semiHidden/>
    <w:unhideWhenUsed/>
    <w:qFormat/>
    <w:rsid w:val="00ea1435"/>
  </w:style>
  <w:style w:type="numbering" w:styleId="FrListare1153" w:customStyle="1">
    <w:name w:val="Fără Listare1153"/>
    <w:uiPriority w:val="99"/>
    <w:semiHidden/>
    <w:unhideWhenUsed/>
    <w:qFormat/>
    <w:rsid w:val="00ea1435"/>
  </w:style>
  <w:style w:type="numbering" w:styleId="FrListare1223" w:customStyle="1">
    <w:name w:val="Fără Listare1223"/>
    <w:uiPriority w:val="99"/>
    <w:semiHidden/>
    <w:unhideWhenUsed/>
    <w:qFormat/>
    <w:rsid w:val="00ea1435"/>
  </w:style>
  <w:style w:type="numbering" w:styleId="FrListare1323" w:customStyle="1">
    <w:name w:val="Fără Listare1323"/>
    <w:uiPriority w:val="99"/>
    <w:semiHidden/>
    <w:unhideWhenUsed/>
    <w:qFormat/>
    <w:rsid w:val="00ea1435"/>
  </w:style>
  <w:style w:type="numbering" w:styleId="FrListare1423" w:customStyle="1">
    <w:name w:val="Fără Listare1423"/>
    <w:uiPriority w:val="99"/>
    <w:semiHidden/>
    <w:unhideWhenUsed/>
    <w:qFormat/>
    <w:rsid w:val="00ea1435"/>
  </w:style>
  <w:style w:type="numbering" w:styleId="FrListare1523" w:customStyle="1">
    <w:name w:val="Fără Listare1523"/>
    <w:uiPriority w:val="99"/>
    <w:semiHidden/>
    <w:unhideWhenUsed/>
    <w:qFormat/>
    <w:rsid w:val="00ea1435"/>
  </w:style>
  <w:style w:type="numbering" w:styleId="FrListare1623" w:customStyle="1">
    <w:name w:val="Fără Listare1623"/>
    <w:semiHidden/>
    <w:qFormat/>
    <w:rsid w:val="00ea1435"/>
  </w:style>
  <w:style w:type="numbering" w:styleId="FrListare1723" w:customStyle="1">
    <w:name w:val="Fără Listare1723"/>
    <w:uiPriority w:val="99"/>
    <w:semiHidden/>
    <w:unhideWhenUsed/>
    <w:qFormat/>
    <w:rsid w:val="00ea1435"/>
  </w:style>
  <w:style w:type="numbering" w:styleId="FrListare1823" w:customStyle="1">
    <w:name w:val="Fără Listare1823"/>
    <w:uiPriority w:val="99"/>
    <w:semiHidden/>
    <w:unhideWhenUsed/>
    <w:qFormat/>
    <w:rsid w:val="00ea1435"/>
  </w:style>
  <w:style w:type="numbering" w:styleId="FrListare1923" w:customStyle="1">
    <w:name w:val="Fără Listare1923"/>
    <w:uiPriority w:val="99"/>
    <w:semiHidden/>
    <w:unhideWhenUsed/>
    <w:qFormat/>
    <w:rsid w:val="00ea1435"/>
  </w:style>
  <w:style w:type="numbering" w:styleId="FrListare2023" w:customStyle="1">
    <w:name w:val="Fără Listare2023"/>
    <w:uiPriority w:val="99"/>
    <w:semiHidden/>
    <w:unhideWhenUsed/>
    <w:qFormat/>
    <w:rsid w:val="00ea1435"/>
  </w:style>
  <w:style w:type="numbering" w:styleId="FrListare11023" w:customStyle="1">
    <w:name w:val="Fără Listare11023"/>
    <w:uiPriority w:val="99"/>
    <w:semiHidden/>
    <w:unhideWhenUsed/>
    <w:qFormat/>
    <w:rsid w:val="00ea1435"/>
  </w:style>
  <w:style w:type="numbering" w:styleId="FrListare2123" w:customStyle="1">
    <w:name w:val="Fără Listare2123"/>
    <w:semiHidden/>
    <w:qFormat/>
    <w:rsid w:val="00ea1435"/>
  </w:style>
  <w:style w:type="numbering" w:styleId="FrListare2223" w:customStyle="1">
    <w:name w:val="Fără Listare2223"/>
    <w:semiHidden/>
    <w:qFormat/>
    <w:rsid w:val="00ea1435"/>
  </w:style>
  <w:style w:type="numbering" w:styleId="FrListare2323" w:customStyle="1">
    <w:name w:val="Fără Listare2323"/>
    <w:semiHidden/>
    <w:qFormat/>
    <w:rsid w:val="00ea1435"/>
  </w:style>
  <w:style w:type="numbering" w:styleId="FrListare2423" w:customStyle="1">
    <w:name w:val="Fără Listare2423"/>
    <w:uiPriority w:val="99"/>
    <w:semiHidden/>
    <w:unhideWhenUsed/>
    <w:qFormat/>
    <w:rsid w:val="00ea1435"/>
  </w:style>
  <w:style w:type="numbering" w:styleId="FrListare2523" w:customStyle="1">
    <w:name w:val="Fără Listare2523"/>
    <w:semiHidden/>
    <w:qFormat/>
    <w:rsid w:val="00ea1435"/>
  </w:style>
  <w:style w:type="numbering" w:styleId="FrListare11123" w:customStyle="1">
    <w:name w:val="Fără Listare11123"/>
    <w:semiHidden/>
    <w:unhideWhenUsed/>
    <w:qFormat/>
    <w:rsid w:val="00ea1435"/>
  </w:style>
  <w:style w:type="numbering" w:styleId="FrListare2623" w:customStyle="1">
    <w:name w:val="Fără Listare2623"/>
    <w:uiPriority w:val="99"/>
    <w:semiHidden/>
    <w:unhideWhenUsed/>
    <w:qFormat/>
    <w:rsid w:val="00ea1435"/>
  </w:style>
  <w:style w:type="numbering" w:styleId="FrListare2723" w:customStyle="1">
    <w:name w:val="Fără Listare2723"/>
    <w:semiHidden/>
    <w:qFormat/>
    <w:rsid w:val="00ea1435"/>
  </w:style>
  <w:style w:type="numbering" w:styleId="FrListare333" w:customStyle="1">
    <w:name w:val="Fără Listare333"/>
    <w:uiPriority w:val="99"/>
    <w:semiHidden/>
    <w:unhideWhenUsed/>
    <w:qFormat/>
    <w:rsid w:val="00ea1435"/>
  </w:style>
  <w:style w:type="numbering" w:styleId="FrListare1163" w:customStyle="1">
    <w:name w:val="Fără Listare1163"/>
    <w:semiHidden/>
    <w:qFormat/>
    <w:rsid w:val="00ea1435"/>
  </w:style>
  <w:style w:type="numbering" w:styleId="FrListare343" w:customStyle="1">
    <w:name w:val="Fără Listare343"/>
    <w:uiPriority w:val="99"/>
    <w:semiHidden/>
    <w:unhideWhenUsed/>
    <w:qFormat/>
    <w:rsid w:val="00ea1435"/>
  </w:style>
  <w:style w:type="numbering" w:styleId="FrListare353" w:customStyle="1">
    <w:name w:val="Fără Listare353"/>
    <w:semiHidden/>
    <w:qFormat/>
    <w:rsid w:val="00ea1435"/>
  </w:style>
  <w:style w:type="numbering" w:styleId="FrListare363" w:customStyle="1">
    <w:name w:val="Fără Listare363"/>
    <w:semiHidden/>
    <w:qFormat/>
    <w:rsid w:val="00ea1435"/>
  </w:style>
  <w:style w:type="numbering" w:styleId="FrListare373" w:customStyle="1">
    <w:name w:val="Fără Listare373"/>
    <w:semiHidden/>
    <w:unhideWhenUsed/>
    <w:qFormat/>
    <w:rsid w:val="00ea1435"/>
  </w:style>
  <w:style w:type="numbering" w:styleId="FrListare383" w:customStyle="1">
    <w:name w:val="Fără Listare383"/>
    <w:semiHidden/>
    <w:qFormat/>
    <w:rsid w:val="00ea1435"/>
  </w:style>
  <w:style w:type="numbering" w:styleId="FrListare393" w:customStyle="1">
    <w:name w:val="Fără Listare393"/>
    <w:uiPriority w:val="99"/>
    <w:semiHidden/>
    <w:unhideWhenUsed/>
    <w:qFormat/>
    <w:rsid w:val="00ea1435"/>
  </w:style>
  <w:style w:type="numbering" w:styleId="FrListare403" w:customStyle="1">
    <w:name w:val="Fără Listare403"/>
    <w:uiPriority w:val="99"/>
    <w:semiHidden/>
    <w:unhideWhenUsed/>
    <w:qFormat/>
    <w:rsid w:val="00ea1435"/>
  </w:style>
  <w:style w:type="numbering" w:styleId="FrListare433" w:customStyle="1">
    <w:name w:val="Fără Listare433"/>
    <w:uiPriority w:val="99"/>
    <w:semiHidden/>
    <w:unhideWhenUsed/>
    <w:qFormat/>
    <w:rsid w:val="00ea1435"/>
  </w:style>
  <w:style w:type="numbering" w:styleId="FrListare443" w:customStyle="1">
    <w:name w:val="Fără Listare443"/>
    <w:uiPriority w:val="99"/>
    <w:semiHidden/>
    <w:unhideWhenUsed/>
    <w:qFormat/>
    <w:rsid w:val="00ea1435"/>
  </w:style>
  <w:style w:type="numbering" w:styleId="FrListare453" w:customStyle="1">
    <w:name w:val="Fără Listare453"/>
    <w:uiPriority w:val="99"/>
    <w:semiHidden/>
    <w:unhideWhenUsed/>
    <w:qFormat/>
    <w:rsid w:val="00ea1435"/>
  </w:style>
  <w:style w:type="numbering" w:styleId="FrListare463" w:customStyle="1">
    <w:name w:val="Fără Listare463"/>
    <w:uiPriority w:val="99"/>
    <w:semiHidden/>
    <w:unhideWhenUsed/>
    <w:qFormat/>
    <w:rsid w:val="00ea1435"/>
  </w:style>
  <w:style w:type="numbering" w:styleId="FrListare473" w:customStyle="1">
    <w:name w:val="Fără Listare473"/>
    <w:uiPriority w:val="99"/>
    <w:semiHidden/>
    <w:unhideWhenUsed/>
    <w:qFormat/>
    <w:rsid w:val="00ea1435"/>
  </w:style>
  <w:style w:type="numbering" w:styleId="FrListare483" w:customStyle="1">
    <w:name w:val="Fără Listare483"/>
    <w:uiPriority w:val="99"/>
    <w:semiHidden/>
    <w:unhideWhenUsed/>
    <w:qFormat/>
    <w:rsid w:val="00ea1435"/>
  </w:style>
  <w:style w:type="numbering" w:styleId="FrListare493" w:customStyle="1">
    <w:name w:val="Fără Listare493"/>
    <w:uiPriority w:val="99"/>
    <w:semiHidden/>
    <w:unhideWhenUsed/>
    <w:qFormat/>
    <w:rsid w:val="00ea1435"/>
  </w:style>
  <w:style w:type="numbering" w:styleId="FrListare503" w:customStyle="1">
    <w:name w:val="Fără Listare503"/>
    <w:uiPriority w:val="99"/>
    <w:semiHidden/>
    <w:unhideWhenUsed/>
    <w:qFormat/>
    <w:rsid w:val="00ea1435"/>
  </w:style>
  <w:style w:type="numbering" w:styleId="FrListare533" w:customStyle="1">
    <w:name w:val="Fără Listare533"/>
    <w:semiHidden/>
    <w:unhideWhenUsed/>
    <w:qFormat/>
    <w:rsid w:val="00ea1435"/>
  </w:style>
  <w:style w:type="numbering" w:styleId="FrListare543" w:customStyle="1">
    <w:name w:val="Fără Listare543"/>
    <w:uiPriority w:val="99"/>
    <w:semiHidden/>
    <w:unhideWhenUsed/>
    <w:qFormat/>
    <w:rsid w:val="00ea1435"/>
  </w:style>
  <w:style w:type="numbering" w:styleId="FrListare553" w:customStyle="1">
    <w:name w:val="Fără Listare553"/>
    <w:uiPriority w:val="99"/>
    <w:semiHidden/>
    <w:unhideWhenUsed/>
    <w:qFormat/>
    <w:rsid w:val="00ea1435"/>
  </w:style>
  <w:style w:type="numbering" w:styleId="FrListare563" w:customStyle="1">
    <w:name w:val="Fără Listare563"/>
    <w:uiPriority w:val="99"/>
    <w:semiHidden/>
    <w:unhideWhenUsed/>
    <w:qFormat/>
    <w:rsid w:val="00ea1435"/>
  </w:style>
  <w:style w:type="numbering" w:styleId="FrListare573" w:customStyle="1">
    <w:name w:val="Fără Listare573"/>
    <w:uiPriority w:val="99"/>
    <w:semiHidden/>
    <w:unhideWhenUsed/>
    <w:qFormat/>
    <w:rsid w:val="00ea1435"/>
  </w:style>
  <w:style w:type="numbering" w:styleId="FrListare583" w:customStyle="1">
    <w:name w:val="Fără Listare583"/>
    <w:semiHidden/>
    <w:unhideWhenUsed/>
    <w:qFormat/>
    <w:rsid w:val="00ea1435"/>
  </w:style>
  <w:style w:type="numbering" w:styleId="FrListare593" w:customStyle="1">
    <w:name w:val="Fără Listare593"/>
    <w:uiPriority w:val="99"/>
    <w:semiHidden/>
    <w:unhideWhenUsed/>
    <w:qFormat/>
    <w:rsid w:val="00ea1435"/>
  </w:style>
  <w:style w:type="numbering" w:styleId="FrListare1173" w:customStyle="1">
    <w:name w:val="Fără Listare1173"/>
    <w:uiPriority w:val="99"/>
    <w:semiHidden/>
    <w:qFormat/>
    <w:rsid w:val="00ea1435"/>
  </w:style>
  <w:style w:type="numbering" w:styleId="FrListare1183" w:customStyle="1">
    <w:name w:val="Fără Listare1183"/>
    <w:uiPriority w:val="99"/>
    <w:semiHidden/>
    <w:qFormat/>
    <w:rsid w:val="00ea1435"/>
  </w:style>
  <w:style w:type="numbering" w:styleId="FrListare2133" w:customStyle="1">
    <w:name w:val="Fără Listare2133"/>
    <w:uiPriority w:val="99"/>
    <w:semiHidden/>
    <w:unhideWhenUsed/>
    <w:qFormat/>
    <w:rsid w:val="00ea1435"/>
  </w:style>
  <w:style w:type="numbering" w:styleId="FrListare3103" w:customStyle="1">
    <w:name w:val="Fără Listare3103"/>
    <w:semiHidden/>
    <w:unhideWhenUsed/>
    <w:qFormat/>
    <w:rsid w:val="00ea1435"/>
  </w:style>
  <w:style w:type="numbering" w:styleId="FrListare4103" w:customStyle="1">
    <w:name w:val="Fără Listare4103"/>
    <w:semiHidden/>
    <w:unhideWhenUsed/>
    <w:qFormat/>
    <w:rsid w:val="00ea1435"/>
  </w:style>
  <w:style w:type="numbering" w:styleId="FrListare5103" w:customStyle="1">
    <w:name w:val="Fără Listare5103"/>
    <w:uiPriority w:val="99"/>
    <w:semiHidden/>
    <w:unhideWhenUsed/>
    <w:qFormat/>
    <w:rsid w:val="00ea1435"/>
  </w:style>
  <w:style w:type="numbering" w:styleId="FrListare633" w:customStyle="1">
    <w:name w:val="Fără Listare633"/>
    <w:uiPriority w:val="99"/>
    <w:semiHidden/>
    <w:unhideWhenUsed/>
    <w:qFormat/>
    <w:rsid w:val="00ea1435"/>
  </w:style>
  <w:style w:type="numbering" w:styleId="FrListare733" w:customStyle="1">
    <w:name w:val="Fără Listare733"/>
    <w:uiPriority w:val="99"/>
    <w:semiHidden/>
    <w:unhideWhenUsed/>
    <w:qFormat/>
    <w:rsid w:val="00ea1435"/>
  </w:style>
  <w:style w:type="numbering" w:styleId="FrListare833" w:customStyle="1">
    <w:name w:val="Fără Listare833"/>
    <w:semiHidden/>
    <w:qFormat/>
    <w:rsid w:val="00ea1435"/>
  </w:style>
  <w:style w:type="numbering" w:styleId="FrListare933" w:customStyle="1">
    <w:name w:val="Fără Listare933"/>
    <w:uiPriority w:val="99"/>
    <w:semiHidden/>
    <w:unhideWhenUsed/>
    <w:qFormat/>
    <w:rsid w:val="00ea1435"/>
  </w:style>
  <w:style w:type="numbering" w:styleId="FrListare1033" w:customStyle="1">
    <w:name w:val="Fără Listare1033"/>
    <w:uiPriority w:val="99"/>
    <w:semiHidden/>
    <w:unhideWhenUsed/>
    <w:qFormat/>
    <w:rsid w:val="00ea1435"/>
  </w:style>
  <w:style w:type="numbering" w:styleId="FrListare11133" w:customStyle="1">
    <w:name w:val="Fără Listare11133"/>
    <w:uiPriority w:val="99"/>
    <w:semiHidden/>
    <w:unhideWhenUsed/>
    <w:qFormat/>
    <w:rsid w:val="00ea1435"/>
  </w:style>
  <w:style w:type="numbering" w:styleId="FrListare1233" w:customStyle="1">
    <w:name w:val="Fără Listare1233"/>
    <w:uiPriority w:val="99"/>
    <w:semiHidden/>
    <w:unhideWhenUsed/>
    <w:qFormat/>
    <w:rsid w:val="00ea1435"/>
  </w:style>
  <w:style w:type="numbering" w:styleId="FrListare1333" w:customStyle="1">
    <w:name w:val="Fără Listare1333"/>
    <w:uiPriority w:val="99"/>
    <w:semiHidden/>
    <w:unhideWhenUsed/>
    <w:qFormat/>
    <w:rsid w:val="00ea1435"/>
  </w:style>
  <w:style w:type="numbering" w:styleId="FrListare1433" w:customStyle="1">
    <w:name w:val="Fără Listare1433"/>
    <w:uiPriority w:val="99"/>
    <w:semiHidden/>
    <w:unhideWhenUsed/>
    <w:qFormat/>
    <w:rsid w:val="00ea1435"/>
  </w:style>
  <w:style w:type="numbering" w:styleId="FrListare1533" w:customStyle="1">
    <w:name w:val="Fără Listare1533"/>
    <w:uiPriority w:val="99"/>
    <w:semiHidden/>
    <w:unhideWhenUsed/>
    <w:qFormat/>
    <w:rsid w:val="00ea1435"/>
  </w:style>
  <w:style w:type="numbering" w:styleId="FrListare1633" w:customStyle="1">
    <w:name w:val="Fără Listare1633"/>
    <w:semiHidden/>
    <w:qFormat/>
    <w:rsid w:val="00ea1435"/>
  </w:style>
  <w:style w:type="numbering" w:styleId="FrListare1733" w:customStyle="1">
    <w:name w:val="Fără Listare1733"/>
    <w:uiPriority w:val="99"/>
    <w:semiHidden/>
    <w:unhideWhenUsed/>
    <w:qFormat/>
    <w:rsid w:val="00ea1435"/>
  </w:style>
  <w:style w:type="numbering" w:styleId="FrListare1833" w:customStyle="1">
    <w:name w:val="Fără Listare1833"/>
    <w:uiPriority w:val="99"/>
    <w:semiHidden/>
    <w:unhideWhenUsed/>
    <w:qFormat/>
    <w:rsid w:val="00ea1435"/>
  </w:style>
  <w:style w:type="numbering" w:styleId="FrListare1933" w:customStyle="1">
    <w:name w:val="Fără Listare1933"/>
    <w:uiPriority w:val="99"/>
    <w:semiHidden/>
    <w:unhideWhenUsed/>
    <w:qFormat/>
    <w:rsid w:val="00ea1435"/>
  </w:style>
  <w:style w:type="numbering" w:styleId="FrListare2033" w:customStyle="1">
    <w:name w:val="Fără Listare2033"/>
    <w:uiPriority w:val="99"/>
    <w:semiHidden/>
    <w:unhideWhenUsed/>
    <w:qFormat/>
    <w:rsid w:val="00ea1435"/>
  </w:style>
  <w:style w:type="numbering" w:styleId="FrListare11033" w:customStyle="1">
    <w:name w:val="Fără Listare11033"/>
    <w:uiPriority w:val="99"/>
    <w:semiHidden/>
    <w:unhideWhenUsed/>
    <w:qFormat/>
    <w:rsid w:val="00ea1435"/>
  </w:style>
  <w:style w:type="numbering" w:styleId="FrListare2143" w:customStyle="1">
    <w:name w:val="Fără Listare2143"/>
    <w:uiPriority w:val="99"/>
    <w:semiHidden/>
    <w:unhideWhenUsed/>
    <w:qFormat/>
    <w:rsid w:val="00ea1435"/>
  </w:style>
  <w:style w:type="numbering" w:styleId="FrListare2233" w:customStyle="1">
    <w:name w:val="Fără Listare2233"/>
    <w:uiPriority w:val="99"/>
    <w:semiHidden/>
    <w:unhideWhenUsed/>
    <w:qFormat/>
    <w:rsid w:val="00ea1435"/>
  </w:style>
  <w:style w:type="numbering" w:styleId="FrListare2333" w:customStyle="1">
    <w:name w:val="Fără Listare2333"/>
    <w:uiPriority w:val="99"/>
    <w:semiHidden/>
    <w:unhideWhenUsed/>
    <w:qFormat/>
    <w:rsid w:val="00ea1435"/>
  </w:style>
  <w:style w:type="numbering" w:styleId="FrListare2433" w:customStyle="1">
    <w:name w:val="Fără Listare2433"/>
    <w:semiHidden/>
    <w:qFormat/>
    <w:rsid w:val="00ea1435"/>
  </w:style>
  <w:style w:type="numbering" w:styleId="FrListare111114" w:customStyle="1">
    <w:name w:val="Fără Listare111114"/>
    <w:uiPriority w:val="99"/>
    <w:semiHidden/>
    <w:qFormat/>
    <w:rsid w:val="00ea1435"/>
  </w:style>
  <w:style w:type="numbering" w:styleId="FrListare11213" w:customStyle="1">
    <w:name w:val="Fără Listare11213"/>
    <w:uiPriority w:val="99"/>
    <w:semiHidden/>
    <w:qFormat/>
    <w:rsid w:val="00ea1435"/>
  </w:style>
  <w:style w:type="numbering" w:styleId="FrListare2533" w:customStyle="1">
    <w:name w:val="Fără Listare2533"/>
    <w:uiPriority w:val="99"/>
    <w:semiHidden/>
    <w:unhideWhenUsed/>
    <w:qFormat/>
    <w:rsid w:val="00ea1435"/>
  </w:style>
  <w:style w:type="numbering" w:styleId="FrListare3113" w:customStyle="1">
    <w:name w:val="Fără Listare3113"/>
    <w:semiHidden/>
    <w:unhideWhenUsed/>
    <w:qFormat/>
    <w:rsid w:val="00ea1435"/>
  </w:style>
  <w:style w:type="numbering" w:styleId="FrListare4113" w:customStyle="1">
    <w:name w:val="Fără Listare4113"/>
    <w:semiHidden/>
    <w:unhideWhenUsed/>
    <w:qFormat/>
    <w:rsid w:val="00ea1435"/>
  </w:style>
  <w:style w:type="numbering" w:styleId="FrListare5113" w:customStyle="1">
    <w:name w:val="Fără Listare5113"/>
    <w:uiPriority w:val="99"/>
    <w:semiHidden/>
    <w:unhideWhenUsed/>
    <w:qFormat/>
    <w:rsid w:val="00ea1435"/>
  </w:style>
  <w:style w:type="numbering" w:styleId="FrListare6113" w:customStyle="1">
    <w:name w:val="Fără Listare6113"/>
    <w:uiPriority w:val="99"/>
    <w:semiHidden/>
    <w:unhideWhenUsed/>
    <w:qFormat/>
    <w:rsid w:val="00ea1435"/>
  </w:style>
  <w:style w:type="numbering" w:styleId="FrListare7113" w:customStyle="1">
    <w:name w:val="Fără Listare7113"/>
    <w:uiPriority w:val="99"/>
    <w:semiHidden/>
    <w:unhideWhenUsed/>
    <w:qFormat/>
    <w:rsid w:val="00ea1435"/>
  </w:style>
  <w:style w:type="numbering" w:styleId="FrListare8113" w:customStyle="1">
    <w:name w:val="Fără Listare8113"/>
    <w:semiHidden/>
    <w:qFormat/>
    <w:rsid w:val="00ea1435"/>
  </w:style>
  <w:style w:type="numbering" w:styleId="FrListare9113" w:customStyle="1">
    <w:name w:val="Fără Listare9113"/>
    <w:uiPriority w:val="99"/>
    <w:semiHidden/>
    <w:unhideWhenUsed/>
    <w:qFormat/>
    <w:rsid w:val="00ea1435"/>
  </w:style>
  <w:style w:type="numbering" w:styleId="FrListare10113" w:customStyle="1">
    <w:name w:val="Fără Listare10113"/>
    <w:uiPriority w:val="99"/>
    <w:semiHidden/>
    <w:unhideWhenUsed/>
    <w:qFormat/>
    <w:rsid w:val="00ea1435"/>
  </w:style>
  <w:style w:type="numbering" w:styleId="FrListare1111113" w:customStyle="1">
    <w:name w:val="Fără Listare1111113"/>
    <w:uiPriority w:val="99"/>
    <w:semiHidden/>
    <w:unhideWhenUsed/>
    <w:qFormat/>
    <w:rsid w:val="00ea1435"/>
  </w:style>
  <w:style w:type="numbering" w:styleId="FrListare12113" w:customStyle="1">
    <w:name w:val="Fără Listare12113"/>
    <w:uiPriority w:val="99"/>
    <w:semiHidden/>
    <w:unhideWhenUsed/>
    <w:qFormat/>
    <w:rsid w:val="00ea1435"/>
  </w:style>
  <w:style w:type="numbering" w:styleId="FrListare13113" w:customStyle="1">
    <w:name w:val="Fără Listare13113"/>
    <w:uiPriority w:val="99"/>
    <w:semiHidden/>
    <w:unhideWhenUsed/>
    <w:qFormat/>
    <w:rsid w:val="00ea1435"/>
  </w:style>
  <w:style w:type="numbering" w:styleId="FrListare14113" w:customStyle="1">
    <w:name w:val="Fără Listare14113"/>
    <w:uiPriority w:val="99"/>
    <w:semiHidden/>
    <w:unhideWhenUsed/>
    <w:qFormat/>
    <w:rsid w:val="00ea1435"/>
  </w:style>
  <w:style w:type="numbering" w:styleId="FrListare15113" w:customStyle="1">
    <w:name w:val="Fără Listare15113"/>
    <w:uiPriority w:val="99"/>
    <w:semiHidden/>
    <w:unhideWhenUsed/>
    <w:qFormat/>
    <w:rsid w:val="00ea1435"/>
  </w:style>
  <w:style w:type="numbering" w:styleId="FrListare16113" w:customStyle="1">
    <w:name w:val="Fără Listare16113"/>
    <w:semiHidden/>
    <w:qFormat/>
    <w:rsid w:val="00ea1435"/>
  </w:style>
  <w:style w:type="numbering" w:styleId="FrListare17113" w:customStyle="1">
    <w:name w:val="Fără Listare17113"/>
    <w:uiPriority w:val="99"/>
    <w:semiHidden/>
    <w:unhideWhenUsed/>
    <w:qFormat/>
    <w:rsid w:val="00ea1435"/>
  </w:style>
  <w:style w:type="numbering" w:styleId="FrListare18113" w:customStyle="1">
    <w:name w:val="Fără Listare18113"/>
    <w:uiPriority w:val="99"/>
    <w:semiHidden/>
    <w:unhideWhenUsed/>
    <w:qFormat/>
    <w:rsid w:val="00ea1435"/>
  </w:style>
  <w:style w:type="numbering" w:styleId="FrListare19113" w:customStyle="1">
    <w:name w:val="Fără Listare19113"/>
    <w:uiPriority w:val="99"/>
    <w:semiHidden/>
    <w:unhideWhenUsed/>
    <w:qFormat/>
    <w:rsid w:val="00ea1435"/>
  </w:style>
  <w:style w:type="numbering" w:styleId="FrListare20113" w:customStyle="1">
    <w:name w:val="Fără Listare20113"/>
    <w:uiPriority w:val="99"/>
    <w:semiHidden/>
    <w:unhideWhenUsed/>
    <w:qFormat/>
    <w:rsid w:val="00ea1435"/>
  </w:style>
  <w:style w:type="numbering" w:styleId="FrListare110113" w:customStyle="1">
    <w:name w:val="Fără Listare110113"/>
    <w:uiPriority w:val="99"/>
    <w:semiHidden/>
    <w:unhideWhenUsed/>
    <w:qFormat/>
    <w:rsid w:val="00ea1435"/>
  </w:style>
  <w:style w:type="numbering" w:styleId="FrListare21113" w:customStyle="1">
    <w:name w:val="Fără Listare21113"/>
    <w:uiPriority w:val="99"/>
    <w:semiHidden/>
    <w:unhideWhenUsed/>
    <w:qFormat/>
    <w:rsid w:val="00ea1435"/>
  </w:style>
  <w:style w:type="numbering" w:styleId="FrListare22113" w:customStyle="1">
    <w:name w:val="Fără Listare22113"/>
    <w:uiPriority w:val="99"/>
    <w:semiHidden/>
    <w:unhideWhenUsed/>
    <w:qFormat/>
    <w:rsid w:val="00ea1435"/>
  </w:style>
  <w:style w:type="numbering" w:styleId="FrListare23113" w:customStyle="1">
    <w:name w:val="Fără Listare23113"/>
    <w:uiPriority w:val="99"/>
    <w:semiHidden/>
    <w:unhideWhenUsed/>
    <w:qFormat/>
    <w:rsid w:val="00ea1435"/>
  </w:style>
  <w:style w:type="numbering" w:styleId="FrListare2633" w:customStyle="1">
    <w:name w:val="Fără Listare2633"/>
    <w:uiPriority w:val="99"/>
    <w:semiHidden/>
    <w:unhideWhenUsed/>
    <w:qFormat/>
    <w:rsid w:val="00ea1435"/>
  </w:style>
  <w:style w:type="numbering" w:styleId="FrListare603" w:customStyle="1">
    <w:name w:val="Fără Listare603"/>
    <w:uiPriority w:val="99"/>
    <w:semiHidden/>
    <w:unhideWhenUsed/>
    <w:qFormat/>
    <w:rsid w:val="00ea1435"/>
  </w:style>
  <w:style w:type="numbering" w:styleId="FrListare643" w:customStyle="1">
    <w:name w:val="Fără Listare643"/>
    <w:uiPriority w:val="99"/>
    <w:semiHidden/>
    <w:unhideWhenUsed/>
    <w:qFormat/>
    <w:rsid w:val="00ea1435"/>
  </w:style>
  <w:style w:type="numbering" w:styleId="FrListare653" w:customStyle="1">
    <w:name w:val="Fără Listare653"/>
    <w:uiPriority w:val="99"/>
    <w:semiHidden/>
    <w:unhideWhenUsed/>
    <w:qFormat/>
    <w:rsid w:val="00ea1435"/>
  </w:style>
  <w:style w:type="numbering" w:styleId="FrListare663" w:customStyle="1">
    <w:name w:val="Fără Listare663"/>
    <w:uiPriority w:val="99"/>
    <w:semiHidden/>
    <w:unhideWhenUsed/>
    <w:qFormat/>
    <w:rsid w:val="00ea1435"/>
  </w:style>
  <w:style w:type="numbering" w:styleId="FrListare673" w:customStyle="1">
    <w:name w:val="Fără Listare673"/>
    <w:uiPriority w:val="99"/>
    <w:semiHidden/>
    <w:qFormat/>
    <w:rsid w:val="00ea1435"/>
  </w:style>
  <w:style w:type="numbering" w:styleId="FrListare683" w:customStyle="1">
    <w:name w:val="Fără Listare683"/>
    <w:uiPriority w:val="99"/>
    <w:semiHidden/>
    <w:unhideWhenUsed/>
    <w:qFormat/>
    <w:rsid w:val="00ea1435"/>
  </w:style>
  <w:style w:type="numbering" w:styleId="FrListare692" w:customStyle="1">
    <w:name w:val="Fără Listare692"/>
    <w:uiPriority w:val="99"/>
    <w:semiHidden/>
    <w:qFormat/>
    <w:rsid w:val="00ea1435"/>
  </w:style>
  <w:style w:type="numbering" w:styleId="FrListare1192" w:customStyle="1">
    <w:name w:val="Fără Listare1192"/>
    <w:uiPriority w:val="99"/>
    <w:semiHidden/>
    <w:unhideWhenUsed/>
    <w:qFormat/>
    <w:rsid w:val="00ea1435"/>
  </w:style>
  <w:style w:type="numbering" w:styleId="FrListare11102" w:customStyle="1">
    <w:name w:val="Fără Listare11102"/>
    <w:uiPriority w:val="99"/>
    <w:semiHidden/>
    <w:qFormat/>
    <w:rsid w:val="00ea1435"/>
  </w:style>
  <w:style w:type="numbering" w:styleId="FrListare2152" w:customStyle="1">
    <w:name w:val="Fără Listare2152"/>
    <w:uiPriority w:val="99"/>
    <w:semiHidden/>
    <w:unhideWhenUsed/>
    <w:qFormat/>
    <w:rsid w:val="00ea1435"/>
  </w:style>
  <w:style w:type="numbering" w:styleId="FrListare3122" w:customStyle="1">
    <w:name w:val="Fără Listare3122"/>
    <w:semiHidden/>
    <w:unhideWhenUsed/>
    <w:qFormat/>
    <w:rsid w:val="00ea1435"/>
  </w:style>
  <w:style w:type="numbering" w:styleId="FrListare4122" w:customStyle="1">
    <w:name w:val="Fără Listare4122"/>
    <w:semiHidden/>
    <w:unhideWhenUsed/>
    <w:qFormat/>
    <w:rsid w:val="00ea1435"/>
  </w:style>
  <w:style w:type="numbering" w:styleId="FrListare5122" w:customStyle="1">
    <w:name w:val="Fără Listare5122"/>
    <w:uiPriority w:val="99"/>
    <w:semiHidden/>
    <w:unhideWhenUsed/>
    <w:qFormat/>
    <w:rsid w:val="00ea1435"/>
  </w:style>
  <w:style w:type="numbering" w:styleId="FrListare6102" w:customStyle="1">
    <w:name w:val="Fără Listare6102"/>
    <w:uiPriority w:val="99"/>
    <w:semiHidden/>
    <w:unhideWhenUsed/>
    <w:qFormat/>
    <w:rsid w:val="00ea1435"/>
  </w:style>
  <w:style w:type="numbering" w:styleId="FrListare742" w:customStyle="1">
    <w:name w:val="Fără Listare742"/>
    <w:uiPriority w:val="99"/>
    <w:semiHidden/>
    <w:unhideWhenUsed/>
    <w:qFormat/>
    <w:rsid w:val="00ea1435"/>
  </w:style>
  <w:style w:type="numbering" w:styleId="FrListare842" w:customStyle="1">
    <w:name w:val="Fără Listare842"/>
    <w:semiHidden/>
    <w:qFormat/>
    <w:rsid w:val="00ea1435"/>
  </w:style>
  <w:style w:type="numbering" w:styleId="FrListare942" w:customStyle="1">
    <w:name w:val="Fără Listare942"/>
    <w:uiPriority w:val="99"/>
    <w:semiHidden/>
    <w:unhideWhenUsed/>
    <w:qFormat/>
    <w:rsid w:val="00ea1435"/>
  </w:style>
  <w:style w:type="numbering" w:styleId="FrListare1042" w:customStyle="1">
    <w:name w:val="Fără Listare1042"/>
    <w:uiPriority w:val="99"/>
    <w:semiHidden/>
    <w:unhideWhenUsed/>
    <w:qFormat/>
    <w:rsid w:val="00ea1435"/>
  </w:style>
  <w:style w:type="numbering" w:styleId="FrListare11142" w:customStyle="1">
    <w:name w:val="Fără Listare11142"/>
    <w:uiPriority w:val="99"/>
    <w:semiHidden/>
    <w:unhideWhenUsed/>
    <w:qFormat/>
    <w:rsid w:val="00ea1435"/>
  </w:style>
  <w:style w:type="numbering" w:styleId="FrListare1242" w:customStyle="1">
    <w:name w:val="Fără Listare1242"/>
    <w:uiPriority w:val="99"/>
    <w:semiHidden/>
    <w:unhideWhenUsed/>
    <w:qFormat/>
    <w:rsid w:val="00ea1435"/>
  </w:style>
  <w:style w:type="numbering" w:styleId="FrListare1342" w:customStyle="1">
    <w:name w:val="Fără Listare1342"/>
    <w:uiPriority w:val="99"/>
    <w:semiHidden/>
    <w:unhideWhenUsed/>
    <w:qFormat/>
    <w:rsid w:val="00ea1435"/>
  </w:style>
  <w:style w:type="numbering" w:styleId="FrListare1442" w:customStyle="1">
    <w:name w:val="Fără Listare1442"/>
    <w:uiPriority w:val="99"/>
    <w:semiHidden/>
    <w:unhideWhenUsed/>
    <w:qFormat/>
    <w:rsid w:val="00ea1435"/>
  </w:style>
  <w:style w:type="numbering" w:styleId="FrListare1542" w:customStyle="1">
    <w:name w:val="Fără Listare1542"/>
    <w:uiPriority w:val="99"/>
    <w:semiHidden/>
    <w:unhideWhenUsed/>
    <w:qFormat/>
    <w:rsid w:val="00ea1435"/>
  </w:style>
  <w:style w:type="numbering" w:styleId="FrListare1642" w:customStyle="1">
    <w:name w:val="Fără Listare1642"/>
    <w:semiHidden/>
    <w:qFormat/>
    <w:rsid w:val="00ea1435"/>
  </w:style>
  <w:style w:type="numbering" w:styleId="FrListare1742" w:customStyle="1">
    <w:name w:val="Fără Listare1742"/>
    <w:uiPriority w:val="99"/>
    <w:semiHidden/>
    <w:unhideWhenUsed/>
    <w:qFormat/>
    <w:rsid w:val="00ea1435"/>
  </w:style>
  <w:style w:type="numbering" w:styleId="FrListare1842" w:customStyle="1">
    <w:name w:val="Fără Listare1842"/>
    <w:uiPriority w:val="99"/>
    <w:semiHidden/>
    <w:unhideWhenUsed/>
    <w:qFormat/>
    <w:rsid w:val="00ea1435"/>
  </w:style>
  <w:style w:type="numbering" w:styleId="FrListare1942" w:customStyle="1">
    <w:name w:val="Fără Listare1942"/>
    <w:uiPriority w:val="99"/>
    <w:semiHidden/>
    <w:unhideWhenUsed/>
    <w:qFormat/>
    <w:rsid w:val="00ea1435"/>
  </w:style>
  <w:style w:type="numbering" w:styleId="FrListare2042" w:customStyle="1">
    <w:name w:val="Fără Listare2042"/>
    <w:uiPriority w:val="99"/>
    <w:semiHidden/>
    <w:unhideWhenUsed/>
    <w:qFormat/>
    <w:rsid w:val="00ea1435"/>
  </w:style>
  <w:style w:type="numbering" w:styleId="FrListare11042" w:customStyle="1">
    <w:name w:val="Fără Listare11042"/>
    <w:uiPriority w:val="99"/>
    <w:semiHidden/>
    <w:unhideWhenUsed/>
    <w:qFormat/>
    <w:rsid w:val="00ea1435"/>
  </w:style>
  <w:style w:type="numbering" w:styleId="FrListare2162" w:customStyle="1">
    <w:name w:val="Fără Listare2162"/>
    <w:uiPriority w:val="99"/>
    <w:semiHidden/>
    <w:unhideWhenUsed/>
    <w:qFormat/>
    <w:rsid w:val="00ea1435"/>
  </w:style>
  <w:style w:type="numbering" w:styleId="FrListare2242" w:customStyle="1">
    <w:name w:val="Fără Listare2242"/>
    <w:uiPriority w:val="99"/>
    <w:semiHidden/>
    <w:unhideWhenUsed/>
    <w:qFormat/>
    <w:rsid w:val="00ea1435"/>
  </w:style>
  <w:style w:type="numbering" w:styleId="FrListare2342" w:customStyle="1">
    <w:name w:val="Fără Listare2342"/>
    <w:uiPriority w:val="99"/>
    <w:semiHidden/>
    <w:unhideWhenUsed/>
    <w:qFormat/>
    <w:rsid w:val="00ea1435"/>
  </w:style>
  <w:style w:type="numbering" w:styleId="FrListare2442" w:customStyle="1">
    <w:name w:val="Fără Listare2442"/>
    <w:semiHidden/>
    <w:qFormat/>
    <w:rsid w:val="00ea1435"/>
  </w:style>
  <w:style w:type="numbering" w:styleId="FrListare111123" w:customStyle="1">
    <w:name w:val="Fără Listare111123"/>
    <w:uiPriority w:val="99"/>
    <w:semiHidden/>
    <w:qFormat/>
    <w:rsid w:val="00ea1435"/>
  </w:style>
  <w:style w:type="numbering" w:styleId="FrListare11222" w:customStyle="1">
    <w:name w:val="Fără Listare11222"/>
    <w:uiPriority w:val="99"/>
    <w:semiHidden/>
    <w:qFormat/>
    <w:rsid w:val="00ea1435"/>
  </w:style>
  <w:style w:type="numbering" w:styleId="FrListare2542" w:customStyle="1">
    <w:name w:val="Fără Listare2542"/>
    <w:uiPriority w:val="99"/>
    <w:semiHidden/>
    <w:unhideWhenUsed/>
    <w:qFormat/>
    <w:rsid w:val="00ea1435"/>
  </w:style>
  <w:style w:type="numbering" w:styleId="FrListare3132" w:customStyle="1">
    <w:name w:val="Fără Listare3132"/>
    <w:semiHidden/>
    <w:unhideWhenUsed/>
    <w:qFormat/>
    <w:rsid w:val="00ea1435"/>
  </w:style>
  <w:style w:type="numbering" w:styleId="FrListare4132" w:customStyle="1">
    <w:name w:val="Fără Listare4132"/>
    <w:semiHidden/>
    <w:unhideWhenUsed/>
    <w:qFormat/>
    <w:rsid w:val="00ea1435"/>
  </w:style>
  <w:style w:type="numbering" w:styleId="FrListare5132" w:customStyle="1">
    <w:name w:val="Fără Listare5132"/>
    <w:uiPriority w:val="99"/>
    <w:semiHidden/>
    <w:unhideWhenUsed/>
    <w:qFormat/>
    <w:rsid w:val="00ea1435"/>
  </w:style>
  <w:style w:type="numbering" w:styleId="FrListare6122" w:customStyle="1">
    <w:name w:val="Fără Listare6122"/>
    <w:uiPriority w:val="99"/>
    <w:semiHidden/>
    <w:unhideWhenUsed/>
    <w:qFormat/>
    <w:rsid w:val="00ea1435"/>
  </w:style>
  <w:style w:type="numbering" w:styleId="FrListare7122" w:customStyle="1">
    <w:name w:val="Fără Listare7122"/>
    <w:uiPriority w:val="99"/>
    <w:semiHidden/>
    <w:unhideWhenUsed/>
    <w:qFormat/>
    <w:rsid w:val="00ea1435"/>
  </w:style>
  <w:style w:type="numbering" w:styleId="FrListare8122" w:customStyle="1">
    <w:name w:val="Fără Listare8122"/>
    <w:semiHidden/>
    <w:qFormat/>
    <w:rsid w:val="00ea1435"/>
  </w:style>
  <w:style w:type="numbering" w:styleId="FrListare9122" w:customStyle="1">
    <w:name w:val="Fără Listare9122"/>
    <w:uiPriority w:val="99"/>
    <w:semiHidden/>
    <w:unhideWhenUsed/>
    <w:qFormat/>
    <w:rsid w:val="00ea1435"/>
  </w:style>
  <w:style w:type="numbering" w:styleId="FrListare10122" w:customStyle="1">
    <w:name w:val="Fără Listare10122"/>
    <w:uiPriority w:val="99"/>
    <w:semiHidden/>
    <w:unhideWhenUsed/>
    <w:qFormat/>
    <w:rsid w:val="00ea1435"/>
  </w:style>
  <w:style w:type="numbering" w:styleId="FrListare1111122" w:customStyle="1">
    <w:name w:val="Fără Listare1111122"/>
    <w:uiPriority w:val="99"/>
    <w:semiHidden/>
    <w:unhideWhenUsed/>
    <w:qFormat/>
    <w:rsid w:val="00ea1435"/>
  </w:style>
  <w:style w:type="numbering" w:styleId="FrListare12122" w:customStyle="1">
    <w:name w:val="Fără Listare12122"/>
    <w:uiPriority w:val="99"/>
    <w:semiHidden/>
    <w:unhideWhenUsed/>
    <w:qFormat/>
    <w:rsid w:val="00ea1435"/>
  </w:style>
  <w:style w:type="numbering" w:styleId="FrListare13122" w:customStyle="1">
    <w:name w:val="Fără Listare13122"/>
    <w:uiPriority w:val="99"/>
    <w:semiHidden/>
    <w:unhideWhenUsed/>
    <w:qFormat/>
    <w:rsid w:val="00ea1435"/>
  </w:style>
  <w:style w:type="numbering" w:styleId="FrListare14122" w:customStyle="1">
    <w:name w:val="Fără Listare14122"/>
    <w:uiPriority w:val="99"/>
    <w:semiHidden/>
    <w:unhideWhenUsed/>
    <w:qFormat/>
    <w:rsid w:val="00ea1435"/>
  </w:style>
  <w:style w:type="numbering" w:styleId="FrListare15122" w:customStyle="1">
    <w:name w:val="Fără Listare15122"/>
    <w:uiPriority w:val="99"/>
    <w:semiHidden/>
    <w:unhideWhenUsed/>
    <w:qFormat/>
    <w:rsid w:val="00ea1435"/>
  </w:style>
  <w:style w:type="numbering" w:styleId="FrListare16122" w:customStyle="1">
    <w:name w:val="Fără Listare16122"/>
    <w:semiHidden/>
    <w:qFormat/>
    <w:rsid w:val="00ea1435"/>
  </w:style>
  <w:style w:type="numbering" w:styleId="FrListare17122" w:customStyle="1">
    <w:name w:val="Fără Listare17122"/>
    <w:uiPriority w:val="99"/>
    <w:semiHidden/>
    <w:unhideWhenUsed/>
    <w:qFormat/>
    <w:rsid w:val="00ea1435"/>
  </w:style>
  <w:style w:type="numbering" w:styleId="FrListare18122" w:customStyle="1">
    <w:name w:val="Fără Listare18122"/>
    <w:uiPriority w:val="99"/>
    <w:semiHidden/>
    <w:unhideWhenUsed/>
    <w:qFormat/>
    <w:rsid w:val="00ea1435"/>
  </w:style>
  <w:style w:type="numbering" w:styleId="FrListare19122" w:customStyle="1">
    <w:name w:val="Fără Listare19122"/>
    <w:uiPriority w:val="99"/>
    <w:semiHidden/>
    <w:unhideWhenUsed/>
    <w:qFormat/>
    <w:rsid w:val="00ea1435"/>
  </w:style>
  <w:style w:type="numbering" w:styleId="FrListare20122" w:customStyle="1">
    <w:name w:val="Fără Listare20122"/>
    <w:uiPriority w:val="99"/>
    <w:semiHidden/>
    <w:unhideWhenUsed/>
    <w:qFormat/>
    <w:rsid w:val="00ea1435"/>
  </w:style>
  <w:style w:type="numbering" w:styleId="FrListare110122" w:customStyle="1">
    <w:name w:val="Fără Listare110122"/>
    <w:uiPriority w:val="99"/>
    <w:semiHidden/>
    <w:unhideWhenUsed/>
    <w:qFormat/>
    <w:rsid w:val="00ea1435"/>
  </w:style>
  <w:style w:type="numbering" w:styleId="FrListare21122" w:customStyle="1">
    <w:name w:val="Fără Listare21122"/>
    <w:uiPriority w:val="99"/>
    <w:semiHidden/>
    <w:unhideWhenUsed/>
    <w:qFormat/>
    <w:rsid w:val="00ea1435"/>
  </w:style>
  <w:style w:type="numbering" w:styleId="FrListare22122" w:customStyle="1">
    <w:name w:val="Fără Listare22122"/>
    <w:uiPriority w:val="99"/>
    <w:semiHidden/>
    <w:unhideWhenUsed/>
    <w:qFormat/>
    <w:rsid w:val="00ea1435"/>
  </w:style>
  <w:style w:type="numbering" w:styleId="FrListare23122" w:customStyle="1">
    <w:name w:val="Fără Listare23122"/>
    <w:uiPriority w:val="99"/>
    <w:semiHidden/>
    <w:unhideWhenUsed/>
    <w:qFormat/>
    <w:rsid w:val="00ea1435"/>
  </w:style>
  <w:style w:type="numbering" w:styleId="FrListare2642" w:customStyle="1">
    <w:name w:val="Fără Listare2642"/>
    <w:uiPriority w:val="99"/>
    <w:semiHidden/>
    <w:unhideWhenUsed/>
    <w:qFormat/>
    <w:rsid w:val="00ea1435"/>
  </w:style>
  <w:style w:type="numbering" w:styleId="FrListare2732" w:customStyle="1">
    <w:name w:val="Fără Listare2732"/>
    <w:uiPriority w:val="99"/>
    <w:semiHidden/>
    <w:unhideWhenUsed/>
    <w:qFormat/>
    <w:rsid w:val="00ea1435"/>
  </w:style>
  <w:style w:type="numbering" w:styleId="FrListare11313" w:customStyle="1">
    <w:name w:val="Fără Listare11313"/>
    <w:uiPriority w:val="99"/>
    <w:semiHidden/>
    <w:unhideWhenUsed/>
    <w:qFormat/>
    <w:rsid w:val="00ea1435"/>
  </w:style>
  <w:style w:type="numbering" w:styleId="FrListare2813" w:customStyle="1">
    <w:name w:val="Fără Listare2813"/>
    <w:uiPriority w:val="99"/>
    <w:semiHidden/>
    <w:unhideWhenUsed/>
    <w:qFormat/>
    <w:rsid w:val="00ea1435"/>
  </w:style>
  <w:style w:type="numbering" w:styleId="FrListare3213" w:customStyle="1">
    <w:name w:val="Fără Listare3213"/>
    <w:semiHidden/>
    <w:qFormat/>
    <w:rsid w:val="00ea1435"/>
  </w:style>
  <w:style w:type="numbering" w:styleId="FrListare4213" w:customStyle="1">
    <w:name w:val="Fără Listare4213"/>
    <w:semiHidden/>
    <w:qFormat/>
    <w:rsid w:val="00ea1435"/>
  </w:style>
  <w:style w:type="numbering" w:styleId="FrListare5213" w:customStyle="1">
    <w:name w:val="Fără Listare5213"/>
    <w:uiPriority w:val="99"/>
    <w:semiHidden/>
    <w:unhideWhenUsed/>
    <w:qFormat/>
    <w:rsid w:val="00ea1435"/>
  </w:style>
  <w:style w:type="numbering" w:styleId="FrListare6213" w:customStyle="1">
    <w:name w:val="Fără Listare6213"/>
    <w:uiPriority w:val="99"/>
    <w:semiHidden/>
    <w:unhideWhenUsed/>
    <w:qFormat/>
    <w:rsid w:val="00ea1435"/>
  </w:style>
  <w:style w:type="numbering" w:styleId="FrListare7213" w:customStyle="1">
    <w:name w:val="Fără Listare7213"/>
    <w:uiPriority w:val="99"/>
    <w:semiHidden/>
    <w:unhideWhenUsed/>
    <w:qFormat/>
    <w:rsid w:val="00ea1435"/>
  </w:style>
  <w:style w:type="numbering" w:styleId="FrListare8213" w:customStyle="1">
    <w:name w:val="Fără Listare8213"/>
    <w:semiHidden/>
    <w:qFormat/>
    <w:rsid w:val="00ea1435"/>
  </w:style>
  <w:style w:type="numbering" w:styleId="FrListare9213" w:customStyle="1">
    <w:name w:val="Fără Listare9213"/>
    <w:uiPriority w:val="99"/>
    <w:semiHidden/>
    <w:unhideWhenUsed/>
    <w:qFormat/>
    <w:rsid w:val="00ea1435"/>
  </w:style>
  <w:style w:type="numbering" w:styleId="FrListare10213" w:customStyle="1">
    <w:name w:val="Fără Listare10213"/>
    <w:uiPriority w:val="99"/>
    <w:semiHidden/>
    <w:unhideWhenUsed/>
    <w:qFormat/>
    <w:rsid w:val="00ea1435"/>
  </w:style>
  <w:style w:type="numbering" w:styleId="FrListare11413" w:customStyle="1">
    <w:name w:val="Fără Listare11413"/>
    <w:uiPriority w:val="99"/>
    <w:semiHidden/>
    <w:unhideWhenUsed/>
    <w:qFormat/>
    <w:rsid w:val="00ea1435"/>
  </w:style>
  <w:style w:type="numbering" w:styleId="FrListare12213" w:customStyle="1">
    <w:name w:val="Fără Listare12213"/>
    <w:uiPriority w:val="99"/>
    <w:semiHidden/>
    <w:unhideWhenUsed/>
    <w:qFormat/>
    <w:rsid w:val="00ea1435"/>
  </w:style>
  <w:style w:type="numbering" w:styleId="FrListare13213" w:customStyle="1">
    <w:name w:val="Fără Listare13213"/>
    <w:uiPriority w:val="99"/>
    <w:semiHidden/>
    <w:unhideWhenUsed/>
    <w:qFormat/>
    <w:rsid w:val="00ea1435"/>
  </w:style>
  <w:style w:type="numbering" w:styleId="FrListare14213" w:customStyle="1">
    <w:name w:val="Fără Listare14213"/>
    <w:uiPriority w:val="99"/>
    <w:semiHidden/>
    <w:unhideWhenUsed/>
    <w:qFormat/>
    <w:rsid w:val="00ea1435"/>
  </w:style>
  <w:style w:type="numbering" w:styleId="FrListare15213" w:customStyle="1">
    <w:name w:val="Fără Listare15213"/>
    <w:uiPriority w:val="99"/>
    <w:semiHidden/>
    <w:unhideWhenUsed/>
    <w:qFormat/>
    <w:rsid w:val="00ea1435"/>
  </w:style>
  <w:style w:type="numbering" w:styleId="FrListare16213" w:customStyle="1">
    <w:name w:val="Fără Listare16213"/>
    <w:semiHidden/>
    <w:qFormat/>
    <w:rsid w:val="00ea1435"/>
  </w:style>
  <w:style w:type="numbering" w:styleId="FrListare17213" w:customStyle="1">
    <w:name w:val="Fără Listare17213"/>
    <w:uiPriority w:val="99"/>
    <w:semiHidden/>
    <w:unhideWhenUsed/>
    <w:qFormat/>
    <w:rsid w:val="00ea1435"/>
  </w:style>
  <w:style w:type="numbering" w:styleId="FrListare18213" w:customStyle="1">
    <w:name w:val="Fără Listare18213"/>
    <w:uiPriority w:val="99"/>
    <w:semiHidden/>
    <w:unhideWhenUsed/>
    <w:qFormat/>
    <w:rsid w:val="00ea1435"/>
  </w:style>
  <w:style w:type="numbering" w:styleId="FrListare19213" w:customStyle="1">
    <w:name w:val="Fără Listare19213"/>
    <w:uiPriority w:val="99"/>
    <w:semiHidden/>
    <w:unhideWhenUsed/>
    <w:qFormat/>
    <w:rsid w:val="00ea1435"/>
  </w:style>
  <w:style w:type="numbering" w:styleId="FrListare20213" w:customStyle="1">
    <w:name w:val="Fără Listare20213"/>
    <w:uiPriority w:val="99"/>
    <w:semiHidden/>
    <w:unhideWhenUsed/>
    <w:qFormat/>
    <w:rsid w:val="00ea1435"/>
  </w:style>
  <w:style w:type="numbering" w:styleId="FrListare110213" w:customStyle="1">
    <w:name w:val="Fără Listare110213"/>
    <w:uiPriority w:val="99"/>
    <w:semiHidden/>
    <w:unhideWhenUsed/>
    <w:qFormat/>
    <w:rsid w:val="00ea1435"/>
  </w:style>
  <w:style w:type="numbering" w:styleId="FrListare21213" w:customStyle="1">
    <w:name w:val="Fără Listare21213"/>
    <w:semiHidden/>
    <w:qFormat/>
    <w:rsid w:val="00ea1435"/>
  </w:style>
  <w:style w:type="numbering" w:styleId="FrListare22213" w:customStyle="1">
    <w:name w:val="Fără Listare22213"/>
    <w:semiHidden/>
    <w:qFormat/>
    <w:rsid w:val="00ea1435"/>
  </w:style>
  <w:style w:type="numbering" w:styleId="FrListare23213" w:customStyle="1">
    <w:name w:val="Fără Listare23213"/>
    <w:semiHidden/>
    <w:qFormat/>
    <w:rsid w:val="00ea1435"/>
  </w:style>
  <w:style w:type="numbering" w:styleId="FrListare24113" w:customStyle="1">
    <w:name w:val="Fără Listare24113"/>
    <w:uiPriority w:val="99"/>
    <w:semiHidden/>
    <w:unhideWhenUsed/>
    <w:qFormat/>
    <w:rsid w:val="00ea1435"/>
  </w:style>
  <w:style w:type="numbering" w:styleId="FrListare25113" w:customStyle="1">
    <w:name w:val="Fără Listare25113"/>
    <w:semiHidden/>
    <w:qFormat/>
    <w:rsid w:val="00ea1435"/>
  </w:style>
  <w:style w:type="numbering" w:styleId="FrListare111213" w:customStyle="1">
    <w:name w:val="Fără Listare111213"/>
    <w:semiHidden/>
    <w:unhideWhenUsed/>
    <w:qFormat/>
    <w:rsid w:val="00ea1435"/>
  </w:style>
  <w:style w:type="numbering" w:styleId="FrListare26113" w:customStyle="1">
    <w:name w:val="Fără Listare26113"/>
    <w:uiPriority w:val="99"/>
    <w:semiHidden/>
    <w:unhideWhenUsed/>
    <w:qFormat/>
    <w:rsid w:val="00ea1435"/>
  </w:style>
  <w:style w:type="numbering" w:styleId="FrListare27113" w:customStyle="1">
    <w:name w:val="Fără Listare27113"/>
    <w:semiHidden/>
    <w:qFormat/>
    <w:rsid w:val="00ea1435"/>
  </w:style>
  <w:style w:type="numbering" w:styleId="FrListare28112" w:customStyle="1">
    <w:name w:val="Fără Listare28112"/>
    <w:uiPriority w:val="99"/>
    <w:semiHidden/>
    <w:unhideWhenUsed/>
    <w:qFormat/>
    <w:rsid w:val="00ea1435"/>
  </w:style>
  <w:style w:type="numbering" w:styleId="FrListare112113" w:customStyle="1">
    <w:name w:val="Fără Listare112113"/>
    <w:uiPriority w:val="99"/>
    <w:semiHidden/>
    <w:unhideWhenUsed/>
    <w:qFormat/>
    <w:rsid w:val="00ea1435"/>
  </w:style>
  <w:style w:type="numbering" w:styleId="FrListare2912" w:customStyle="1">
    <w:name w:val="Fără Listare2912"/>
    <w:uiPriority w:val="99"/>
    <w:semiHidden/>
    <w:unhideWhenUsed/>
    <w:qFormat/>
    <w:rsid w:val="00ea1435"/>
  </w:style>
  <w:style w:type="numbering" w:styleId="FrListare31113" w:customStyle="1">
    <w:name w:val="Fără Listare31113"/>
    <w:semiHidden/>
    <w:qFormat/>
    <w:rsid w:val="00ea1435"/>
  </w:style>
  <w:style w:type="numbering" w:styleId="FrListare41113" w:customStyle="1">
    <w:name w:val="Fără Listare41113"/>
    <w:semiHidden/>
    <w:qFormat/>
    <w:rsid w:val="00ea1435"/>
  </w:style>
  <w:style w:type="numbering" w:styleId="FrListare51113" w:customStyle="1">
    <w:name w:val="Fără Listare51113"/>
    <w:uiPriority w:val="99"/>
    <w:semiHidden/>
    <w:unhideWhenUsed/>
    <w:qFormat/>
    <w:rsid w:val="00ea1435"/>
  </w:style>
  <w:style w:type="numbering" w:styleId="FrListare61113" w:customStyle="1">
    <w:name w:val="Fără Listare61113"/>
    <w:uiPriority w:val="99"/>
    <w:semiHidden/>
    <w:unhideWhenUsed/>
    <w:qFormat/>
    <w:rsid w:val="00ea1435"/>
  </w:style>
  <w:style w:type="numbering" w:styleId="FrListare71113" w:customStyle="1">
    <w:name w:val="Fără Listare71113"/>
    <w:uiPriority w:val="99"/>
    <w:semiHidden/>
    <w:unhideWhenUsed/>
    <w:qFormat/>
    <w:rsid w:val="00ea1435"/>
  </w:style>
  <w:style w:type="numbering" w:styleId="FrListare81113" w:customStyle="1">
    <w:name w:val="Fără Listare81113"/>
    <w:semiHidden/>
    <w:qFormat/>
    <w:rsid w:val="00ea1435"/>
  </w:style>
  <w:style w:type="numbering" w:styleId="FrListare91113" w:customStyle="1">
    <w:name w:val="Fără Listare91113"/>
    <w:uiPriority w:val="99"/>
    <w:semiHidden/>
    <w:unhideWhenUsed/>
    <w:qFormat/>
    <w:rsid w:val="00ea1435"/>
  </w:style>
  <w:style w:type="numbering" w:styleId="FrListare101113" w:customStyle="1">
    <w:name w:val="Fără Listare101113"/>
    <w:uiPriority w:val="99"/>
    <w:semiHidden/>
    <w:unhideWhenUsed/>
    <w:qFormat/>
    <w:rsid w:val="00ea1435"/>
  </w:style>
  <w:style w:type="numbering" w:styleId="FrListare113112" w:customStyle="1">
    <w:name w:val="Fără Listare113112"/>
    <w:uiPriority w:val="99"/>
    <w:semiHidden/>
    <w:unhideWhenUsed/>
    <w:qFormat/>
    <w:rsid w:val="00ea1435"/>
  </w:style>
  <w:style w:type="numbering" w:styleId="FrListare121113" w:customStyle="1">
    <w:name w:val="Fără Listare121113"/>
    <w:uiPriority w:val="99"/>
    <w:semiHidden/>
    <w:unhideWhenUsed/>
    <w:qFormat/>
    <w:rsid w:val="00ea1435"/>
  </w:style>
  <w:style w:type="numbering" w:styleId="FrListare131113" w:customStyle="1">
    <w:name w:val="Fără Listare131113"/>
    <w:uiPriority w:val="99"/>
    <w:semiHidden/>
    <w:unhideWhenUsed/>
    <w:qFormat/>
    <w:rsid w:val="00ea1435"/>
  </w:style>
  <w:style w:type="numbering" w:styleId="FrListare141113" w:customStyle="1">
    <w:name w:val="Fără Listare141113"/>
    <w:uiPriority w:val="99"/>
    <w:semiHidden/>
    <w:unhideWhenUsed/>
    <w:qFormat/>
    <w:rsid w:val="00ea1435"/>
  </w:style>
  <w:style w:type="numbering" w:styleId="FrListare151113" w:customStyle="1">
    <w:name w:val="Fără Listare151113"/>
    <w:uiPriority w:val="99"/>
    <w:semiHidden/>
    <w:unhideWhenUsed/>
    <w:qFormat/>
    <w:rsid w:val="00ea1435"/>
  </w:style>
  <w:style w:type="numbering" w:styleId="FrListare161113" w:customStyle="1">
    <w:name w:val="Fără Listare161113"/>
    <w:semiHidden/>
    <w:qFormat/>
    <w:rsid w:val="00ea1435"/>
  </w:style>
  <w:style w:type="numbering" w:styleId="FrListare171113" w:customStyle="1">
    <w:name w:val="Fără Listare171113"/>
    <w:uiPriority w:val="99"/>
    <w:semiHidden/>
    <w:unhideWhenUsed/>
    <w:qFormat/>
    <w:rsid w:val="00ea1435"/>
  </w:style>
  <w:style w:type="numbering" w:styleId="FrListare181113" w:customStyle="1">
    <w:name w:val="Fără Listare181113"/>
    <w:uiPriority w:val="99"/>
    <w:semiHidden/>
    <w:unhideWhenUsed/>
    <w:qFormat/>
    <w:rsid w:val="00ea1435"/>
  </w:style>
  <w:style w:type="numbering" w:styleId="FrListare191113" w:customStyle="1">
    <w:name w:val="Fără Listare191113"/>
    <w:uiPriority w:val="99"/>
    <w:semiHidden/>
    <w:unhideWhenUsed/>
    <w:qFormat/>
    <w:rsid w:val="00ea1435"/>
  </w:style>
  <w:style w:type="numbering" w:styleId="FrListare201113" w:customStyle="1">
    <w:name w:val="Fără Listare201113"/>
    <w:uiPriority w:val="99"/>
    <w:semiHidden/>
    <w:unhideWhenUsed/>
    <w:qFormat/>
    <w:rsid w:val="00ea1435"/>
  </w:style>
  <w:style w:type="numbering" w:styleId="FrListare1101113" w:customStyle="1">
    <w:name w:val="Fără Listare1101113"/>
    <w:uiPriority w:val="99"/>
    <w:semiHidden/>
    <w:unhideWhenUsed/>
    <w:qFormat/>
    <w:rsid w:val="00ea1435"/>
  </w:style>
  <w:style w:type="numbering" w:styleId="FrListare211113" w:customStyle="1">
    <w:name w:val="Fără Listare211113"/>
    <w:semiHidden/>
    <w:qFormat/>
    <w:rsid w:val="00ea1435"/>
  </w:style>
  <w:style w:type="numbering" w:styleId="FrListare221113" w:customStyle="1">
    <w:name w:val="Fără Listare221113"/>
    <w:semiHidden/>
    <w:qFormat/>
    <w:rsid w:val="00ea1435"/>
  </w:style>
  <w:style w:type="numbering" w:styleId="FrListare231113" w:customStyle="1">
    <w:name w:val="Fără Listare231113"/>
    <w:semiHidden/>
    <w:qFormat/>
    <w:rsid w:val="00ea1435"/>
  </w:style>
  <w:style w:type="numbering" w:styleId="FrListare241113" w:customStyle="1">
    <w:name w:val="Fără Listare241113"/>
    <w:uiPriority w:val="99"/>
    <w:semiHidden/>
    <w:unhideWhenUsed/>
    <w:qFormat/>
    <w:rsid w:val="00ea1435"/>
  </w:style>
  <w:style w:type="numbering" w:styleId="FrListare251113" w:customStyle="1">
    <w:name w:val="Fără Listare251113"/>
    <w:semiHidden/>
    <w:qFormat/>
    <w:rsid w:val="00ea1435"/>
  </w:style>
  <w:style w:type="numbering" w:styleId="FrListare1111212" w:customStyle="1">
    <w:name w:val="Fără Listare1111212"/>
    <w:semiHidden/>
    <w:unhideWhenUsed/>
    <w:qFormat/>
    <w:rsid w:val="00ea1435"/>
  </w:style>
  <w:style w:type="numbering" w:styleId="FrListare261112" w:customStyle="1">
    <w:name w:val="Fără Listare261112"/>
    <w:uiPriority w:val="99"/>
    <w:semiHidden/>
    <w:unhideWhenUsed/>
    <w:qFormat/>
    <w:rsid w:val="00ea1435"/>
  </w:style>
  <w:style w:type="numbering" w:styleId="FrListare271112" w:customStyle="1">
    <w:name w:val="Fără Listare271112"/>
    <w:semiHidden/>
    <w:qFormat/>
    <w:rsid w:val="00ea1435"/>
  </w:style>
  <w:style w:type="numbering" w:styleId="FrListare3012" w:customStyle="1">
    <w:name w:val="Fără Listare3012"/>
    <w:uiPriority w:val="99"/>
    <w:semiHidden/>
    <w:unhideWhenUsed/>
    <w:qFormat/>
    <w:rsid w:val="00ea1435"/>
  </w:style>
  <w:style w:type="numbering" w:styleId="FrListare114112" w:customStyle="1">
    <w:name w:val="Fără Listare114112"/>
    <w:uiPriority w:val="99"/>
    <w:semiHidden/>
    <w:unhideWhenUsed/>
    <w:qFormat/>
    <w:rsid w:val="00ea1435"/>
  </w:style>
  <w:style w:type="numbering" w:styleId="FrListare21012" w:customStyle="1">
    <w:name w:val="Fără Listare21012"/>
    <w:uiPriority w:val="99"/>
    <w:semiHidden/>
    <w:unhideWhenUsed/>
    <w:qFormat/>
    <w:rsid w:val="00ea1435"/>
  </w:style>
  <w:style w:type="numbering" w:styleId="FrListare32113" w:customStyle="1">
    <w:name w:val="Fără Listare32113"/>
    <w:semiHidden/>
    <w:qFormat/>
    <w:rsid w:val="00ea1435"/>
  </w:style>
  <w:style w:type="numbering" w:styleId="FrListare42113" w:customStyle="1">
    <w:name w:val="Fără Listare42113"/>
    <w:semiHidden/>
    <w:qFormat/>
    <w:rsid w:val="00ea1435"/>
  </w:style>
  <w:style w:type="numbering" w:styleId="FrListare52113" w:customStyle="1">
    <w:name w:val="Fără Listare52113"/>
    <w:uiPriority w:val="99"/>
    <w:semiHidden/>
    <w:unhideWhenUsed/>
    <w:qFormat/>
    <w:rsid w:val="00ea1435"/>
  </w:style>
  <w:style w:type="numbering" w:styleId="FrListare62112" w:customStyle="1">
    <w:name w:val="Fără Listare62112"/>
    <w:uiPriority w:val="99"/>
    <w:semiHidden/>
    <w:unhideWhenUsed/>
    <w:qFormat/>
    <w:rsid w:val="00ea1435"/>
  </w:style>
  <w:style w:type="numbering" w:styleId="FrListare72112" w:customStyle="1">
    <w:name w:val="Fără Listare72112"/>
    <w:uiPriority w:val="99"/>
    <w:semiHidden/>
    <w:unhideWhenUsed/>
    <w:qFormat/>
    <w:rsid w:val="00ea1435"/>
  </w:style>
  <w:style w:type="numbering" w:styleId="FrListare82112" w:customStyle="1">
    <w:name w:val="Fără Listare82112"/>
    <w:semiHidden/>
    <w:qFormat/>
    <w:rsid w:val="00ea1435"/>
  </w:style>
  <w:style w:type="numbering" w:styleId="FrListare92112" w:customStyle="1">
    <w:name w:val="Fără Listare92112"/>
    <w:uiPriority w:val="99"/>
    <w:semiHidden/>
    <w:unhideWhenUsed/>
    <w:qFormat/>
    <w:rsid w:val="00ea1435"/>
  </w:style>
  <w:style w:type="numbering" w:styleId="FrListare102112" w:customStyle="1">
    <w:name w:val="Fără Listare102112"/>
    <w:uiPriority w:val="99"/>
    <w:semiHidden/>
    <w:unhideWhenUsed/>
    <w:qFormat/>
    <w:rsid w:val="00ea1435"/>
  </w:style>
  <w:style w:type="numbering" w:styleId="FrListare11512" w:customStyle="1">
    <w:name w:val="Fără Listare11512"/>
    <w:uiPriority w:val="99"/>
    <w:semiHidden/>
    <w:unhideWhenUsed/>
    <w:qFormat/>
    <w:rsid w:val="00ea1435"/>
  </w:style>
  <w:style w:type="numbering" w:styleId="FrListare122112" w:customStyle="1">
    <w:name w:val="Fără Listare122112"/>
    <w:uiPriority w:val="99"/>
    <w:semiHidden/>
    <w:unhideWhenUsed/>
    <w:qFormat/>
    <w:rsid w:val="00ea1435"/>
  </w:style>
  <w:style w:type="numbering" w:styleId="FrListare132112" w:customStyle="1">
    <w:name w:val="Fără Listare132112"/>
    <w:uiPriority w:val="99"/>
    <w:semiHidden/>
    <w:unhideWhenUsed/>
    <w:qFormat/>
    <w:rsid w:val="00ea1435"/>
  </w:style>
  <w:style w:type="numbering" w:styleId="FrListare142112" w:customStyle="1">
    <w:name w:val="Fără Listare142112"/>
    <w:uiPriority w:val="99"/>
    <w:semiHidden/>
    <w:unhideWhenUsed/>
    <w:qFormat/>
    <w:rsid w:val="00ea1435"/>
  </w:style>
  <w:style w:type="numbering" w:styleId="FrListare152112" w:customStyle="1">
    <w:name w:val="Fără Listare152112"/>
    <w:uiPriority w:val="99"/>
    <w:semiHidden/>
    <w:unhideWhenUsed/>
    <w:qFormat/>
    <w:rsid w:val="00ea1435"/>
  </w:style>
  <w:style w:type="numbering" w:styleId="FrListare162112" w:customStyle="1">
    <w:name w:val="Fără Listare162112"/>
    <w:semiHidden/>
    <w:qFormat/>
    <w:rsid w:val="00ea1435"/>
  </w:style>
  <w:style w:type="numbering" w:styleId="FrListare172112" w:customStyle="1">
    <w:name w:val="Fără Listare172112"/>
    <w:uiPriority w:val="99"/>
    <w:semiHidden/>
    <w:unhideWhenUsed/>
    <w:qFormat/>
    <w:rsid w:val="00ea1435"/>
  </w:style>
  <w:style w:type="numbering" w:styleId="FrListare182112" w:customStyle="1">
    <w:name w:val="Fără Listare182112"/>
    <w:uiPriority w:val="99"/>
    <w:semiHidden/>
    <w:unhideWhenUsed/>
    <w:qFormat/>
    <w:rsid w:val="00ea1435"/>
  </w:style>
  <w:style w:type="numbering" w:styleId="FrListare192112" w:customStyle="1">
    <w:name w:val="Fără Listare192112"/>
    <w:uiPriority w:val="99"/>
    <w:semiHidden/>
    <w:unhideWhenUsed/>
    <w:qFormat/>
    <w:rsid w:val="00ea1435"/>
  </w:style>
  <w:style w:type="numbering" w:styleId="FrListare202112" w:customStyle="1">
    <w:name w:val="Fără Listare202112"/>
    <w:uiPriority w:val="99"/>
    <w:semiHidden/>
    <w:unhideWhenUsed/>
    <w:qFormat/>
    <w:rsid w:val="00ea1435"/>
  </w:style>
  <w:style w:type="numbering" w:styleId="FrListare1102112" w:customStyle="1">
    <w:name w:val="Fără Listare1102112"/>
    <w:uiPriority w:val="99"/>
    <w:semiHidden/>
    <w:unhideWhenUsed/>
    <w:qFormat/>
    <w:rsid w:val="00ea1435"/>
  </w:style>
  <w:style w:type="numbering" w:styleId="FrListare212112" w:customStyle="1">
    <w:name w:val="Fără Listare212112"/>
    <w:semiHidden/>
    <w:qFormat/>
    <w:rsid w:val="00ea1435"/>
  </w:style>
  <w:style w:type="numbering" w:styleId="FrListare222112" w:customStyle="1">
    <w:name w:val="Fără Listare222112"/>
    <w:semiHidden/>
    <w:qFormat/>
    <w:rsid w:val="00ea1435"/>
  </w:style>
  <w:style w:type="numbering" w:styleId="FrListare232112" w:customStyle="1">
    <w:name w:val="Fără Listare232112"/>
    <w:semiHidden/>
    <w:qFormat/>
    <w:rsid w:val="00ea1435"/>
  </w:style>
  <w:style w:type="numbering" w:styleId="FrListare24212" w:customStyle="1">
    <w:name w:val="Fără Listare24212"/>
    <w:uiPriority w:val="99"/>
    <w:semiHidden/>
    <w:unhideWhenUsed/>
    <w:qFormat/>
    <w:rsid w:val="00ea1435"/>
  </w:style>
  <w:style w:type="numbering" w:styleId="FrListare25212" w:customStyle="1">
    <w:name w:val="Fără Listare25212"/>
    <w:semiHidden/>
    <w:qFormat/>
    <w:rsid w:val="00ea1435"/>
  </w:style>
  <w:style w:type="numbering" w:styleId="FrListare1112112" w:customStyle="1">
    <w:name w:val="Fără Listare1112112"/>
    <w:semiHidden/>
    <w:unhideWhenUsed/>
    <w:qFormat/>
    <w:rsid w:val="00ea1435"/>
  </w:style>
  <w:style w:type="numbering" w:styleId="FrListare26212" w:customStyle="1">
    <w:name w:val="Fără Listare26212"/>
    <w:uiPriority w:val="99"/>
    <w:semiHidden/>
    <w:unhideWhenUsed/>
    <w:qFormat/>
    <w:rsid w:val="00ea1435"/>
  </w:style>
  <w:style w:type="numbering" w:styleId="FrListare27212" w:customStyle="1">
    <w:name w:val="Fără Listare27212"/>
    <w:semiHidden/>
    <w:qFormat/>
    <w:rsid w:val="00ea1435"/>
  </w:style>
  <w:style w:type="numbering" w:styleId="FrListare3313" w:customStyle="1">
    <w:name w:val="Fără Listare3313"/>
    <w:uiPriority w:val="99"/>
    <w:semiHidden/>
    <w:unhideWhenUsed/>
    <w:qFormat/>
    <w:rsid w:val="00ea1435"/>
  </w:style>
  <w:style w:type="numbering" w:styleId="FrListare11612" w:customStyle="1">
    <w:name w:val="Fără Listare11612"/>
    <w:semiHidden/>
    <w:qFormat/>
    <w:rsid w:val="00ea1435"/>
  </w:style>
  <w:style w:type="numbering" w:styleId="FrListare3413" w:customStyle="1">
    <w:name w:val="Fără Listare3413"/>
    <w:uiPriority w:val="99"/>
    <w:semiHidden/>
    <w:unhideWhenUsed/>
    <w:qFormat/>
    <w:rsid w:val="00ea1435"/>
  </w:style>
  <w:style w:type="numbering" w:styleId="FrListare3512" w:customStyle="1">
    <w:name w:val="Fără Listare3512"/>
    <w:semiHidden/>
    <w:qFormat/>
    <w:rsid w:val="00ea1435"/>
  </w:style>
  <w:style w:type="numbering" w:styleId="FrListare3612" w:customStyle="1">
    <w:name w:val="Fără Listare3612"/>
    <w:semiHidden/>
    <w:qFormat/>
    <w:rsid w:val="00ea1435"/>
  </w:style>
  <w:style w:type="numbering" w:styleId="FrListare3712" w:customStyle="1">
    <w:name w:val="Fără Listare3712"/>
    <w:semiHidden/>
    <w:unhideWhenUsed/>
    <w:qFormat/>
    <w:rsid w:val="00ea1435"/>
  </w:style>
  <w:style w:type="numbering" w:styleId="FrListare3812" w:customStyle="1">
    <w:name w:val="Fără Listare3812"/>
    <w:semiHidden/>
    <w:qFormat/>
    <w:rsid w:val="00ea1435"/>
  </w:style>
  <w:style w:type="numbering" w:styleId="FrListare3912" w:customStyle="1">
    <w:name w:val="Fără Listare3912"/>
    <w:uiPriority w:val="99"/>
    <w:semiHidden/>
    <w:unhideWhenUsed/>
    <w:qFormat/>
    <w:rsid w:val="00ea1435"/>
  </w:style>
  <w:style w:type="numbering" w:styleId="FrListare4012" w:customStyle="1">
    <w:name w:val="Fără Listare4012"/>
    <w:uiPriority w:val="99"/>
    <w:semiHidden/>
    <w:unhideWhenUsed/>
    <w:qFormat/>
    <w:rsid w:val="00ea1435"/>
  </w:style>
  <w:style w:type="numbering" w:styleId="FrListare4312" w:customStyle="1">
    <w:name w:val="Fără Listare4312"/>
    <w:uiPriority w:val="99"/>
    <w:semiHidden/>
    <w:unhideWhenUsed/>
    <w:qFormat/>
    <w:rsid w:val="00ea1435"/>
  </w:style>
  <w:style w:type="numbering" w:styleId="FrListare4412" w:customStyle="1">
    <w:name w:val="Fără Listare4412"/>
    <w:uiPriority w:val="99"/>
    <w:semiHidden/>
    <w:unhideWhenUsed/>
    <w:qFormat/>
    <w:rsid w:val="00ea1435"/>
  </w:style>
  <w:style w:type="numbering" w:styleId="FrListare4512" w:customStyle="1">
    <w:name w:val="Fără Listare4512"/>
    <w:uiPriority w:val="99"/>
    <w:semiHidden/>
    <w:unhideWhenUsed/>
    <w:qFormat/>
    <w:rsid w:val="00ea1435"/>
  </w:style>
  <w:style w:type="numbering" w:styleId="FrListare4612" w:customStyle="1">
    <w:name w:val="Fără Listare4612"/>
    <w:uiPriority w:val="99"/>
    <w:semiHidden/>
    <w:unhideWhenUsed/>
    <w:qFormat/>
    <w:rsid w:val="00ea1435"/>
  </w:style>
  <w:style w:type="numbering" w:styleId="FrListare4712" w:customStyle="1">
    <w:name w:val="Fără Listare4712"/>
    <w:uiPriority w:val="99"/>
    <w:semiHidden/>
    <w:unhideWhenUsed/>
    <w:qFormat/>
    <w:rsid w:val="00ea1435"/>
  </w:style>
  <w:style w:type="numbering" w:styleId="FrListare4812" w:customStyle="1">
    <w:name w:val="Fără Listare4812"/>
    <w:uiPriority w:val="99"/>
    <w:semiHidden/>
    <w:unhideWhenUsed/>
    <w:qFormat/>
    <w:rsid w:val="00ea1435"/>
  </w:style>
  <w:style w:type="numbering" w:styleId="FrListare4912" w:customStyle="1">
    <w:name w:val="Fără Listare4912"/>
    <w:uiPriority w:val="99"/>
    <w:semiHidden/>
    <w:unhideWhenUsed/>
    <w:qFormat/>
    <w:rsid w:val="00ea1435"/>
  </w:style>
  <w:style w:type="numbering" w:styleId="FrListare5012" w:customStyle="1">
    <w:name w:val="Fără Listare5012"/>
    <w:uiPriority w:val="99"/>
    <w:semiHidden/>
    <w:unhideWhenUsed/>
    <w:qFormat/>
    <w:rsid w:val="00ea1435"/>
  </w:style>
  <w:style w:type="numbering" w:styleId="FrListare5312" w:customStyle="1">
    <w:name w:val="Fără Listare5312"/>
    <w:semiHidden/>
    <w:unhideWhenUsed/>
    <w:qFormat/>
    <w:rsid w:val="00ea1435"/>
  </w:style>
  <w:style w:type="numbering" w:styleId="FrListare5412" w:customStyle="1">
    <w:name w:val="Fără Listare5412"/>
    <w:uiPriority w:val="99"/>
    <w:semiHidden/>
    <w:unhideWhenUsed/>
    <w:qFormat/>
    <w:rsid w:val="00ea1435"/>
  </w:style>
  <w:style w:type="numbering" w:styleId="FrListare5512" w:customStyle="1">
    <w:name w:val="Fără Listare5512"/>
    <w:uiPriority w:val="99"/>
    <w:semiHidden/>
    <w:unhideWhenUsed/>
    <w:qFormat/>
    <w:rsid w:val="00ea1435"/>
  </w:style>
  <w:style w:type="numbering" w:styleId="FrListare5612" w:customStyle="1">
    <w:name w:val="Fără Listare5612"/>
    <w:uiPriority w:val="99"/>
    <w:semiHidden/>
    <w:unhideWhenUsed/>
    <w:qFormat/>
    <w:rsid w:val="00ea1435"/>
  </w:style>
  <w:style w:type="numbering" w:styleId="FrListare5712" w:customStyle="1">
    <w:name w:val="Fără Listare5712"/>
    <w:uiPriority w:val="99"/>
    <w:semiHidden/>
    <w:unhideWhenUsed/>
    <w:qFormat/>
    <w:rsid w:val="00ea1435"/>
  </w:style>
  <w:style w:type="numbering" w:styleId="FrListare5812" w:customStyle="1">
    <w:name w:val="Fără Listare5812"/>
    <w:semiHidden/>
    <w:unhideWhenUsed/>
    <w:qFormat/>
    <w:rsid w:val="00ea1435"/>
  </w:style>
  <w:style w:type="numbering" w:styleId="FrListare5912" w:customStyle="1">
    <w:name w:val="Fără Listare5912"/>
    <w:uiPriority w:val="99"/>
    <w:semiHidden/>
    <w:unhideWhenUsed/>
    <w:qFormat/>
    <w:rsid w:val="00ea1435"/>
  </w:style>
  <w:style w:type="numbering" w:styleId="FrListare6012" w:customStyle="1">
    <w:name w:val="Fără Listare6012"/>
    <w:uiPriority w:val="99"/>
    <w:semiHidden/>
    <w:unhideWhenUsed/>
    <w:qFormat/>
    <w:rsid w:val="00ea1435"/>
  </w:style>
  <w:style w:type="numbering" w:styleId="FrListare6312" w:customStyle="1">
    <w:name w:val="Fără Listare6312"/>
    <w:uiPriority w:val="99"/>
    <w:semiHidden/>
    <w:unhideWhenUsed/>
    <w:qFormat/>
    <w:rsid w:val="00ea1435"/>
  </w:style>
  <w:style w:type="numbering" w:styleId="FrListare6412" w:customStyle="1">
    <w:name w:val="Fără Listare6412"/>
    <w:uiPriority w:val="99"/>
    <w:semiHidden/>
    <w:unhideWhenUsed/>
    <w:qFormat/>
    <w:rsid w:val="00ea1435"/>
  </w:style>
  <w:style w:type="numbering" w:styleId="FrListare6512" w:customStyle="1">
    <w:name w:val="Fără Listare6512"/>
    <w:uiPriority w:val="99"/>
    <w:semiHidden/>
    <w:unhideWhenUsed/>
    <w:qFormat/>
    <w:rsid w:val="00ea1435"/>
  </w:style>
  <w:style w:type="numbering" w:styleId="FrListare6612" w:customStyle="1">
    <w:name w:val="Fără Listare6612"/>
    <w:uiPriority w:val="99"/>
    <w:semiHidden/>
    <w:unhideWhenUsed/>
    <w:qFormat/>
    <w:rsid w:val="00ea1435"/>
  </w:style>
  <w:style w:type="numbering" w:styleId="FrListare6712" w:customStyle="1">
    <w:name w:val="Fără Listare6712"/>
    <w:uiPriority w:val="99"/>
    <w:semiHidden/>
    <w:qFormat/>
    <w:rsid w:val="00ea1435"/>
  </w:style>
  <w:style w:type="numbering" w:styleId="FrListare11712" w:customStyle="1">
    <w:name w:val="Fără Listare11712"/>
    <w:uiPriority w:val="99"/>
    <w:semiHidden/>
    <w:unhideWhenUsed/>
    <w:qFormat/>
    <w:rsid w:val="00ea1435"/>
  </w:style>
  <w:style w:type="numbering" w:styleId="FrListare11812" w:customStyle="1">
    <w:name w:val="Fără Listare11812"/>
    <w:uiPriority w:val="99"/>
    <w:semiHidden/>
    <w:qFormat/>
    <w:rsid w:val="00ea1435"/>
  </w:style>
  <w:style w:type="numbering" w:styleId="FrListare21312" w:customStyle="1">
    <w:name w:val="Fără Listare21312"/>
    <w:uiPriority w:val="99"/>
    <w:semiHidden/>
    <w:unhideWhenUsed/>
    <w:qFormat/>
    <w:rsid w:val="00ea1435"/>
  </w:style>
  <w:style w:type="numbering" w:styleId="FrListare31012" w:customStyle="1">
    <w:name w:val="Fără Listare31012"/>
    <w:semiHidden/>
    <w:unhideWhenUsed/>
    <w:qFormat/>
    <w:rsid w:val="00ea1435"/>
  </w:style>
  <w:style w:type="numbering" w:styleId="FrListare41012" w:customStyle="1">
    <w:name w:val="Fără Listare41012"/>
    <w:semiHidden/>
    <w:unhideWhenUsed/>
    <w:qFormat/>
    <w:rsid w:val="00ea1435"/>
  </w:style>
  <w:style w:type="numbering" w:styleId="FrListare51012" w:customStyle="1">
    <w:name w:val="Fără Listare51012"/>
    <w:uiPriority w:val="99"/>
    <w:semiHidden/>
    <w:unhideWhenUsed/>
    <w:qFormat/>
    <w:rsid w:val="00ea1435"/>
  </w:style>
  <w:style w:type="numbering" w:styleId="FrListare6812" w:customStyle="1">
    <w:name w:val="Fără Listare6812"/>
    <w:uiPriority w:val="99"/>
    <w:semiHidden/>
    <w:unhideWhenUsed/>
    <w:qFormat/>
    <w:rsid w:val="00ea1435"/>
  </w:style>
  <w:style w:type="numbering" w:styleId="FrListare7312" w:customStyle="1">
    <w:name w:val="Fără Listare7312"/>
    <w:uiPriority w:val="99"/>
    <w:semiHidden/>
    <w:unhideWhenUsed/>
    <w:qFormat/>
    <w:rsid w:val="00ea1435"/>
  </w:style>
  <w:style w:type="numbering" w:styleId="FrListare8312" w:customStyle="1">
    <w:name w:val="Fără Listare8312"/>
    <w:semiHidden/>
    <w:qFormat/>
    <w:rsid w:val="00ea1435"/>
  </w:style>
  <w:style w:type="numbering" w:styleId="FrListare9312" w:customStyle="1">
    <w:name w:val="Fără Listare9312"/>
    <w:uiPriority w:val="99"/>
    <w:semiHidden/>
    <w:unhideWhenUsed/>
    <w:qFormat/>
    <w:rsid w:val="00ea1435"/>
  </w:style>
  <w:style w:type="numbering" w:styleId="FrListare10312" w:customStyle="1">
    <w:name w:val="Fără Listare10312"/>
    <w:uiPriority w:val="99"/>
    <w:semiHidden/>
    <w:unhideWhenUsed/>
    <w:qFormat/>
    <w:rsid w:val="00ea1435"/>
  </w:style>
  <w:style w:type="numbering" w:styleId="FrListare111312" w:customStyle="1">
    <w:name w:val="Fără Listare111312"/>
    <w:uiPriority w:val="99"/>
    <w:semiHidden/>
    <w:unhideWhenUsed/>
    <w:qFormat/>
    <w:rsid w:val="00ea1435"/>
  </w:style>
  <w:style w:type="numbering" w:styleId="FrListare12312" w:customStyle="1">
    <w:name w:val="Fără Listare12312"/>
    <w:uiPriority w:val="99"/>
    <w:semiHidden/>
    <w:unhideWhenUsed/>
    <w:qFormat/>
    <w:rsid w:val="00ea1435"/>
  </w:style>
  <w:style w:type="numbering" w:styleId="FrListare13312" w:customStyle="1">
    <w:name w:val="Fără Listare13312"/>
    <w:uiPriority w:val="99"/>
    <w:semiHidden/>
    <w:unhideWhenUsed/>
    <w:qFormat/>
    <w:rsid w:val="00ea1435"/>
  </w:style>
  <w:style w:type="numbering" w:styleId="FrListare14312" w:customStyle="1">
    <w:name w:val="Fără Listare14312"/>
    <w:uiPriority w:val="99"/>
    <w:semiHidden/>
    <w:unhideWhenUsed/>
    <w:qFormat/>
    <w:rsid w:val="00ea1435"/>
  </w:style>
  <w:style w:type="numbering" w:styleId="FrListare15312" w:customStyle="1">
    <w:name w:val="Fără Listare15312"/>
    <w:uiPriority w:val="99"/>
    <w:semiHidden/>
    <w:unhideWhenUsed/>
    <w:qFormat/>
    <w:rsid w:val="00ea1435"/>
  </w:style>
  <w:style w:type="numbering" w:styleId="FrListare16312" w:customStyle="1">
    <w:name w:val="Fără Listare16312"/>
    <w:semiHidden/>
    <w:qFormat/>
    <w:rsid w:val="00ea1435"/>
  </w:style>
  <w:style w:type="numbering" w:styleId="FrListare17312" w:customStyle="1">
    <w:name w:val="Fără Listare17312"/>
    <w:uiPriority w:val="99"/>
    <w:semiHidden/>
    <w:unhideWhenUsed/>
    <w:qFormat/>
    <w:rsid w:val="00ea1435"/>
  </w:style>
  <w:style w:type="numbering" w:styleId="FrListare18312" w:customStyle="1">
    <w:name w:val="Fără Listare18312"/>
    <w:uiPriority w:val="99"/>
    <w:semiHidden/>
    <w:unhideWhenUsed/>
    <w:qFormat/>
    <w:rsid w:val="00ea1435"/>
  </w:style>
  <w:style w:type="numbering" w:styleId="FrListare19312" w:customStyle="1">
    <w:name w:val="Fără Listare19312"/>
    <w:uiPriority w:val="99"/>
    <w:semiHidden/>
    <w:unhideWhenUsed/>
    <w:qFormat/>
    <w:rsid w:val="00ea1435"/>
  </w:style>
  <w:style w:type="numbering" w:styleId="FrListare20312" w:customStyle="1">
    <w:name w:val="Fără Listare20312"/>
    <w:uiPriority w:val="99"/>
    <w:semiHidden/>
    <w:unhideWhenUsed/>
    <w:qFormat/>
    <w:rsid w:val="00ea1435"/>
  </w:style>
  <w:style w:type="numbering" w:styleId="FrListare110312" w:customStyle="1">
    <w:name w:val="Fără Listare110312"/>
    <w:uiPriority w:val="99"/>
    <w:semiHidden/>
    <w:unhideWhenUsed/>
    <w:qFormat/>
    <w:rsid w:val="00ea1435"/>
  </w:style>
  <w:style w:type="numbering" w:styleId="FrListare21412" w:customStyle="1">
    <w:name w:val="Fără Listare21412"/>
    <w:uiPriority w:val="99"/>
    <w:semiHidden/>
    <w:unhideWhenUsed/>
    <w:qFormat/>
    <w:rsid w:val="00ea1435"/>
  </w:style>
  <w:style w:type="numbering" w:styleId="FrListare22312" w:customStyle="1">
    <w:name w:val="Fără Listare22312"/>
    <w:uiPriority w:val="99"/>
    <w:semiHidden/>
    <w:unhideWhenUsed/>
    <w:qFormat/>
    <w:rsid w:val="00ea1435"/>
  </w:style>
  <w:style w:type="numbering" w:styleId="FrListare23312" w:customStyle="1">
    <w:name w:val="Fără Listare23312"/>
    <w:uiPriority w:val="99"/>
    <w:semiHidden/>
    <w:unhideWhenUsed/>
    <w:qFormat/>
    <w:rsid w:val="00ea1435"/>
  </w:style>
  <w:style w:type="numbering" w:styleId="FrListare24312" w:customStyle="1">
    <w:name w:val="Fără Listare24312"/>
    <w:semiHidden/>
    <w:qFormat/>
    <w:rsid w:val="00ea1435"/>
  </w:style>
  <w:style w:type="numbering" w:styleId="FrListare11111113" w:customStyle="1">
    <w:name w:val="Fără Listare11111113"/>
    <w:uiPriority w:val="99"/>
    <w:semiHidden/>
    <w:qFormat/>
    <w:rsid w:val="00ea1435"/>
  </w:style>
  <w:style w:type="numbering" w:styleId="FrListare1121113" w:customStyle="1">
    <w:name w:val="Fără Listare1121113"/>
    <w:uiPriority w:val="99"/>
    <w:semiHidden/>
    <w:qFormat/>
    <w:rsid w:val="00ea1435"/>
  </w:style>
  <w:style w:type="numbering" w:styleId="FrListare25312" w:customStyle="1">
    <w:name w:val="Fără Listare25312"/>
    <w:uiPriority w:val="99"/>
    <w:semiHidden/>
    <w:unhideWhenUsed/>
    <w:qFormat/>
    <w:rsid w:val="00ea1435"/>
  </w:style>
  <w:style w:type="numbering" w:styleId="FrListare311113" w:customStyle="1">
    <w:name w:val="Fără Listare311113"/>
    <w:semiHidden/>
    <w:unhideWhenUsed/>
    <w:qFormat/>
    <w:rsid w:val="00ea1435"/>
  </w:style>
  <w:style w:type="numbering" w:styleId="FrListare411113" w:customStyle="1">
    <w:name w:val="Fără Listare411113"/>
    <w:semiHidden/>
    <w:unhideWhenUsed/>
    <w:qFormat/>
    <w:rsid w:val="00ea1435"/>
  </w:style>
  <w:style w:type="numbering" w:styleId="FrListare511113" w:customStyle="1">
    <w:name w:val="Fără Listare511113"/>
    <w:uiPriority w:val="99"/>
    <w:semiHidden/>
    <w:unhideWhenUsed/>
    <w:qFormat/>
    <w:rsid w:val="00ea1435"/>
  </w:style>
  <w:style w:type="numbering" w:styleId="FrListare611113" w:customStyle="1">
    <w:name w:val="Fără Listare611113"/>
    <w:uiPriority w:val="99"/>
    <w:semiHidden/>
    <w:unhideWhenUsed/>
    <w:qFormat/>
    <w:rsid w:val="00ea1435"/>
  </w:style>
  <w:style w:type="numbering" w:styleId="FrListare711113" w:customStyle="1">
    <w:name w:val="Fără Listare711113"/>
    <w:uiPriority w:val="99"/>
    <w:semiHidden/>
    <w:unhideWhenUsed/>
    <w:qFormat/>
    <w:rsid w:val="00ea1435"/>
  </w:style>
  <w:style w:type="numbering" w:styleId="FrListare811113" w:customStyle="1">
    <w:name w:val="Fără Listare811113"/>
    <w:semiHidden/>
    <w:qFormat/>
    <w:rsid w:val="00ea1435"/>
  </w:style>
  <w:style w:type="numbering" w:styleId="FrListare911113" w:customStyle="1">
    <w:name w:val="Fără Listare911113"/>
    <w:uiPriority w:val="99"/>
    <w:semiHidden/>
    <w:unhideWhenUsed/>
    <w:qFormat/>
    <w:rsid w:val="00ea1435"/>
  </w:style>
  <w:style w:type="numbering" w:styleId="FrListare1011113" w:customStyle="1">
    <w:name w:val="Fără Listare1011113"/>
    <w:uiPriority w:val="99"/>
    <w:semiHidden/>
    <w:unhideWhenUsed/>
    <w:qFormat/>
    <w:rsid w:val="00ea1435"/>
  </w:style>
  <w:style w:type="numbering" w:styleId="FrListare111111113" w:customStyle="1">
    <w:name w:val="Fără Listare111111113"/>
    <w:uiPriority w:val="99"/>
    <w:semiHidden/>
    <w:unhideWhenUsed/>
    <w:qFormat/>
    <w:rsid w:val="00ea1435"/>
  </w:style>
  <w:style w:type="numbering" w:styleId="FrListare1211113" w:customStyle="1">
    <w:name w:val="Fără Listare1211113"/>
    <w:uiPriority w:val="99"/>
    <w:semiHidden/>
    <w:unhideWhenUsed/>
    <w:qFormat/>
    <w:rsid w:val="00ea1435"/>
  </w:style>
  <w:style w:type="numbering" w:styleId="FrListare1311113" w:customStyle="1">
    <w:name w:val="Fără Listare1311113"/>
    <w:uiPriority w:val="99"/>
    <w:semiHidden/>
    <w:unhideWhenUsed/>
    <w:qFormat/>
    <w:rsid w:val="00ea1435"/>
  </w:style>
  <w:style w:type="numbering" w:styleId="FrListare1411113" w:customStyle="1">
    <w:name w:val="Fără Listare1411113"/>
    <w:uiPriority w:val="99"/>
    <w:semiHidden/>
    <w:unhideWhenUsed/>
    <w:qFormat/>
    <w:rsid w:val="00ea1435"/>
  </w:style>
  <w:style w:type="numbering" w:styleId="FrListare1511113" w:customStyle="1">
    <w:name w:val="Fără Listare1511113"/>
    <w:uiPriority w:val="99"/>
    <w:semiHidden/>
    <w:unhideWhenUsed/>
    <w:qFormat/>
    <w:rsid w:val="00ea1435"/>
  </w:style>
  <w:style w:type="numbering" w:styleId="FrListare1611113" w:customStyle="1">
    <w:name w:val="Fără Listare1611113"/>
    <w:semiHidden/>
    <w:qFormat/>
    <w:rsid w:val="00ea1435"/>
  </w:style>
  <w:style w:type="numbering" w:styleId="FrListare1711113" w:customStyle="1">
    <w:name w:val="Fără Listare1711113"/>
    <w:uiPriority w:val="99"/>
    <w:semiHidden/>
    <w:unhideWhenUsed/>
    <w:qFormat/>
    <w:rsid w:val="00ea1435"/>
  </w:style>
  <w:style w:type="numbering" w:styleId="FrListare1811113" w:customStyle="1">
    <w:name w:val="Fără Listare1811113"/>
    <w:uiPriority w:val="99"/>
    <w:semiHidden/>
    <w:unhideWhenUsed/>
    <w:qFormat/>
    <w:rsid w:val="00ea1435"/>
  </w:style>
  <w:style w:type="numbering" w:styleId="FrListare1911113" w:customStyle="1">
    <w:name w:val="Fără Listare1911113"/>
    <w:uiPriority w:val="99"/>
    <w:semiHidden/>
    <w:unhideWhenUsed/>
    <w:qFormat/>
    <w:rsid w:val="00ea1435"/>
  </w:style>
  <w:style w:type="numbering" w:styleId="FrListare2011113" w:customStyle="1">
    <w:name w:val="Fără Listare2011113"/>
    <w:uiPriority w:val="99"/>
    <w:semiHidden/>
    <w:unhideWhenUsed/>
    <w:qFormat/>
    <w:rsid w:val="00ea1435"/>
  </w:style>
  <w:style w:type="numbering" w:styleId="FrListare11011113" w:customStyle="1">
    <w:name w:val="Fără Listare11011113"/>
    <w:uiPriority w:val="99"/>
    <w:semiHidden/>
    <w:unhideWhenUsed/>
    <w:qFormat/>
    <w:rsid w:val="00ea1435"/>
  </w:style>
  <w:style w:type="numbering" w:styleId="FrListare2111113" w:customStyle="1">
    <w:name w:val="Fără Listare2111113"/>
    <w:uiPriority w:val="99"/>
    <w:semiHidden/>
    <w:unhideWhenUsed/>
    <w:qFormat/>
    <w:rsid w:val="00ea1435"/>
  </w:style>
  <w:style w:type="numbering" w:styleId="FrListare2211113" w:customStyle="1">
    <w:name w:val="Fără Listare2211113"/>
    <w:uiPriority w:val="99"/>
    <w:semiHidden/>
    <w:unhideWhenUsed/>
    <w:qFormat/>
    <w:rsid w:val="00ea1435"/>
  </w:style>
  <w:style w:type="numbering" w:styleId="FrListare2311113" w:customStyle="1">
    <w:name w:val="Fără Listare2311113"/>
    <w:uiPriority w:val="99"/>
    <w:semiHidden/>
    <w:unhideWhenUsed/>
    <w:qFormat/>
    <w:rsid w:val="00ea1435"/>
  </w:style>
  <w:style w:type="numbering" w:styleId="FrListare26312" w:customStyle="1">
    <w:name w:val="Fără Listare26312"/>
    <w:uiPriority w:val="99"/>
    <w:semiHidden/>
    <w:unhideWhenUsed/>
    <w:qFormat/>
    <w:rsid w:val="00ea1435"/>
  </w:style>
  <w:style w:type="numbering" w:styleId="FrListare702" w:customStyle="1">
    <w:name w:val="Fără Listare702"/>
    <w:uiPriority w:val="99"/>
    <w:semiHidden/>
    <w:unhideWhenUsed/>
    <w:qFormat/>
    <w:rsid w:val="00ea1435"/>
  </w:style>
  <w:style w:type="numbering" w:styleId="FrListare752" w:customStyle="1">
    <w:name w:val="Fără Listare752"/>
    <w:uiPriority w:val="99"/>
    <w:semiHidden/>
    <w:unhideWhenUsed/>
    <w:qFormat/>
    <w:rsid w:val="00ea1435"/>
  </w:style>
  <w:style w:type="numbering" w:styleId="FrListare761" w:customStyle="1">
    <w:name w:val="Fără Listare761"/>
    <w:semiHidden/>
    <w:qFormat/>
    <w:rsid w:val="00ea1435"/>
  </w:style>
  <w:style w:type="numbering" w:styleId="NoList5" w:customStyle="1">
    <w:name w:val="No List5"/>
    <w:uiPriority w:val="99"/>
    <w:semiHidden/>
    <w:unhideWhenUsed/>
    <w:qFormat/>
    <w:rsid w:val="00ea1435"/>
  </w:style>
  <w:style w:type="numbering" w:styleId="NoList6" w:customStyle="1">
    <w:name w:val="No List6"/>
    <w:uiPriority w:val="99"/>
    <w:semiHidden/>
    <w:unhideWhenUsed/>
    <w:qFormat/>
    <w:rsid w:val="00ea1435"/>
  </w:style>
  <w:style w:type="numbering" w:styleId="NoList12" w:customStyle="1">
    <w:name w:val="No List12"/>
    <w:semiHidden/>
    <w:unhideWhenUsed/>
    <w:qFormat/>
    <w:rsid w:val="00ea1435"/>
  </w:style>
  <w:style w:type="numbering" w:styleId="NoList22" w:customStyle="1">
    <w:name w:val="No List22"/>
    <w:uiPriority w:val="99"/>
    <w:semiHidden/>
    <w:unhideWhenUsed/>
    <w:qFormat/>
    <w:rsid w:val="00ea1435"/>
  </w:style>
  <w:style w:type="numbering" w:styleId="NoList32" w:customStyle="1">
    <w:name w:val="No List32"/>
    <w:uiPriority w:val="99"/>
    <w:semiHidden/>
    <w:unhideWhenUsed/>
    <w:qFormat/>
    <w:rsid w:val="00ea1435"/>
  </w:style>
  <w:style w:type="numbering" w:styleId="NoList41" w:customStyle="1">
    <w:name w:val="No List41"/>
    <w:semiHidden/>
    <w:unhideWhenUsed/>
    <w:qFormat/>
    <w:rsid w:val="00ea1435"/>
  </w:style>
  <w:style w:type="numbering" w:styleId="NoList111" w:customStyle="1">
    <w:name w:val="No List111"/>
    <w:uiPriority w:val="99"/>
    <w:semiHidden/>
    <w:unhideWhenUsed/>
    <w:qFormat/>
    <w:rsid w:val="00ea1435"/>
  </w:style>
  <w:style w:type="numbering" w:styleId="NoList211" w:customStyle="1">
    <w:name w:val="No List211"/>
    <w:uiPriority w:val="99"/>
    <w:semiHidden/>
    <w:unhideWhenUsed/>
    <w:qFormat/>
    <w:rsid w:val="00ea1435"/>
  </w:style>
  <w:style w:type="numbering" w:styleId="NoList311" w:customStyle="1">
    <w:name w:val="No List311"/>
    <w:uiPriority w:val="99"/>
    <w:semiHidden/>
    <w:unhideWhenUsed/>
    <w:qFormat/>
    <w:rsid w:val="00ea1435"/>
  </w:style>
  <w:style w:type="numbering" w:styleId="FrListare128" w:customStyle="1">
    <w:name w:val="Fără Listare128"/>
    <w:uiPriority w:val="99"/>
    <w:semiHidden/>
    <w:qFormat/>
    <w:rsid w:val="00ea1435"/>
  </w:style>
  <w:style w:type="numbering" w:styleId="FrListare1119" w:customStyle="1">
    <w:name w:val="Fără Listare1119"/>
    <w:uiPriority w:val="99"/>
    <w:semiHidden/>
    <w:qFormat/>
    <w:rsid w:val="00ea1435"/>
  </w:style>
  <w:style w:type="numbering" w:styleId="FrListare220" w:customStyle="1">
    <w:name w:val="Fără Listare220"/>
    <w:uiPriority w:val="99"/>
    <w:semiHidden/>
    <w:unhideWhenUsed/>
    <w:qFormat/>
    <w:rsid w:val="00ea1435"/>
  </w:style>
  <w:style w:type="numbering" w:styleId="FrListare129" w:customStyle="1">
    <w:name w:val="Fără Listare129"/>
    <w:uiPriority w:val="99"/>
    <w:semiHidden/>
    <w:qFormat/>
    <w:rsid w:val="00ea1435"/>
  </w:style>
  <w:style w:type="numbering" w:styleId="FrListare318" w:customStyle="1">
    <w:name w:val="Fără Listare318"/>
    <w:semiHidden/>
    <w:qFormat/>
    <w:rsid w:val="00ea1435"/>
  </w:style>
  <w:style w:type="numbering" w:styleId="FrListare137" w:customStyle="1">
    <w:name w:val="Fără Listare137"/>
    <w:uiPriority w:val="99"/>
    <w:semiHidden/>
    <w:qFormat/>
    <w:rsid w:val="00ea1435"/>
  </w:style>
  <w:style w:type="numbering" w:styleId="FrListare2115" w:customStyle="1">
    <w:name w:val="Fără Listare2115"/>
    <w:uiPriority w:val="99"/>
    <w:semiHidden/>
    <w:unhideWhenUsed/>
    <w:qFormat/>
    <w:rsid w:val="00ea1435"/>
  </w:style>
  <w:style w:type="numbering" w:styleId="FrListare319" w:customStyle="1">
    <w:name w:val="Fără Listare319"/>
    <w:uiPriority w:val="99"/>
    <w:semiHidden/>
    <w:unhideWhenUsed/>
    <w:qFormat/>
    <w:rsid w:val="00ea1435"/>
  </w:style>
  <w:style w:type="numbering" w:styleId="FrListare418" w:customStyle="1">
    <w:name w:val="Fără Listare418"/>
    <w:semiHidden/>
    <w:qFormat/>
    <w:rsid w:val="00ea1435"/>
  </w:style>
  <w:style w:type="numbering" w:styleId="FrListare147" w:customStyle="1">
    <w:name w:val="Fără Listare147"/>
    <w:uiPriority w:val="99"/>
    <w:semiHidden/>
    <w:qFormat/>
    <w:rsid w:val="00ea1435"/>
  </w:style>
  <w:style w:type="numbering" w:styleId="FrListare227" w:customStyle="1">
    <w:name w:val="Fără Listare227"/>
    <w:uiPriority w:val="99"/>
    <w:semiHidden/>
    <w:unhideWhenUsed/>
    <w:qFormat/>
    <w:rsid w:val="00ea1435"/>
  </w:style>
  <w:style w:type="numbering" w:styleId="FrListare324" w:customStyle="1">
    <w:name w:val="Fără Listare324"/>
    <w:uiPriority w:val="99"/>
    <w:semiHidden/>
    <w:unhideWhenUsed/>
    <w:qFormat/>
    <w:rsid w:val="00ea1435"/>
  </w:style>
  <w:style w:type="numbering" w:styleId="FrListare518" w:customStyle="1">
    <w:name w:val="Fără Listare518"/>
    <w:uiPriority w:val="99"/>
    <w:semiHidden/>
    <w:qFormat/>
    <w:rsid w:val="00ea1435"/>
  </w:style>
  <w:style w:type="numbering" w:styleId="FrListare157" w:customStyle="1">
    <w:name w:val="Fără Listare157"/>
    <w:uiPriority w:val="99"/>
    <w:semiHidden/>
    <w:unhideWhenUsed/>
    <w:qFormat/>
    <w:rsid w:val="00ea1435"/>
  </w:style>
  <w:style w:type="numbering" w:styleId="FrListare237" w:customStyle="1">
    <w:name w:val="Fără Listare237"/>
    <w:uiPriority w:val="99"/>
    <w:semiHidden/>
    <w:unhideWhenUsed/>
    <w:qFormat/>
    <w:rsid w:val="00ea1435"/>
  </w:style>
  <w:style w:type="numbering" w:styleId="FrListare334" w:customStyle="1">
    <w:name w:val="Fără Listare334"/>
    <w:semiHidden/>
    <w:qFormat/>
    <w:rsid w:val="00ea1435"/>
  </w:style>
  <w:style w:type="numbering" w:styleId="FrListare419" w:customStyle="1">
    <w:name w:val="Fără Listare419"/>
    <w:semiHidden/>
    <w:qFormat/>
    <w:rsid w:val="00ea1435"/>
  </w:style>
  <w:style w:type="numbering" w:styleId="FrListare519" w:customStyle="1">
    <w:name w:val="Fără Listare519"/>
    <w:uiPriority w:val="99"/>
    <w:semiHidden/>
    <w:unhideWhenUsed/>
    <w:qFormat/>
    <w:rsid w:val="00ea1435"/>
  </w:style>
  <w:style w:type="numbering" w:styleId="FrListare617" w:customStyle="1">
    <w:name w:val="Fără Listare617"/>
    <w:uiPriority w:val="99"/>
    <w:semiHidden/>
    <w:unhideWhenUsed/>
    <w:qFormat/>
    <w:rsid w:val="00ea1435"/>
  </w:style>
  <w:style w:type="numbering" w:styleId="FrListare710" w:customStyle="1">
    <w:name w:val="Fără Listare710"/>
    <w:uiPriority w:val="99"/>
    <w:semiHidden/>
    <w:unhideWhenUsed/>
    <w:qFormat/>
    <w:rsid w:val="00ea1435"/>
  </w:style>
  <w:style w:type="numbering" w:styleId="FrListare87" w:customStyle="1">
    <w:name w:val="Fără Listare87"/>
    <w:semiHidden/>
    <w:qFormat/>
    <w:rsid w:val="00ea1435"/>
  </w:style>
  <w:style w:type="numbering" w:styleId="FrListare97" w:customStyle="1">
    <w:name w:val="Fără Listare97"/>
    <w:uiPriority w:val="99"/>
    <w:semiHidden/>
    <w:unhideWhenUsed/>
    <w:qFormat/>
    <w:rsid w:val="00ea1435"/>
  </w:style>
  <w:style w:type="numbering" w:styleId="FrListare107" w:customStyle="1">
    <w:name w:val="Fără Listare107"/>
    <w:uiPriority w:val="99"/>
    <w:semiHidden/>
    <w:unhideWhenUsed/>
    <w:qFormat/>
    <w:rsid w:val="00ea1435"/>
  </w:style>
  <w:style w:type="numbering" w:styleId="FrListare167" w:customStyle="1">
    <w:name w:val="Fără Listare167"/>
    <w:semiHidden/>
    <w:qFormat/>
    <w:rsid w:val="00ea1435"/>
  </w:style>
  <w:style w:type="numbering" w:styleId="FrListare177" w:customStyle="1">
    <w:name w:val="Fără Listare177"/>
    <w:uiPriority w:val="99"/>
    <w:semiHidden/>
    <w:unhideWhenUsed/>
    <w:qFormat/>
    <w:rsid w:val="00ea1435"/>
  </w:style>
  <w:style w:type="numbering" w:styleId="FrListare187" w:customStyle="1">
    <w:name w:val="Fără Listare187"/>
    <w:uiPriority w:val="99"/>
    <w:semiHidden/>
    <w:unhideWhenUsed/>
    <w:qFormat/>
    <w:rsid w:val="00ea1435"/>
  </w:style>
  <w:style w:type="numbering" w:styleId="FrListare197" w:customStyle="1">
    <w:name w:val="Fără Listare197"/>
    <w:uiPriority w:val="99"/>
    <w:semiHidden/>
    <w:unhideWhenUsed/>
    <w:qFormat/>
    <w:rsid w:val="00ea1435"/>
  </w:style>
  <w:style w:type="numbering" w:styleId="FrListare207" w:customStyle="1">
    <w:name w:val="Fără Listare207"/>
    <w:uiPriority w:val="99"/>
    <w:semiHidden/>
    <w:unhideWhenUsed/>
    <w:qFormat/>
    <w:rsid w:val="00ea1435"/>
  </w:style>
  <w:style w:type="numbering" w:styleId="FrListare1107" w:customStyle="1">
    <w:name w:val="Fără Listare1107"/>
    <w:uiPriority w:val="99"/>
    <w:semiHidden/>
    <w:unhideWhenUsed/>
    <w:qFormat/>
    <w:rsid w:val="00ea1435"/>
  </w:style>
  <w:style w:type="numbering" w:styleId="FrListare247" w:customStyle="1">
    <w:name w:val="Fără Listare247"/>
    <w:uiPriority w:val="99"/>
    <w:semiHidden/>
    <w:unhideWhenUsed/>
    <w:qFormat/>
    <w:rsid w:val="00ea1435"/>
  </w:style>
  <w:style w:type="numbering" w:styleId="FrListare11110" w:customStyle="1">
    <w:name w:val="Fără Listare11110"/>
    <w:uiPriority w:val="99"/>
    <w:semiHidden/>
    <w:unhideWhenUsed/>
    <w:qFormat/>
    <w:rsid w:val="00ea1435"/>
  </w:style>
  <w:style w:type="numbering" w:styleId="FrListare257" w:customStyle="1">
    <w:name w:val="Fără Listare257"/>
    <w:uiPriority w:val="99"/>
    <w:semiHidden/>
    <w:unhideWhenUsed/>
    <w:qFormat/>
    <w:rsid w:val="00ea1435"/>
  </w:style>
  <w:style w:type="numbering" w:styleId="FrListare344" w:customStyle="1">
    <w:name w:val="Fără Listare344"/>
    <w:semiHidden/>
    <w:qFormat/>
    <w:rsid w:val="00ea1435"/>
  </w:style>
  <w:style w:type="numbering" w:styleId="FrListare424" w:customStyle="1">
    <w:name w:val="Fără Listare424"/>
    <w:semiHidden/>
    <w:qFormat/>
    <w:rsid w:val="00ea1435"/>
  </w:style>
  <w:style w:type="numbering" w:styleId="FrListare524" w:customStyle="1">
    <w:name w:val="Fără Listare524"/>
    <w:uiPriority w:val="99"/>
    <w:semiHidden/>
    <w:unhideWhenUsed/>
    <w:qFormat/>
    <w:rsid w:val="00ea1435"/>
  </w:style>
  <w:style w:type="numbering" w:styleId="FrListare618" w:customStyle="1">
    <w:name w:val="Fără Listare618"/>
    <w:uiPriority w:val="99"/>
    <w:semiHidden/>
    <w:unhideWhenUsed/>
    <w:qFormat/>
    <w:rsid w:val="00ea1435"/>
  </w:style>
  <w:style w:type="numbering" w:styleId="FrListare715" w:customStyle="1">
    <w:name w:val="Fără Listare715"/>
    <w:uiPriority w:val="99"/>
    <w:semiHidden/>
    <w:unhideWhenUsed/>
    <w:qFormat/>
    <w:rsid w:val="00ea1435"/>
  </w:style>
  <w:style w:type="numbering" w:styleId="FrListare815" w:customStyle="1">
    <w:name w:val="Fără Listare815"/>
    <w:semiHidden/>
    <w:qFormat/>
    <w:rsid w:val="00ea1435"/>
  </w:style>
  <w:style w:type="numbering" w:styleId="FrListare915" w:customStyle="1">
    <w:name w:val="Fără Listare915"/>
    <w:uiPriority w:val="99"/>
    <w:semiHidden/>
    <w:unhideWhenUsed/>
    <w:qFormat/>
    <w:rsid w:val="00ea1435"/>
  </w:style>
  <w:style w:type="numbering" w:styleId="FrListare1015" w:customStyle="1">
    <w:name w:val="Fără Listare1015"/>
    <w:uiPriority w:val="99"/>
    <w:semiHidden/>
    <w:unhideWhenUsed/>
    <w:qFormat/>
    <w:rsid w:val="00ea1435"/>
  </w:style>
  <w:style w:type="numbering" w:styleId="FrListare1125" w:customStyle="1">
    <w:name w:val="Fără Listare1125"/>
    <w:uiPriority w:val="99"/>
    <w:semiHidden/>
    <w:unhideWhenUsed/>
    <w:qFormat/>
    <w:rsid w:val="00ea1435"/>
  </w:style>
  <w:style w:type="numbering" w:styleId="FrListare1215" w:customStyle="1">
    <w:name w:val="Fără Listare1215"/>
    <w:uiPriority w:val="99"/>
    <w:semiHidden/>
    <w:unhideWhenUsed/>
    <w:qFormat/>
    <w:rsid w:val="00ea1435"/>
  </w:style>
  <w:style w:type="numbering" w:styleId="FrListare1315" w:customStyle="1">
    <w:name w:val="Fără Listare1315"/>
    <w:uiPriority w:val="99"/>
    <w:semiHidden/>
    <w:unhideWhenUsed/>
    <w:qFormat/>
    <w:rsid w:val="00ea1435"/>
  </w:style>
  <w:style w:type="numbering" w:styleId="FrListare1415" w:customStyle="1">
    <w:name w:val="Fără Listare1415"/>
    <w:uiPriority w:val="99"/>
    <w:semiHidden/>
    <w:unhideWhenUsed/>
    <w:qFormat/>
    <w:rsid w:val="00ea1435"/>
  </w:style>
  <w:style w:type="numbering" w:styleId="FrListare1515" w:customStyle="1">
    <w:name w:val="Fără Listare1515"/>
    <w:uiPriority w:val="99"/>
    <w:semiHidden/>
    <w:unhideWhenUsed/>
    <w:qFormat/>
    <w:rsid w:val="00ea1435"/>
  </w:style>
  <w:style w:type="numbering" w:styleId="FrListare1615" w:customStyle="1">
    <w:name w:val="Fără Listare1615"/>
    <w:semiHidden/>
    <w:qFormat/>
    <w:rsid w:val="00ea1435"/>
  </w:style>
  <w:style w:type="numbering" w:styleId="FrListare1715" w:customStyle="1">
    <w:name w:val="Fără Listare1715"/>
    <w:uiPriority w:val="99"/>
    <w:semiHidden/>
    <w:unhideWhenUsed/>
    <w:qFormat/>
    <w:rsid w:val="00ea1435"/>
  </w:style>
  <w:style w:type="numbering" w:styleId="FrListare1815" w:customStyle="1">
    <w:name w:val="Fără Listare1815"/>
    <w:uiPriority w:val="99"/>
    <w:semiHidden/>
    <w:unhideWhenUsed/>
    <w:qFormat/>
    <w:rsid w:val="00ea1435"/>
  </w:style>
  <w:style w:type="numbering" w:styleId="FrListare1915" w:customStyle="1">
    <w:name w:val="Fără Listare1915"/>
    <w:uiPriority w:val="99"/>
    <w:semiHidden/>
    <w:unhideWhenUsed/>
    <w:qFormat/>
    <w:rsid w:val="00ea1435"/>
  </w:style>
  <w:style w:type="numbering" w:styleId="FrListare2015" w:customStyle="1">
    <w:name w:val="Fără Listare2015"/>
    <w:uiPriority w:val="99"/>
    <w:semiHidden/>
    <w:unhideWhenUsed/>
    <w:qFormat/>
    <w:rsid w:val="00ea1435"/>
  </w:style>
  <w:style w:type="numbering" w:styleId="FrListare11015" w:customStyle="1">
    <w:name w:val="Fără Listare11015"/>
    <w:uiPriority w:val="99"/>
    <w:semiHidden/>
    <w:unhideWhenUsed/>
    <w:qFormat/>
    <w:rsid w:val="00ea1435"/>
  </w:style>
  <w:style w:type="numbering" w:styleId="FrListare2116" w:customStyle="1">
    <w:name w:val="Fără Listare2116"/>
    <w:semiHidden/>
    <w:qFormat/>
    <w:rsid w:val="00ea1435"/>
  </w:style>
  <w:style w:type="numbering" w:styleId="FrListare2215" w:customStyle="1">
    <w:name w:val="Fără Listare2215"/>
    <w:semiHidden/>
    <w:qFormat/>
    <w:rsid w:val="00ea1435"/>
  </w:style>
  <w:style w:type="numbering" w:styleId="FrListare2315" w:customStyle="1">
    <w:name w:val="Fără Listare2315"/>
    <w:semiHidden/>
    <w:qFormat/>
    <w:rsid w:val="00ea1435"/>
  </w:style>
  <w:style w:type="numbering" w:styleId="FrListare2414" w:customStyle="1">
    <w:name w:val="Fără Listare2414"/>
    <w:uiPriority w:val="99"/>
    <w:semiHidden/>
    <w:unhideWhenUsed/>
    <w:qFormat/>
    <w:rsid w:val="00ea1435"/>
  </w:style>
  <w:style w:type="numbering" w:styleId="FrListare2514" w:customStyle="1">
    <w:name w:val="Fără Listare2514"/>
    <w:semiHidden/>
    <w:qFormat/>
    <w:rsid w:val="00ea1435"/>
  </w:style>
  <w:style w:type="numbering" w:styleId="FrListare11115" w:customStyle="1">
    <w:name w:val="Fără Listare11115"/>
    <w:semiHidden/>
    <w:unhideWhenUsed/>
    <w:qFormat/>
    <w:rsid w:val="00ea1435"/>
  </w:style>
  <w:style w:type="numbering" w:styleId="FrListare267" w:customStyle="1">
    <w:name w:val="Fără Listare267"/>
    <w:uiPriority w:val="99"/>
    <w:semiHidden/>
    <w:unhideWhenUsed/>
    <w:qFormat/>
    <w:rsid w:val="00ea1435"/>
  </w:style>
  <w:style w:type="numbering" w:styleId="FrListare276" w:customStyle="1">
    <w:name w:val="Fără Listare276"/>
    <w:semiHidden/>
    <w:qFormat/>
    <w:rsid w:val="00ea1435"/>
  </w:style>
  <w:style w:type="numbering" w:styleId="FrListare284" w:customStyle="1">
    <w:name w:val="Fără Listare284"/>
    <w:uiPriority w:val="99"/>
    <w:semiHidden/>
    <w:unhideWhenUsed/>
    <w:qFormat/>
    <w:rsid w:val="00ea1435"/>
  </w:style>
  <w:style w:type="numbering" w:styleId="FrListare11214" w:customStyle="1">
    <w:name w:val="Fără Listare11214"/>
    <w:uiPriority w:val="99"/>
    <w:semiHidden/>
    <w:unhideWhenUsed/>
    <w:qFormat/>
    <w:rsid w:val="00ea1435"/>
  </w:style>
  <w:style w:type="numbering" w:styleId="FrListare294" w:customStyle="1">
    <w:name w:val="Fără Listare294"/>
    <w:uiPriority w:val="99"/>
    <w:semiHidden/>
    <w:unhideWhenUsed/>
    <w:qFormat/>
    <w:rsid w:val="00ea1435"/>
  </w:style>
  <w:style w:type="numbering" w:styleId="FrListare3114" w:customStyle="1">
    <w:name w:val="Fără Listare3114"/>
    <w:semiHidden/>
    <w:qFormat/>
    <w:rsid w:val="00ea1435"/>
  </w:style>
  <w:style w:type="numbering" w:styleId="FrListare4114" w:customStyle="1">
    <w:name w:val="Fără Listare4114"/>
    <w:semiHidden/>
    <w:qFormat/>
    <w:rsid w:val="00ea1435"/>
  </w:style>
  <w:style w:type="numbering" w:styleId="FrListare5114" w:customStyle="1">
    <w:name w:val="Fără Listare5114"/>
    <w:uiPriority w:val="99"/>
    <w:semiHidden/>
    <w:unhideWhenUsed/>
    <w:qFormat/>
    <w:rsid w:val="00ea1435"/>
  </w:style>
  <w:style w:type="numbering" w:styleId="FrListare6114" w:customStyle="1">
    <w:name w:val="Fără Listare6114"/>
    <w:uiPriority w:val="99"/>
    <w:semiHidden/>
    <w:unhideWhenUsed/>
    <w:qFormat/>
    <w:rsid w:val="00ea1435"/>
  </w:style>
  <w:style w:type="numbering" w:styleId="FrListare7114" w:customStyle="1">
    <w:name w:val="Fără Listare7114"/>
    <w:uiPriority w:val="99"/>
    <w:semiHidden/>
    <w:unhideWhenUsed/>
    <w:qFormat/>
    <w:rsid w:val="00ea1435"/>
  </w:style>
  <w:style w:type="numbering" w:styleId="FrListare8114" w:customStyle="1">
    <w:name w:val="Fără Listare8114"/>
    <w:semiHidden/>
    <w:qFormat/>
    <w:rsid w:val="00ea1435"/>
  </w:style>
  <w:style w:type="numbering" w:styleId="FrListare9114" w:customStyle="1">
    <w:name w:val="Fără Listare9114"/>
    <w:uiPriority w:val="99"/>
    <w:semiHidden/>
    <w:unhideWhenUsed/>
    <w:qFormat/>
    <w:rsid w:val="00ea1435"/>
  </w:style>
  <w:style w:type="numbering" w:styleId="FrListare10114" w:customStyle="1">
    <w:name w:val="Fără Listare10114"/>
    <w:uiPriority w:val="99"/>
    <w:semiHidden/>
    <w:unhideWhenUsed/>
    <w:qFormat/>
    <w:rsid w:val="00ea1435"/>
  </w:style>
  <w:style w:type="numbering" w:styleId="FrListare1134" w:customStyle="1">
    <w:name w:val="Fără Listare1134"/>
    <w:uiPriority w:val="99"/>
    <w:semiHidden/>
    <w:unhideWhenUsed/>
    <w:qFormat/>
    <w:rsid w:val="00ea1435"/>
  </w:style>
  <w:style w:type="numbering" w:styleId="FrListare12114" w:customStyle="1">
    <w:name w:val="Fără Listare12114"/>
    <w:uiPriority w:val="99"/>
    <w:semiHidden/>
    <w:unhideWhenUsed/>
    <w:qFormat/>
    <w:rsid w:val="00ea1435"/>
  </w:style>
  <w:style w:type="numbering" w:styleId="FrListare13114" w:customStyle="1">
    <w:name w:val="Fără Listare13114"/>
    <w:uiPriority w:val="99"/>
    <w:semiHidden/>
    <w:unhideWhenUsed/>
    <w:qFormat/>
    <w:rsid w:val="00ea1435"/>
  </w:style>
  <w:style w:type="numbering" w:styleId="FrListare14114" w:customStyle="1">
    <w:name w:val="Fără Listare14114"/>
    <w:uiPriority w:val="99"/>
    <w:semiHidden/>
    <w:unhideWhenUsed/>
    <w:qFormat/>
    <w:rsid w:val="00ea1435"/>
  </w:style>
  <w:style w:type="numbering" w:styleId="FrListare15114" w:customStyle="1">
    <w:name w:val="Fără Listare15114"/>
    <w:uiPriority w:val="99"/>
    <w:semiHidden/>
    <w:unhideWhenUsed/>
    <w:qFormat/>
    <w:rsid w:val="00ea1435"/>
  </w:style>
  <w:style w:type="numbering" w:styleId="FrListare16114" w:customStyle="1">
    <w:name w:val="Fără Listare16114"/>
    <w:semiHidden/>
    <w:qFormat/>
    <w:rsid w:val="00ea1435"/>
  </w:style>
  <w:style w:type="numbering" w:styleId="FrListare17114" w:customStyle="1">
    <w:name w:val="Fără Listare17114"/>
    <w:uiPriority w:val="99"/>
    <w:semiHidden/>
    <w:unhideWhenUsed/>
    <w:qFormat/>
    <w:rsid w:val="00ea1435"/>
  </w:style>
  <w:style w:type="numbering" w:styleId="FrListare18114" w:customStyle="1">
    <w:name w:val="Fără Listare18114"/>
    <w:uiPriority w:val="99"/>
    <w:semiHidden/>
    <w:unhideWhenUsed/>
    <w:qFormat/>
    <w:rsid w:val="00ea1435"/>
  </w:style>
  <w:style w:type="numbering" w:styleId="FrListare19114" w:customStyle="1">
    <w:name w:val="Fără Listare19114"/>
    <w:uiPriority w:val="99"/>
    <w:semiHidden/>
    <w:unhideWhenUsed/>
    <w:qFormat/>
    <w:rsid w:val="00ea1435"/>
  </w:style>
  <w:style w:type="numbering" w:styleId="FrListare20114" w:customStyle="1">
    <w:name w:val="Fără Listare20114"/>
    <w:uiPriority w:val="99"/>
    <w:semiHidden/>
    <w:unhideWhenUsed/>
    <w:qFormat/>
    <w:rsid w:val="00ea1435"/>
  </w:style>
  <w:style w:type="numbering" w:styleId="FrListare110114" w:customStyle="1">
    <w:name w:val="Fără Listare110114"/>
    <w:uiPriority w:val="99"/>
    <w:semiHidden/>
    <w:unhideWhenUsed/>
    <w:qFormat/>
    <w:rsid w:val="00ea1435"/>
  </w:style>
  <w:style w:type="numbering" w:styleId="FrListare21114" w:customStyle="1">
    <w:name w:val="Fără Listare21114"/>
    <w:semiHidden/>
    <w:qFormat/>
    <w:rsid w:val="00ea1435"/>
  </w:style>
  <w:style w:type="numbering" w:styleId="FrListare22114" w:customStyle="1">
    <w:name w:val="Fără Listare22114"/>
    <w:semiHidden/>
    <w:qFormat/>
    <w:rsid w:val="00ea1435"/>
  </w:style>
  <w:style w:type="numbering" w:styleId="FrListare23114" w:customStyle="1">
    <w:name w:val="Fără Listare23114"/>
    <w:semiHidden/>
    <w:qFormat/>
    <w:rsid w:val="00ea1435"/>
  </w:style>
  <w:style w:type="numbering" w:styleId="FrListare24114" w:customStyle="1">
    <w:name w:val="Fără Listare24114"/>
    <w:uiPriority w:val="99"/>
    <w:semiHidden/>
    <w:unhideWhenUsed/>
    <w:qFormat/>
    <w:rsid w:val="00ea1435"/>
  </w:style>
  <w:style w:type="numbering" w:styleId="FrListare25114" w:customStyle="1">
    <w:name w:val="Fără Listare25114"/>
    <w:semiHidden/>
    <w:qFormat/>
    <w:rsid w:val="00ea1435"/>
  </w:style>
  <w:style w:type="numbering" w:styleId="FrListare111115" w:customStyle="1">
    <w:name w:val="Fără Listare111115"/>
    <w:semiHidden/>
    <w:unhideWhenUsed/>
    <w:qFormat/>
    <w:rsid w:val="00ea1435"/>
  </w:style>
  <w:style w:type="numbering" w:styleId="FrListare2614" w:customStyle="1">
    <w:name w:val="Fără Listare2614"/>
    <w:uiPriority w:val="99"/>
    <w:semiHidden/>
    <w:unhideWhenUsed/>
    <w:qFormat/>
    <w:rsid w:val="00ea1435"/>
  </w:style>
  <w:style w:type="numbering" w:styleId="FrListare2714" w:customStyle="1">
    <w:name w:val="Fără Listare2714"/>
    <w:semiHidden/>
    <w:qFormat/>
    <w:rsid w:val="00ea1435"/>
  </w:style>
  <w:style w:type="numbering" w:styleId="FrListare304" w:customStyle="1">
    <w:name w:val="Fără Listare304"/>
    <w:uiPriority w:val="99"/>
    <w:semiHidden/>
    <w:unhideWhenUsed/>
    <w:qFormat/>
    <w:rsid w:val="00ea1435"/>
  </w:style>
  <w:style w:type="numbering" w:styleId="FrListare1144" w:customStyle="1">
    <w:name w:val="Fără Listare1144"/>
    <w:uiPriority w:val="99"/>
    <w:semiHidden/>
    <w:unhideWhenUsed/>
    <w:qFormat/>
    <w:rsid w:val="00ea1435"/>
  </w:style>
  <w:style w:type="numbering" w:styleId="FrListare2104" w:customStyle="1">
    <w:name w:val="Fără Listare2104"/>
    <w:uiPriority w:val="99"/>
    <w:semiHidden/>
    <w:unhideWhenUsed/>
    <w:qFormat/>
    <w:rsid w:val="00ea1435"/>
  </w:style>
  <w:style w:type="numbering" w:styleId="FrListare3214" w:customStyle="1">
    <w:name w:val="Fără Listare3214"/>
    <w:semiHidden/>
    <w:qFormat/>
    <w:rsid w:val="00ea1435"/>
  </w:style>
  <w:style w:type="numbering" w:styleId="FrListare4214" w:customStyle="1">
    <w:name w:val="Fără Listare4214"/>
    <w:semiHidden/>
    <w:qFormat/>
    <w:rsid w:val="00ea1435"/>
  </w:style>
  <w:style w:type="numbering" w:styleId="FrListare5214" w:customStyle="1">
    <w:name w:val="Fără Listare5214"/>
    <w:uiPriority w:val="99"/>
    <w:semiHidden/>
    <w:unhideWhenUsed/>
    <w:qFormat/>
    <w:rsid w:val="00ea1435"/>
  </w:style>
  <w:style w:type="numbering" w:styleId="FrListare624" w:customStyle="1">
    <w:name w:val="Fără Listare624"/>
    <w:uiPriority w:val="99"/>
    <w:semiHidden/>
    <w:unhideWhenUsed/>
    <w:qFormat/>
    <w:rsid w:val="00ea1435"/>
  </w:style>
  <w:style w:type="numbering" w:styleId="FrListare724" w:customStyle="1">
    <w:name w:val="Fără Listare724"/>
    <w:uiPriority w:val="99"/>
    <w:semiHidden/>
    <w:unhideWhenUsed/>
    <w:qFormat/>
    <w:rsid w:val="00ea1435"/>
  </w:style>
  <w:style w:type="numbering" w:styleId="FrListare824" w:customStyle="1">
    <w:name w:val="Fără Listare824"/>
    <w:semiHidden/>
    <w:qFormat/>
    <w:rsid w:val="00ea1435"/>
  </w:style>
  <w:style w:type="numbering" w:styleId="FrListare924" w:customStyle="1">
    <w:name w:val="Fără Listare924"/>
    <w:uiPriority w:val="99"/>
    <w:semiHidden/>
    <w:unhideWhenUsed/>
    <w:qFormat/>
    <w:rsid w:val="00ea1435"/>
  </w:style>
  <w:style w:type="numbering" w:styleId="FrListare1024" w:customStyle="1">
    <w:name w:val="Fără Listare1024"/>
    <w:uiPriority w:val="99"/>
    <w:semiHidden/>
    <w:unhideWhenUsed/>
    <w:qFormat/>
    <w:rsid w:val="00ea1435"/>
  </w:style>
  <w:style w:type="numbering" w:styleId="FrListare1154" w:customStyle="1">
    <w:name w:val="Fără Listare1154"/>
    <w:uiPriority w:val="99"/>
    <w:semiHidden/>
    <w:unhideWhenUsed/>
    <w:qFormat/>
    <w:rsid w:val="00ea1435"/>
  </w:style>
  <w:style w:type="numbering" w:styleId="FrListare1224" w:customStyle="1">
    <w:name w:val="Fără Listare1224"/>
    <w:uiPriority w:val="99"/>
    <w:semiHidden/>
    <w:unhideWhenUsed/>
    <w:qFormat/>
    <w:rsid w:val="00ea1435"/>
  </w:style>
  <w:style w:type="numbering" w:styleId="FrListare1324" w:customStyle="1">
    <w:name w:val="Fără Listare1324"/>
    <w:uiPriority w:val="99"/>
    <w:semiHidden/>
    <w:unhideWhenUsed/>
    <w:qFormat/>
    <w:rsid w:val="00ea1435"/>
  </w:style>
  <w:style w:type="numbering" w:styleId="FrListare1424" w:customStyle="1">
    <w:name w:val="Fără Listare1424"/>
    <w:uiPriority w:val="99"/>
    <w:semiHidden/>
    <w:unhideWhenUsed/>
    <w:qFormat/>
    <w:rsid w:val="00ea1435"/>
  </w:style>
  <w:style w:type="numbering" w:styleId="FrListare1524" w:customStyle="1">
    <w:name w:val="Fără Listare1524"/>
    <w:uiPriority w:val="99"/>
    <w:semiHidden/>
    <w:unhideWhenUsed/>
    <w:qFormat/>
    <w:rsid w:val="00ea1435"/>
  </w:style>
  <w:style w:type="numbering" w:styleId="FrListare1624" w:customStyle="1">
    <w:name w:val="Fără Listare1624"/>
    <w:semiHidden/>
    <w:qFormat/>
    <w:rsid w:val="00ea1435"/>
  </w:style>
  <w:style w:type="numbering" w:styleId="FrListare1724" w:customStyle="1">
    <w:name w:val="Fără Listare1724"/>
    <w:uiPriority w:val="99"/>
    <w:semiHidden/>
    <w:unhideWhenUsed/>
    <w:qFormat/>
    <w:rsid w:val="00ea1435"/>
  </w:style>
  <w:style w:type="numbering" w:styleId="FrListare1824" w:customStyle="1">
    <w:name w:val="Fără Listare1824"/>
    <w:uiPriority w:val="99"/>
    <w:semiHidden/>
    <w:unhideWhenUsed/>
    <w:qFormat/>
    <w:rsid w:val="00ea1435"/>
  </w:style>
  <w:style w:type="numbering" w:styleId="FrListare1924" w:customStyle="1">
    <w:name w:val="Fără Listare1924"/>
    <w:uiPriority w:val="99"/>
    <w:semiHidden/>
    <w:unhideWhenUsed/>
    <w:qFormat/>
    <w:rsid w:val="00ea1435"/>
  </w:style>
  <w:style w:type="numbering" w:styleId="FrListare2024" w:customStyle="1">
    <w:name w:val="Fără Listare2024"/>
    <w:uiPriority w:val="99"/>
    <w:semiHidden/>
    <w:unhideWhenUsed/>
    <w:qFormat/>
    <w:rsid w:val="00ea1435"/>
  </w:style>
  <w:style w:type="numbering" w:styleId="FrListare11024" w:customStyle="1">
    <w:name w:val="Fără Listare11024"/>
    <w:uiPriority w:val="99"/>
    <w:semiHidden/>
    <w:unhideWhenUsed/>
    <w:qFormat/>
    <w:rsid w:val="00ea1435"/>
  </w:style>
  <w:style w:type="numbering" w:styleId="FrListare2124" w:customStyle="1">
    <w:name w:val="Fără Listare2124"/>
    <w:semiHidden/>
    <w:qFormat/>
    <w:rsid w:val="00ea1435"/>
  </w:style>
  <w:style w:type="numbering" w:styleId="FrListare2224" w:customStyle="1">
    <w:name w:val="Fără Listare2224"/>
    <w:semiHidden/>
    <w:qFormat/>
    <w:rsid w:val="00ea1435"/>
  </w:style>
  <w:style w:type="numbering" w:styleId="FrListare2324" w:customStyle="1">
    <w:name w:val="Fără Listare2324"/>
    <w:semiHidden/>
    <w:qFormat/>
    <w:rsid w:val="00ea1435"/>
  </w:style>
  <w:style w:type="numbering" w:styleId="FrListare2424" w:customStyle="1">
    <w:name w:val="Fără Listare2424"/>
    <w:uiPriority w:val="99"/>
    <w:semiHidden/>
    <w:unhideWhenUsed/>
    <w:qFormat/>
    <w:rsid w:val="00ea1435"/>
  </w:style>
  <w:style w:type="numbering" w:styleId="FrListare2524" w:customStyle="1">
    <w:name w:val="Fără Listare2524"/>
    <w:semiHidden/>
    <w:qFormat/>
    <w:rsid w:val="00ea1435"/>
  </w:style>
  <w:style w:type="numbering" w:styleId="FrListare11124" w:customStyle="1">
    <w:name w:val="Fără Listare11124"/>
    <w:semiHidden/>
    <w:unhideWhenUsed/>
    <w:qFormat/>
    <w:rsid w:val="00ea1435"/>
  </w:style>
  <w:style w:type="numbering" w:styleId="FrListare2624" w:customStyle="1">
    <w:name w:val="Fără Listare2624"/>
    <w:uiPriority w:val="99"/>
    <w:semiHidden/>
    <w:unhideWhenUsed/>
    <w:qFormat/>
    <w:rsid w:val="00ea1435"/>
  </w:style>
  <w:style w:type="numbering" w:styleId="FrListare2724" w:customStyle="1">
    <w:name w:val="Fără Listare2724"/>
    <w:semiHidden/>
    <w:qFormat/>
    <w:rsid w:val="00ea1435"/>
  </w:style>
  <w:style w:type="numbering" w:styleId="FrListare3314" w:customStyle="1">
    <w:name w:val="Fără Listare3314"/>
    <w:uiPriority w:val="99"/>
    <w:semiHidden/>
    <w:unhideWhenUsed/>
    <w:qFormat/>
    <w:rsid w:val="00ea1435"/>
  </w:style>
  <w:style w:type="numbering" w:styleId="FrListare1164" w:customStyle="1">
    <w:name w:val="Fără Listare1164"/>
    <w:semiHidden/>
    <w:qFormat/>
    <w:rsid w:val="00ea1435"/>
  </w:style>
  <w:style w:type="numbering" w:styleId="FrListare3414" w:customStyle="1">
    <w:name w:val="Fără Listare3414"/>
    <w:uiPriority w:val="99"/>
    <w:semiHidden/>
    <w:unhideWhenUsed/>
    <w:qFormat/>
    <w:rsid w:val="00ea1435"/>
  </w:style>
  <w:style w:type="numbering" w:styleId="FrListare354" w:customStyle="1">
    <w:name w:val="Fără Listare354"/>
    <w:semiHidden/>
    <w:qFormat/>
    <w:rsid w:val="00ea1435"/>
  </w:style>
  <w:style w:type="numbering" w:styleId="FrListare364" w:customStyle="1">
    <w:name w:val="Fără Listare364"/>
    <w:semiHidden/>
    <w:qFormat/>
    <w:rsid w:val="00ea1435"/>
  </w:style>
  <w:style w:type="numbering" w:styleId="FrListare374" w:customStyle="1">
    <w:name w:val="Fără Listare374"/>
    <w:semiHidden/>
    <w:unhideWhenUsed/>
    <w:qFormat/>
    <w:rsid w:val="00ea1435"/>
  </w:style>
  <w:style w:type="numbering" w:styleId="FrListare384" w:customStyle="1">
    <w:name w:val="Fără Listare384"/>
    <w:semiHidden/>
    <w:qFormat/>
    <w:rsid w:val="00ea1435"/>
  </w:style>
  <w:style w:type="numbering" w:styleId="FrListare394" w:customStyle="1">
    <w:name w:val="Fără Listare394"/>
    <w:uiPriority w:val="99"/>
    <w:semiHidden/>
    <w:unhideWhenUsed/>
    <w:qFormat/>
    <w:rsid w:val="00ea1435"/>
  </w:style>
  <w:style w:type="numbering" w:styleId="FrListare404" w:customStyle="1">
    <w:name w:val="Fără Listare404"/>
    <w:uiPriority w:val="99"/>
    <w:semiHidden/>
    <w:unhideWhenUsed/>
    <w:qFormat/>
    <w:rsid w:val="00ea1435"/>
  </w:style>
  <w:style w:type="numbering" w:styleId="FrListare434" w:customStyle="1">
    <w:name w:val="Fără Listare434"/>
    <w:uiPriority w:val="99"/>
    <w:semiHidden/>
    <w:unhideWhenUsed/>
    <w:qFormat/>
    <w:rsid w:val="00ea1435"/>
  </w:style>
  <w:style w:type="numbering" w:styleId="FrListare444" w:customStyle="1">
    <w:name w:val="Fără Listare444"/>
    <w:uiPriority w:val="99"/>
    <w:semiHidden/>
    <w:unhideWhenUsed/>
    <w:qFormat/>
    <w:rsid w:val="00ea1435"/>
  </w:style>
  <w:style w:type="numbering" w:styleId="FrListare454" w:customStyle="1">
    <w:name w:val="Fără Listare454"/>
    <w:uiPriority w:val="99"/>
    <w:semiHidden/>
    <w:unhideWhenUsed/>
    <w:qFormat/>
    <w:rsid w:val="00ea1435"/>
  </w:style>
  <w:style w:type="numbering" w:styleId="FrListare464" w:customStyle="1">
    <w:name w:val="Fără Listare464"/>
    <w:uiPriority w:val="99"/>
    <w:semiHidden/>
    <w:unhideWhenUsed/>
    <w:qFormat/>
    <w:rsid w:val="00ea1435"/>
  </w:style>
  <w:style w:type="numbering" w:styleId="FrListare474" w:customStyle="1">
    <w:name w:val="Fără Listare474"/>
    <w:uiPriority w:val="99"/>
    <w:semiHidden/>
    <w:unhideWhenUsed/>
    <w:qFormat/>
    <w:rsid w:val="00ea1435"/>
  </w:style>
  <w:style w:type="numbering" w:styleId="FrListare484" w:customStyle="1">
    <w:name w:val="Fără Listare484"/>
    <w:uiPriority w:val="99"/>
    <w:semiHidden/>
    <w:unhideWhenUsed/>
    <w:qFormat/>
    <w:rsid w:val="00ea1435"/>
  </w:style>
  <w:style w:type="numbering" w:styleId="FrListare494" w:customStyle="1">
    <w:name w:val="Fără Listare494"/>
    <w:uiPriority w:val="99"/>
    <w:semiHidden/>
    <w:unhideWhenUsed/>
    <w:qFormat/>
    <w:rsid w:val="00ea1435"/>
  </w:style>
  <w:style w:type="numbering" w:styleId="FrListare504" w:customStyle="1">
    <w:name w:val="Fără Listare504"/>
    <w:uiPriority w:val="99"/>
    <w:semiHidden/>
    <w:unhideWhenUsed/>
    <w:qFormat/>
    <w:rsid w:val="00ea1435"/>
  </w:style>
  <w:style w:type="numbering" w:styleId="FrListare534" w:customStyle="1">
    <w:name w:val="Fără Listare534"/>
    <w:semiHidden/>
    <w:unhideWhenUsed/>
    <w:qFormat/>
    <w:rsid w:val="00ea1435"/>
  </w:style>
  <w:style w:type="numbering" w:styleId="FrListare544" w:customStyle="1">
    <w:name w:val="Fără Listare544"/>
    <w:uiPriority w:val="99"/>
    <w:semiHidden/>
    <w:unhideWhenUsed/>
    <w:qFormat/>
    <w:rsid w:val="00ea1435"/>
  </w:style>
  <w:style w:type="numbering" w:styleId="FrListare554" w:customStyle="1">
    <w:name w:val="Fără Listare554"/>
    <w:uiPriority w:val="99"/>
    <w:semiHidden/>
    <w:unhideWhenUsed/>
    <w:qFormat/>
    <w:rsid w:val="00ea1435"/>
  </w:style>
  <w:style w:type="numbering" w:styleId="FrListare564" w:customStyle="1">
    <w:name w:val="Fără Listare564"/>
    <w:uiPriority w:val="99"/>
    <w:semiHidden/>
    <w:unhideWhenUsed/>
    <w:qFormat/>
    <w:rsid w:val="00ea1435"/>
  </w:style>
  <w:style w:type="numbering" w:styleId="FrListare574" w:customStyle="1">
    <w:name w:val="Fără Listare574"/>
    <w:uiPriority w:val="99"/>
    <w:semiHidden/>
    <w:unhideWhenUsed/>
    <w:qFormat/>
    <w:rsid w:val="00ea1435"/>
  </w:style>
  <w:style w:type="numbering" w:styleId="FrListare584" w:customStyle="1">
    <w:name w:val="Fără Listare584"/>
    <w:semiHidden/>
    <w:unhideWhenUsed/>
    <w:qFormat/>
    <w:rsid w:val="00ea1435"/>
  </w:style>
  <w:style w:type="numbering" w:styleId="FrListare594" w:customStyle="1">
    <w:name w:val="Fără Listare594"/>
    <w:uiPriority w:val="99"/>
    <w:semiHidden/>
    <w:unhideWhenUsed/>
    <w:qFormat/>
    <w:rsid w:val="00ea1435"/>
  </w:style>
  <w:style w:type="numbering" w:styleId="FrListare604" w:customStyle="1">
    <w:name w:val="Fără Listare604"/>
    <w:uiPriority w:val="99"/>
    <w:semiHidden/>
    <w:unhideWhenUsed/>
    <w:qFormat/>
    <w:rsid w:val="00ea1435"/>
  </w:style>
  <w:style w:type="numbering" w:styleId="FrListare634" w:customStyle="1">
    <w:name w:val="Fără Listare634"/>
    <w:uiPriority w:val="99"/>
    <w:semiHidden/>
    <w:unhideWhenUsed/>
    <w:qFormat/>
    <w:rsid w:val="00ea1435"/>
  </w:style>
  <w:style w:type="numbering" w:styleId="FrListare644" w:customStyle="1">
    <w:name w:val="Fără Listare644"/>
    <w:uiPriority w:val="99"/>
    <w:semiHidden/>
    <w:unhideWhenUsed/>
    <w:qFormat/>
    <w:rsid w:val="00ea1435"/>
  </w:style>
  <w:style w:type="numbering" w:styleId="FrListare654" w:customStyle="1">
    <w:name w:val="Fără Listare654"/>
    <w:uiPriority w:val="99"/>
    <w:semiHidden/>
    <w:unhideWhenUsed/>
    <w:qFormat/>
    <w:rsid w:val="00ea1435"/>
  </w:style>
  <w:style w:type="numbering" w:styleId="FrListare664" w:customStyle="1">
    <w:name w:val="Fără Listare664"/>
    <w:uiPriority w:val="99"/>
    <w:semiHidden/>
    <w:unhideWhenUsed/>
    <w:qFormat/>
    <w:rsid w:val="00ea1435"/>
  </w:style>
  <w:style w:type="numbering" w:styleId="FrListare674" w:customStyle="1">
    <w:name w:val="Fără Listare674"/>
    <w:uiPriority w:val="99"/>
    <w:semiHidden/>
    <w:qFormat/>
    <w:rsid w:val="00ea1435"/>
  </w:style>
  <w:style w:type="numbering" w:styleId="FrListare1174" w:customStyle="1">
    <w:name w:val="Fără Listare1174"/>
    <w:uiPriority w:val="99"/>
    <w:semiHidden/>
    <w:unhideWhenUsed/>
    <w:qFormat/>
    <w:rsid w:val="00ea1435"/>
  </w:style>
  <w:style w:type="numbering" w:styleId="FrListare1184" w:customStyle="1">
    <w:name w:val="Fără Listare1184"/>
    <w:uiPriority w:val="99"/>
    <w:semiHidden/>
    <w:qFormat/>
    <w:rsid w:val="00ea1435"/>
  </w:style>
  <w:style w:type="numbering" w:styleId="FrListare2134" w:customStyle="1">
    <w:name w:val="Fără Listare2134"/>
    <w:uiPriority w:val="99"/>
    <w:semiHidden/>
    <w:unhideWhenUsed/>
    <w:qFormat/>
    <w:rsid w:val="00ea1435"/>
  </w:style>
  <w:style w:type="numbering" w:styleId="FrListare3104" w:customStyle="1">
    <w:name w:val="Fără Listare3104"/>
    <w:semiHidden/>
    <w:unhideWhenUsed/>
    <w:qFormat/>
    <w:rsid w:val="00ea1435"/>
  </w:style>
  <w:style w:type="numbering" w:styleId="FrListare4104" w:customStyle="1">
    <w:name w:val="Fără Listare4104"/>
    <w:semiHidden/>
    <w:unhideWhenUsed/>
    <w:qFormat/>
    <w:rsid w:val="00ea1435"/>
  </w:style>
  <w:style w:type="numbering" w:styleId="FrListare5104" w:customStyle="1">
    <w:name w:val="Fără Listare5104"/>
    <w:uiPriority w:val="99"/>
    <w:semiHidden/>
    <w:unhideWhenUsed/>
    <w:qFormat/>
    <w:rsid w:val="00ea1435"/>
  </w:style>
  <w:style w:type="numbering" w:styleId="FrListare684" w:customStyle="1">
    <w:name w:val="Fără Listare684"/>
    <w:uiPriority w:val="99"/>
    <w:semiHidden/>
    <w:unhideWhenUsed/>
    <w:qFormat/>
    <w:rsid w:val="00ea1435"/>
  </w:style>
  <w:style w:type="numbering" w:styleId="FrListare734" w:customStyle="1">
    <w:name w:val="Fără Listare734"/>
    <w:uiPriority w:val="99"/>
    <w:semiHidden/>
    <w:unhideWhenUsed/>
    <w:qFormat/>
    <w:rsid w:val="00ea1435"/>
  </w:style>
  <w:style w:type="numbering" w:styleId="FrListare834" w:customStyle="1">
    <w:name w:val="Fără Listare834"/>
    <w:semiHidden/>
    <w:qFormat/>
    <w:rsid w:val="00ea1435"/>
  </w:style>
  <w:style w:type="numbering" w:styleId="FrListare934" w:customStyle="1">
    <w:name w:val="Fără Listare934"/>
    <w:uiPriority w:val="99"/>
    <w:semiHidden/>
    <w:unhideWhenUsed/>
    <w:qFormat/>
    <w:rsid w:val="00ea1435"/>
  </w:style>
  <w:style w:type="numbering" w:styleId="FrListare1034" w:customStyle="1">
    <w:name w:val="Fără Listare1034"/>
    <w:uiPriority w:val="99"/>
    <w:semiHidden/>
    <w:unhideWhenUsed/>
    <w:qFormat/>
    <w:rsid w:val="00ea1435"/>
  </w:style>
  <w:style w:type="numbering" w:styleId="FrListare11134" w:customStyle="1">
    <w:name w:val="Fără Listare11134"/>
    <w:uiPriority w:val="99"/>
    <w:semiHidden/>
    <w:unhideWhenUsed/>
    <w:qFormat/>
    <w:rsid w:val="00ea1435"/>
  </w:style>
  <w:style w:type="numbering" w:styleId="FrListare1234" w:customStyle="1">
    <w:name w:val="Fără Listare1234"/>
    <w:uiPriority w:val="99"/>
    <w:semiHidden/>
    <w:unhideWhenUsed/>
    <w:qFormat/>
    <w:rsid w:val="00ea1435"/>
  </w:style>
  <w:style w:type="numbering" w:styleId="FrListare1334" w:customStyle="1">
    <w:name w:val="Fără Listare1334"/>
    <w:uiPriority w:val="99"/>
    <w:semiHidden/>
    <w:unhideWhenUsed/>
    <w:qFormat/>
    <w:rsid w:val="00ea1435"/>
  </w:style>
  <w:style w:type="numbering" w:styleId="FrListare1434" w:customStyle="1">
    <w:name w:val="Fără Listare1434"/>
    <w:uiPriority w:val="99"/>
    <w:semiHidden/>
    <w:unhideWhenUsed/>
    <w:qFormat/>
    <w:rsid w:val="00ea1435"/>
  </w:style>
  <w:style w:type="numbering" w:styleId="FrListare1534" w:customStyle="1">
    <w:name w:val="Fără Listare1534"/>
    <w:uiPriority w:val="99"/>
    <w:semiHidden/>
    <w:unhideWhenUsed/>
    <w:qFormat/>
    <w:rsid w:val="00ea1435"/>
  </w:style>
  <w:style w:type="numbering" w:styleId="FrListare1634" w:customStyle="1">
    <w:name w:val="Fără Listare1634"/>
    <w:semiHidden/>
    <w:qFormat/>
    <w:rsid w:val="00ea1435"/>
  </w:style>
  <w:style w:type="numbering" w:styleId="FrListare1734" w:customStyle="1">
    <w:name w:val="Fără Listare1734"/>
    <w:uiPriority w:val="99"/>
    <w:semiHidden/>
    <w:unhideWhenUsed/>
    <w:qFormat/>
    <w:rsid w:val="00ea1435"/>
  </w:style>
  <w:style w:type="numbering" w:styleId="FrListare1834" w:customStyle="1">
    <w:name w:val="Fără Listare1834"/>
    <w:uiPriority w:val="99"/>
    <w:semiHidden/>
    <w:unhideWhenUsed/>
    <w:qFormat/>
    <w:rsid w:val="00ea1435"/>
  </w:style>
  <w:style w:type="numbering" w:styleId="FrListare1934" w:customStyle="1">
    <w:name w:val="Fără Listare1934"/>
    <w:uiPriority w:val="99"/>
    <w:semiHidden/>
    <w:unhideWhenUsed/>
    <w:qFormat/>
    <w:rsid w:val="00ea1435"/>
  </w:style>
  <w:style w:type="numbering" w:styleId="FrListare2034" w:customStyle="1">
    <w:name w:val="Fără Listare2034"/>
    <w:uiPriority w:val="99"/>
    <w:semiHidden/>
    <w:unhideWhenUsed/>
    <w:qFormat/>
    <w:rsid w:val="00ea1435"/>
  </w:style>
  <w:style w:type="numbering" w:styleId="FrListare11034" w:customStyle="1">
    <w:name w:val="Fără Listare11034"/>
    <w:uiPriority w:val="99"/>
    <w:semiHidden/>
    <w:unhideWhenUsed/>
    <w:qFormat/>
    <w:rsid w:val="00ea1435"/>
  </w:style>
  <w:style w:type="numbering" w:styleId="FrListare2144" w:customStyle="1">
    <w:name w:val="Fără Listare2144"/>
    <w:uiPriority w:val="99"/>
    <w:semiHidden/>
    <w:unhideWhenUsed/>
    <w:qFormat/>
    <w:rsid w:val="00ea1435"/>
  </w:style>
  <w:style w:type="numbering" w:styleId="FrListare2234" w:customStyle="1">
    <w:name w:val="Fără Listare2234"/>
    <w:uiPriority w:val="99"/>
    <w:semiHidden/>
    <w:unhideWhenUsed/>
    <w:qFormat/>
    <w:rsid w:val="00ea1435"/>
  </w:style>
  <w:style w:type="numbering" w:styleId="FrListare2334" w:customStyle="1">
    <w:name w:val="Fără Listare2334"/>
    <w:uiPriority w:val="99"/>
    <w:semiHidden/>
    <w:unhideWhenUsed/>
    <w:qFormat/>
    <w:rsid w:val="00ea1435"/>
  </w:style>
  <w:style w:type="numbering" w:styleId="FrListare2434" w:customStyle="1">
    <w:name w:val="Fără Listare2434"/>
    <w:semiHidden/>
    <w:qFormat/>
    <w:rsid w:val="00ea1435"/>
  </w:style>
  <w:style w:type="numbering" w:styleId="FrListare1111114" w:customStyle="1">
    <w:name w:val="Fără Listare1111114"/>
    <w:uiPriority w:val="99"/>
    <w:semiHidden/>
    <w:qFormat/>
    <w:rsid w:val="00ea1435"/>
  </w:style>
  <w:style w:type="numbering" w:styleId="FrListare112114" w:customStyle="1">
    <w:name w:val="Fără Listare112114"/>
    <w:uiPriority w:val="99"/>
    <w:semiHidden/>
    <w:qFormat/>
    <w:rsid w:val="00ea1435"/>
  </w:style>
  <w:style w:type="numbering" w:styleId="FrListare2534" w:customStyle="1">
    <w:name w:val="Fără Listare2534"/>
    <w:uiPriority w:val="99"/>
    <w:semiHidden/>
    <w:unhideWhenUsed/>
    <w:qFormat/>
    <w:rsid w:val="00ea1435"/>
  </w:style>
  <w:style w:type="numbering" w:styleId="FrListare31114" w:customStyle="1">
    <w:name w:val="Fără Listare31114"/>
    <w:semiHidden/>
    <w:unhideWhenUsed/>
    <w:qFormat/>
    <w:rsid w:val="00ea1435"/>
  </w:style>
  <w:style w:type="numbering" w:styleId="FrListare41114" w:customStyle="1">
    <w:name w:val="Fără Listare41114"/>
    <w:semiHidden/>
    <w:unhideWhenUsed/>
    <w:qFormat/>
    <w:rsid w:val="00ea1435"/>
  </w:style>
  <w:style w:type="numbering" w:styleId="FrListare51114" w:customStyle="1">
    <w:name w:val="Fără Listare51114"/>
    <w:uiPriority w:val="99"/>
    <w:semiHidden/>
    <w:unhideWhenUsed/>
    <w:qFormat/>
    <w:rsid w:val="00ea1435"/>
  </w:style>
  <w:style w:type="numbering" w:styleId="FrListare61114" w:customStyle="1">
    <w:name w:val="Fără Listare61114"/>
    <w:uiPriority w:val="99"/>
    <w:semiHidden/>
    <w:unhideWhenUsed/>
    <w:qFormat/>
    <w:rsid w:val="00ea1435"/>
  </w:style>
  <w:style w:type="numbering" w:styleId="FrListare71114" w:customStyle="1">
    <w:name w:val="Fără Listare71114"/>
    <w:uiPriority w:val="99"/>
    <w:semiHidden/>
    <w:unhideWhenUsed/>
    <w:qFormat/>
    <w:rsid w:val="00ea1435"/>
  </w:style>
  <w:style w:type="numbering" w:styleId="FrListare81114" w:customStyle="1">
    <w:name w:val="Fără Listare81114"/>
    <w:semiHidden/>
    <w:qFormat/>
    <w:rsid w:val="00ea1435"/>
  </w:style>
  <w:style w:type="numbering" w:styleId="FrListare91114" w:customStyle="1">
    <w:name w:val="Fără Listare91114"/>
    <w:uiPriority w:val="99"/>
    <w:semiHidden/>
    <w:unhideWhenUsed/>
    <w:qFormat/>
    <w:rsid w:val="00ea1435"/>
  </w:style>
  <w:style w:type="numbering" w:styleId="FrListare101114" w:customStyle="1">
    <w:name w:val="Fără Listare101114"/>
    <w:uiPriority w:val="99"/>
    <w:semiHidden/>
    <w:unhideWhenUsed/>
    <w:qFormat/>
    <w:rsid w:val="00ea1435"/>
  </w:style>
  <w:style w:type="numbering" w:styleId="FrListare11111114" w:customStyle="1">
    <w:name w:val="Fără Listare11111114"/>
    <w:uiPriority w:val="99"/>
    <w:semiHidden/>
    <w:unhideWhenUsed/>
    <w:qFormat/>
    <w:rsid w:val="00ea1435"/>
  </w:style>
  <w:style w:type="numbering" w:styleId="FrListare121114" w:customStyle="1">
    <w:name w:val="Fără Listare121114"/>
    <w:uiPriority w:val="99"/>
    <w:semiHidden/>
    <w:unhideWhenUsed/>
    <w:qFormat/>
    <w:rsid w:val="00ea1435"/>
  </w:style>
  <w:style w:type="numbering" w:styleId="FrListare131114" w:customStyle="1">
    <w:name w:val="Fără Listare131114"/>
    <w:uiPriority w:val="99"/>
    <w:semiHidden/>
    <w:unhideWhenUsed/>
    <w:qFormat/>
    <w:rsid w:val="00ea1435"/>
  </w:style>
  <w:style w:type="numbering" w:styleId="FrListare141114" w:customStyle="1">
    <w:name w:val="Fără Listare141114"/>
    <w:uiPriority w:val="99"/>
    <w:semiHidden/>
    <w:unhideWhenUsed/>
    <w:qFormat/>
    <w:rsid w:val="00ea1435"/>
  </w:style>
  <w:style w:type="numbering" w:styleId="FrListare151114" w:customStyle="1">
    <w:name w:val="Fără Listare151114"/>
    <w:uiPriority w:val="99"/>
    <w:semiHidden/>
    <w:unhideWhenUsed/>
    <w:qFormat/>
    <w:rsid w:val="00ea1435"/>
  </w:style>
  <w:style w:type="numbering" w:styleId="FrListare161114" w:customStyle="1">
    <w:name w:val="Fără Listare161114"/>
    <w:semiHidden/>
    <w:qFormat/>
    <w:rsid w:val="00ea1435"/>
  </w:style>
  <w:style w:type="numbering" w:styleId="FrListare171114" w:customStyle="1">
    <w:name w:val="Fără Listare171114"/>
    <w:uiPriority w:val="99"/>
    <w:semiHidden/>
    <w:unhideWhenUsed/>
    <w:qFormat/>
    <w:rsid w:val="00ea1435"/>
  </w:style>
  <w:style w:type="numbering" w:styleId="FrListare181114" w:customStyle="1">
    <w:name w:val="Fără Listare181114"/>
    <w:uiPriority w:val="99"/>
    <w:semiHidden/>
    <w:unhideWhenUsed/>
    <w:qFormat/>
    <w:rsid w:val="00ea1435"/>
  </w:style>
  <w:style w:type="numbering" w:styleId="FrListare191114" w:customStyle="1">
    <w:name w:val="Fără Listare191114"/>
    <w:uiPriority w:val="99"/>
    <w:semiHidden/>
    <w:unhideWhenUsed/>
    <w:qFormat/>
    <w:rsid w:val="00ea1435"/>
  </w:style>
  <w:style w:type="numbering" w:styleId="FrListare201114" w:customStyle="1">
    <w:name w:val="Fără Listare201114"/>
    <w:uiPriority w:val="99"/>
    <w:semiHidden/>
    <w:unhideWhenUsed/>
    <w:qFormat/>
    <w:rsid w:val="00ea1435"/>
  </w:style>
  <w:style w:type="numbering" w:styleId="FrListare1101114" w:customStyle="1">
    <w:name w:val="Fără Listare1101114"/>
    <w:uiPriority w:val="99"/>
    <w:semiHidden/>
    <w:unhideWhenUsed/>
    <w:qFormat/>
    <w:rsid w:val="00ea1435"/>
  </w:style>
  <w:style w:type="numbering" w:styleId="FrListare211114" w:customStyle="1">
    <w:name w:val="Fără Listare211114"/>
    <w:uiPriority w:val="99"/>
    <w:semiHidden/>
    <w:unhideWhenUsed/>
    <w:qFormat/>
    <w:rsid w:val="00ea1435"/>
  </w:style>
  <w:style w:type="numbering" w:styleId="FrListare221114" w:customStyle="1">
    <w:name w:val="Fără Listare221114"/>
    <w:uiPriority w:val="99"/>
    <w:semiHidden/>
    <w:unhideWhenUsed/>
    <w:qFormat/>
    <w:rsid w:val="00ea1435"/>
  </w:style>
  <w:style w:type="numbering" w:styleId="FrListare231114" w:customStyle="1">
    <w:name w:val="Fără Listare231114"/>
    <w:uiPriority w:val="99"/>
    <w:semiHidden/>
    <w:unhideWhenUsed/>
    <w:qFormat/>
    <w:rsid w:val="00ea1435"/>
  </w:style>
  <w:style w:type="numbering" w:styleId="FrListare2634" w:customStyle="1">
    <w:name w:val="Fără Listare2634"/>
    <w:uiPriority w:val="99"/>
    <w:semiHidden/>
    <w:unhideWhenUsed/>
    <w:qFormat/>
    <w:rsid w:val="00ea1435"/>
  </w:style>
  <w:style w:type="numbering" w:styleId="FrListare693" w:customStyle="1">
    <w:name w:val="Fără Listare693"/>
    <w:uiPriority w:val="99"/>
    <w:semiHidden/>
    <w:qFormat/>
    <w:rsid w:val="00ea1435"/>
  </w:style>
  <w:style w:type="numbering" w:styleId="FrListare1193" w:customStyle="1">
    <w:name w:val="Fără Listare1193"/>
    <w:uiPriority w:val="99"/>
    <w:semiHidden/>
    <w:unhideWhenUsed/>
    <w:qFormat/>
    <w:rsid w:val="00ea1435"/>
  </w:style>
  <w:style w:type="numbering" w:styleId="FrListare11103" w:customStyle="1">
    <w:name w:val="Fără Listare11103"/>
    <w:uiPriority w:val="99"/>
    <w:semiHidden/>
    <w:qFormat/>
    <w:rsid w:val="00ea1435"/>
  </w:style>
  <w:style w:type="numbering" w:styleId="FrListare2153" w:customStyle="1">
    <w:name w:val="Fără Listare2153"/>
    <w:uiPriority w:val="99"/>
    <w:semiHidden/>
    <w:unhideWhenUsed/>
    <w:qFormat/>
    <w:rsid w:val="00ea1435"/>
  </w:style>
  <w:style w:type="numbering" w:styleId="FrListare3123" w:customStyle="1">
    <w:name w:val="Fără Listare3123"/>
    <w:semiHidden/>
    <w:unhideWhenUsed/>
    <w:qFormat/>
    <w:rsid w:val="00ea1435"/>
  </w:style>
  <w:style w:type="numbering" w:styleId="FrListare4123" w:customStyle="1">
    <w:name w:val="Fără Listare4123"/>
    <w:semiHidden/>
    <w:unhideWhenUsed/>
    <w:qFormat/>
    <w:rsid w:val="00ea1435"/>
  </w:style>
  <w:style w:type="numbering" w:styleId="FrListare5123" w:customStyle="1">
    <w:name w:val="Fără Listare5123"/>
    <w:uiPriority w:val="99"/>
    <w:semiHidden/>
    <w:unhideWhenUsed/>
    <w:qFormat/>
    <w:rsid w:val="00ea1435"/>
  </w:style>
  <w:style w:type="numbering" w:styleId="FrListare6103" w:customStyle="1">
    <w:name w:val="Fără Listare6103"/>
    <w:uiPriority w:val="99"/>
    <w:semiHidden/>
    <w:unhideWhenUsed/>
    <w:qFormat/>
    <w:rsid w:val="00ea1435"/>
  </w:style>
  <w:style w:type="numbering" w:styleId="FrListare743" w:customStyle="1">
    <w:name w:val="Fără Listare743"/>
    <w:uiPriority w:val="99"/>
    <w:semiHidden/>
    <w:unhideWhenUsed/>
    <w:qFormat/>
    <w:rsid w:val="00ea1435"/>
  </w:style>
  <w:style w:type="numbering" w:styleId="FrListare843" w:customStyle="1">
    <w:name w:val="Fără Listare843"/>
    <w:semiHidden/>
    <w:qFormat/>
    <w:rsid w:val="00ea1435"/>
  </w:style>
  <w:style w:type="numbering" w:styleId="FrListare943" w:customStyle="1">
    <w:name w:val="Fără Listare943"/>
    <w:uiPriority w:val="99"/>
    <w:semiHidden/>
    <w:unhideWhenUsed/>
    <w:qFormat/>
    <w:rsid w:val="00ea1435"/>
  </w:style>
  <w:style w:type="numbering" w:styleId="FrListare1043" w:customStyle="1">
    <w:name w:val="Fără Listare1043"/>
    <w:uiPriority w:val="99"/>
    <w:semiHidden/>
    <w:unhideWhenUsed/>
    <w:qFormat/>
    <w:rsid w:val="00ea1435"/>
  </w:style>
  <w:style w:type="numbering" w:styleId="FrListare11143" w:customStyle="1">
    <w:name w:val="Fără Listare11143"/>
    <w:uiPriority w:val="99"/>
    <w:semiHidden/>
    <w:unhideWhenUsed/>
    <w:qFormat/>
    <w:rsid w:val="00ea1435"/>
  </w:style>
  <w:style w:type="numbering" w:styleId="FrListare1243" w:customStyle="1">
    <w:name w:val="Fără Listare1243"/>
    <w:uiPriority w:val="99"/>
    <w:semiHidden/>
    <w:unhideWhenUsed/>
    <w:qFormat/>
    <w:rsid w:val="00ea1435"/>
  </w:style>
  <w:style w:type="numbering" w:styleId="FrListare1343" w:customStyle="1">
    <w:name w:val="Fără Listare1343"/>
    <w:uiPriority w:val="99"/>
    <w:semiHidden/>
    <w:unhideWhenUsed/>
    <w:qFormat/>
    <w:rsid w:val="00ea1435"/>
  </w:style>
  <w:style w:type="numbering" w:styleId="FrListare1443" w:customStyle="1">
    <w:name w:val="Fără Listare1443"/>
    <w:uiPriority w:val="99"/>
    <w:semiHidden/>
    <w:unhideWhenUsed/>
    <w:qFormat/>
    <w:rsid w:val="00ea1435"/>
  </w:style>
  <w:style w:type="numbering" w:styleId="FrListare1543" w:customStyle="1">
    <w:name w:val="Fără Listare1543"/>
    <w:uiPriority w:val="99"/>
    <w:semiHidden/>
    <w:unhideWhenUsed/>
    <w:qFormat/>
    <w:rsid w:val="00ea1435"/>
  </w:style>
  <w:style w:type="numbering" w:styleId="FrListare1643" w:customStyle="1">
    <w:name w:val="Fără Listare1643"/>
    <w:semiHidden/>
    <w:qFormat/>
    <w:rsid w:val="00ea1435"/>
  </w:style>
  <w:style w:type="numbering" w:styleId="FrListare1743" w:customStyle="1">
    <w:name w:val="Fără Listare1743"/>
    <w:uiPriority w:val="99"/>
    <w:semiHidden/>
    <w:unhideWhenUsed/>
    <w:qFormat/>
    <w:rsid w:val="00ea1435"/>
  </w:style>
  <w:style w:type="numbering" w:styleId="FrListare1843" w:customStyle="1">
    <w:name w:val="Fără Listare1843"/>
    <w:uiPriority w:val="99"/>
    <w:semiHidden/>
    <w:unhideWhenUsed/>
    <w:qFormat/>
    <w:rsid w:val="00ea1435"/>
  </w:style>
  <w:style w:type="numbering" w:styleId="FrListare1943" w:customStyle="1">
    <w:name w:val="Fără Listare1943"/>
    <w:uiPriority w:val="99"/>
    <w:semiHidden/>
    <w:unhideWhenUsed/>
    <w:qFormat/>
    <w:rsid w:val="00ea1435"/>
  </w:style>
  <w:style w:type="numbering" w:styleId="FrListare2043" w:customStyle="1">
    <w:name w:val="Fără Listare2043"/>
    <w:uiPriority w:val="99"/>
    <w:semiHidden/>
    <w:unhideWhenUsed/>
    <w:qFormat/>
    <w:rsid w:val="00ea1435"/>
  </w:style>
  <w:style w:type="numbering" w:styleId="FrListare11043" w:customStyle="1">
    <w:name w:val="Fără Listare11043"/>
    <w:uiPriority w:val="99"/>
    <w:semiHidden/>
    <w:unhideWhenUsed/>
    <w:qFormat/>
    <w:rsid w:val="00ea1435"/>
  </w:style>
  <w:style w:type="numbering" w:styleId="FrListare2163" w:customStyle="1">
    <w:name w:val="Fără Listare2163"/>
    <w:uiPriority w:val="99"/>
    <w:semiHidden/>
    <w:unhideWhenUsed/>
    <w:qFormat/>
    <w:rsid w:val="00ea1435"/>
  </w:style>
  <w:style w:type="numbering" w:styleId="FrListare2243" w:customStyle="1">
    <w:name w:val="Fără Listare2243"/>
    <w:uiPriority w:val="99"/>
    <w:semiHidden/>
    <w:unhideWhenUsed/>
    <w:qFormat/>
    <w:rsid w:val="00ea1435"/>
  </w:style>
  <w:style w:type="numbering" w:styleId="FrListare2343" w:customStyle="1">
    <w:name w:val="Fără Listare2343"/>
    <w:uiPriority w:val="99"/>
    <w:semiHidden/>
    <w:unhideWhenUsed/>
    <w:qFormat/>
    <w:rsid w:val="00ea1435"/>
  </w:style>
  <w:style w:type="numbering" w:styleId="FrListare2443" w:customStyle="1">
    <w:name w:val="Fără Listare2443"/>
    <w:semiHidden/>
    <w:qFormat/>
    <w:rsid w:val="00ea1435"/>
  </w:style>
  <w:style w:type="numbering" w:styleId="FrListare111124" w:customStyle="1">
    <w:name w:val="Fără Listare111124"/>
    <w:uiPriority w:val="99"/>
    <w:semiHidden/>
    <w:qFormat/>
    <w:rsid w:val="00ea1435"/>
  </w:style>
  <w:style w:type="numbering" w:styleId="FrListare11223" w:customStyle="1">
    <w:name w:val="Fără Listare11223"/>
    <w:uiPriority w:val="99"/>
    <w:semiHidden/>
    <w:qFormat/>
    <w:rsid w:val="00ea1435"/>
  </w:style>
  <w:style w:type="numbering" w:styleId="FrListare2543" w:customStyle="1">
    <w:name w:val="Fără Listare2543"/>
    <w:uiPriority w:val="99"/>
    <w:semiHidden/>
    <w:unhideWhenUsed/>
    <w:qFormat/>
    <w:rsid w:val="00ea1435"/>
  </w:style>
  <w:style w:type="numbering" w:styleId="FrListare3133" w:customStyle="1">
    <w:name w:val="Fără Listare3133"/>
    <w:semiHidden/>
    <w:unhideWhenUsed/>
    <w:qFormat/>
    <w:rsid w:val="00ea1435"/>
  </w:style>
  <w:style w:type="numbering" w:styleId="FrListare4133" w:customStyle="1">
    <w:name w:val="Fără Listare4133"/>
    <w:semiHidden/>
    <w:unhideWhenUsed/>
    <w:qFormat/>
    <w:rsid w:val="00ea1435"/>
  </w:style>
  <w:style w:type="numbering" w:styleId="FrListare5133" w:customStyle="1">
    <w:name w:val="Fără Listare5133"/>
    <w:uiPriority w:val="99"/>
    <w:semiHidden/>
    <w:unhideWhenUsed/>
    <w:qFormat/>
    <w:rsid w:val="00ea1435"/>
  </w:style>
  <w:style w:type="numbering" w:styleId="FrListare6123" w:customStyle="1">
    <w:name w:val="Fără Listare6123"/>
    <w:uiPriority w:val="99"/>
    <w:semiHidden/>
    <w:unhideWhenUsed/>
    <w:qFormat/>
    <w:rsid w:val="00ea1435"/>
  </w:style>
  <w:style w:type="numbering" w:styleId="FrListare7123" w:customStyle="1">
    <w:name w:val="Fără Listare7123"/>
    <w:uiPriority w:val="99"/>
    <w:semiHidden/>
    <w:unhideWhenUsed/>
    <w:qFormat/>
    <w:rsid w:val="00ea1435"/>
  </w:style>
  <w:style w:type="numbering" w:styleId="FrListare8123" w:customStyle="1">
    <w:name w:val="Fără Listare8123"/>
    <w:semiHidden/>
    <w:qFormat/>
    <w:rsid w:val="00ea1435"/>
  </w:style>
  <w:style w:type="numbering" w:styleId="FrListare9123" w:customStyle="1">
    <w:name w:val="Fără Listare9123"/>
    <w:uiPriority w:val="99"/>
    <w:semiHidden/>
    <w:unhideWhenUsed/>
    <w:qFormat/>
    <w:rsid w:val="00ea1435"/>
  </w:style>
  <w:style w:type="numbering" w:styleId="FrListare10123" w:customStyle="1">
    <w:name w:val="Fără Listare10123"/>
    <w:uiPriority w:val="99"/>
    <w:semiHidden/>
    <w:unhideWhenUsed/>
    <w:qFormat/>
    <w:rsid w:val="00ea1435"/>
  </w:style>
  <w:style w:type="numbering" w:styleId="FrListare1111123" w:customStyle="1">
    <w:name w:val="Fără Listare1111123"/>
    <w:uiPriority w:val="99"/>
    <w:semiHidden/>
    <w:unhideWhenUsed/>
    <w:qFormat/>
    <w:rsid w:val="00ea1435"/>
  </w:style>
  <w:style w:type="numbering" w:styleId="FrListare12123" w:customStyle="1">
    <w:name w:val="Fără Listare12123"/>
    <w:uiPriority w:val="99"/>
    <w:semiHidden/>
    <w:unhideWhenUsed/>
    <w:qFormat/>
    <w:rsid w:val="00ea1435"/>
  </w:style>
  <w:style w:type="numbering" w:styleId="FrListare13123" w:customStyle="1">
    <w:name w:val="Fără Listare13123"/>
    <w:uiPriority w:val="99"/>
    <w:semiHidden/>
    <w:unhideWhenUsed/>
    <w:qFormat/>
    <w:rsid w:val="00ea1435"/>
  </w:style>
  <w:style w:type="numbering" w:styleId="FrListare14123" w:customStyle="1">
    <w:name w:val="Fără Listare14123"/>
    <w:uiPriority w:val="99"/>
    <w:semiHidden/>
    <w:unhideWhenUsed/>
    <w:qFormat/>
    <w:rsid w:val="00ea1435"/>
  </w:style>
  <w:style w:type="numbering" w:styleId="FrListare15123" w:customStyle="1">
    <w:name w:val="Fără Listare15123"/>
    <w:uiPriority w:val="99"/>
    <w:semiHidden/>
    <w:unhideWhenUsed/>
    <w:qFormat/>
    <w:rsid w:val="00ea1435"/>
  </w:style>
  <w:style w:type="numbering" w:styleId="FrListare16123" w:customStyle="1">
    <w:name w:val="Fără Listare16123"/>
    <w:semiHidden/>
    <w:qFormat/>
    <w:rsid w:val="00ea1435"/>
  </w:style>
  <w:style w:type="numbering" w:styleId="FrListare17123" w:customStyle="1">
    <w:name w:val="Fără Listare17123"/>
    <w:uiPriority w:val="99"/>
    <w:semiHidden/>
    <w:unhideWhenUsed/>
    <w:qFormat/>
    <w:rsid w:val="00ea1435"/>
  </w:style>
  <w:style w:type="numbering" w:styleId="FrListare18123" w:customStyle="1">
    <w:name w:val="Fără Listare18123"/>
    <w:uiPriority w:val="99"/>
    <w:semiHidden/>
    <w:unhideWhenUsed/>
    <w:qFormat/>
    <w:rsid w:val="00ea1435"/>
  </w:style>
  <w:style w:type="numbering" w:styleId="FrListare19123" w:customStyle="1">
    <w:name w:val="Fără Listare19123"/>
    <w:uiPriority w:val="99"/>
    <w:semiHidden/>
    <w:unhideWhenUsed/>
    <w:qFormat/>
    <w:rsid w:val="00ea1435"/>
  </w:style>
  <w:style w:type="numbering" w:styleId="FrListare20123" w:customStyle="1">
    <w:name w:val="Fără Listare20123"/>
    <w:uiPriority w:val="99"/>
    <w:semiHidden/>
    <w:unhideWhenUsed/>
    <w:qFormat/>
    <w:rsid w:val="00ea1435"/>
  </w:style>
  <w:style w:type="numbering" w:styleId="FrListare110123" w:customStyle="1">
    <w:name w:val="Fără Listare110123"/>
    <w:uiPriority w:val="99"/>
    <w:semiHidden/>
    <w:unhideWhenUsed/>
    <w:qFormat/>
    <w:rsid w:val="00ea1435"/>
  </w:style>
  <w:style w:type="numbering" w:styleId="FrListare21123" w:customStyle="1">
    <w:name w:val="Fără Listare21123"/>
    <w:uiPriority w:val="99"/>
    <w:semiHidden/>
    <w:unhideWhenUsed/>
    <w:qFormat/>
    <w:rsid w:val="00ea1435"/>
  </w:style>
  <w:style w:type="numbering" w:styleId="FrListare22123" w:customStyle="1">
    <w:name w:val="Fără Listare22123"/>
    <w:uiPriority w:val="99"/>
    <w:semiHidden/>
    <w:unhideWhenUsed/>
    <w:qFormat/>
    <w:rsid w:val="00ea1435"/>
  </w:style>
  <w:style w:type="numbering" w:styleId="FrListare23123" w:customStyle="1">
    <w:name w:val="Fără Listare23123"/>
    <w:uiPriority w:val="99"/>
    <w:semiHidden/>
    <w:unhideWhenUsed/>
    <w:qFormat/>
    <w:rsid w:val="00ea1435"/>
  </w:style>
  <w:style w:type="numbering" w:styleId="FrListare2643" w:customStyle="1">
    <w:name w:val="Fără Listare2643"/>
    <w:uiPriority w:val="99"/>
    <w:semiHidden/>
    <w:unhideWhenUsed/>
    <w:qFormat/>
    <w:rsid w:val="00ea1435"/>
  </w:style>
  <w:style w:type="numbering" w:styleId="FrListare2733" w:customStyle="1">
    <w:name w:val="Fără Listare2733"/>
    <w:uiPriority w:val="99"/>
    <w:semiHidden/>
    <w:unhideWhenUsed/>
    <w:qFormat/>
    <w:rsid w:val="00ea1435"/>
  </w:style>
  <w:style w:type="numbering" w:styleId="FrListare11314" w:customStyle="1">
    <w:name w:val="Fără Listare11314"/>
    <w:uiPriority w:val="99"/>
    <w:semiHidden/>
    <w:unhideWhenUsed/>
    <w:qFormat/>
    <w:rsid w:val="00ea1435"/>
  </w:style>
  <w:style w:type="numbering" w:styleId="FrListare2814" w:customStyle="1">
    <w:name w:val="Fără Listare2814"/>
    <w:uiPriority w:val="99"/>
    <w:semiHidden/>
    <w:unhideWhenUsed/>
    <w:qFormat/>
    <w:rsid w:val="00ea1435"/>
  </w:style>
  <w:style w:type="numbering" w:styleId="FrListare32114" w:customStyle="1">
    <w:name w:val="Fără Listare32114"/>
    <w:semiHidden/>
    <w:qFormat/>
    <w:rsid w:val="00ea1435"/>
  </w:style>
  <w:style w:type="numbering" w:styleId="FrListare42114" w:customStyle="1">
    <w:name w:val="Fără Listare42114"/>
    <w:semiHidden/>
    <w:qFormat/>
    <w:rsid w:val="00ea1435"/>
  </w:style>
  <w:style w:type="numbering" w:styleId="FrListare52114" w:customStyle="1">
    <w:name w:val="Fără Listare52114"/>
    <w:uiPriority w:val="99"/>
    <w:semiHidden/>
    <w:unhideWhenUsed/>
    <w:qFormat/>
    <w:rsid w:val="00ea1435"/>
  </w:style>
  <w:style w:type="numbering" w:styleId="FrListare6214" w:customStyle="1">
    <w:name w:val="Fără Listare6214"/>
    <w:uiPriority w:val="99"/>
    <w:semiHidden/>
    <w:unhideWhenUsed/>
    <w:qFormat/>
    <w:rsid w:val="00ea1435"/>
  </w:style>
  <w:style w:type="numbering" w:styleId="FrListare7214" w:customStyle="1">
    <w:name w:val="Fără Listare7214"/>
    <w:uiPriority w:val="99"/>
    <w:semiHidden/>
    <w:unhideWhenUsed/>
    <w:qFormat/>
    <w:rsid w:val="00ea1435"/>
  </w:style>
  <w:style w:type="numbering" w:styleId="FrListare8214" w:customStyle="1">
    <w:name w:val="Fără Listare8214"/>
    <w:semiHidden/>
    <w:qFormat/>
    <w:rsid w:val="00ea1435"/>
  </w:style>
  <w:style w:type="numbering" w:styleId="FrListare9214" w:customStyle="1">
    <w:name w:val="Fără Listare9214"/>
    <w:uiPriority w:val="99"/>
    <w:semiHidden/>
    <w:unhideWhenUsed/>
    <w:qFormat/>
    <w:rsid w:val="00ea1435"/>
  </w:style>
  <w:style w:type="numbering" w:styleId="FrListare10214" w:customStyle="1">
    <w:name w:val="Fără Listare10214"/>
    <w:uiPriority w:val="99"/>
    <w:semiHidden/>
    <w:unhideWhenUsed/>
    <w:qFormat/>
    <w:rsid w:val="00ea1435"/>
  </w:style>
  <w:style w:type="numbering" w:styleId="FrListare11414" w:customStyle="1">
    <w:name w:val="Fără Listare11414"/>
    <w:uiPriority w:val="99"/>
    <w:semiHidden/>
    <w:unhideWhenUsed/>
    <w:qFormat/>
    <w:rsid w:val="00ea1435"/>
  </w:style>
  <w:style w:type="numbering" w:styleId="FrListare12214" w:customStyle="1">
    <w:name w:val="Fără Listare12214"/>
    <w:uiPriority w:val="99"/>
    <w:semiHidden/>
    <w:unhideWhenUsed/>
    <w:qFormat/>
    <w:rsid w:val="00ea1435"/>
  </w:style>
  <w:style w:type="numbering" w:styleId="FrListare13214" w:customStyle="1">
    <w:name w:val="Fără Listare13214"/>
    <w:uiPriority w:val="99"/>
    <w:semiHidden/>
    <w:unhideWhenUsed/>
    <w:qFormat/>
    <w:rsid w:val="00ea1435"/>
  </w:style>
  <w:style w:type="numbering" w:styleId="FrListare14214" w:customStyle="1">
    <w:name w:val="Fără Listare14214"/>
    <w:uiPriority w:val="99"/>
    <w:semiHidden/>
    <w:unhideWhenUsed/>
    <w:qFormat/>
    <w:rsid w:val="00ea1435"/>
  </w:style>
  <w:style w:type="numbering" w:styleId="FrListare15214" w:customStyle="1">
    <w:name w:val="Fără Listare15214"/>
    <w:uiPriority w:val="99"/>
    <w:semiHidden/>
    <w:unhideWhenUsed/>
    <w:qFormat/>
    <w:rsid w:val="00ea1435"/>
  </w:style>
  <w:style w:type="numbering" w:styleId="FrListare16214" w:customStyle="1">
    <w:name w:val="Fără Listare16214"/>
    <w:semiHidden/>
    <w:qFormat/>
    <w:rsid w:val="00ea1435"/>
  </w:style>
  <w:style w:type="numbering" w:styleId="FrListare17214" w:customStyle="1">
    <w:name w:val="Fără Listare17214"/>
    <w:uiPriority w:val="99"/>
    <w:semiHidden/>
    <w:unhideWhenUsed/>
    <w:qFormat/>
    <w:rsid w:val="00ea1435"/>
  </w:style>
  <w:style w:type="numbering" w:styleId="FrListare18214" w:customStyle="1">
    <w:name w:val="Fără Listare18214"/>
    <w:uiPriority w:val="99"/>
    <w:semiHidden/>
    <w:unhideWhenUsed/>
    <w:qFormat/>
    <w:rsid w:val="00ea1435"/>
  </w:style>
  <w:style w:type="numbering" w:styleId="FrListare19214" w:customStyle="1">
    <w:name w:val="Fără Listare19214"/>
    <w:uiPriority w:val="99"/>
    <w:semiHidden/>
    <w:unhideWhenUsed/>
    <w:qFormat/>
    <w:rsid w:val="00ea1435"/>
  </w:style>
  <w:style w:type="numbering" w:styleId="FrListare20214" w:customStyle="1">
    <w:name w:val="Fără Listare20214"/>
    <w:uiPriority w:val="99"/>
    <w:semiHidden/>
    <w:unhideWhenUsed/>
    <w:qFormat/>
    <w:rsid w:val="00ea1435"/>
  </w:style>
  <w:style w:type="numbering" w:styleId="FrListare110214" w:customStyle="1">
    <w:name w:val="Fără Listare110214"/>
    <w:uiPriority w:val="99"/>
    <w:semiHidden/>
    <w:unhideWhenUsed/>
    <w:qFormat/>
    <w:rsid w:val="00ea1435"/>
  </w:style>
  <w:style w:type="numbering" w:styleId="FrListare21214" w:customStyle="1">
    <w:name w:val="Fără Listare21214"/>
    <w:semiHidden/>
    <w:qFormat/>
    <w:rsid w:val="00ea1435"/>
  </w:style>
  <w:style w:type="numbering" w:styleId="FrListare22214" w:customStyle="1">
    <w:name w:val="Fără Listare22214"/>
    <w:semiHidden/>
    <w:qFormat/>
    <w:rsid w:val="00ea1435"/>
  </w:style>
  <w:style w:type="numbering" w:styleId="FrListare23214" w:customStyle="1">
    <w:name w:val="Fără Listare23214"/>
    <w:semiHidden/>
    <w:qFormat/>
    <w:rsid w:val="00ea1435"/>
  </w:style>
  <w:style w:type="numbering" w:styleId="FrListare241114" w:customStyle="1">
    <w:name w:val="Fără Listare241114"/>
    <w:uiPriority w:val="99"/>
    <w:semiHidden/>
    <w:unhideWhenUsed/>
    <w:qFormat/>
    <w:rsid w:val="00ea1435"/>
  </w:style>
  <w:style w:type="numbering" w:styleId="FrListare251114" w:customStyle="1">
    <w:name w:val="Fără Listare251114"/>
    <w:semiHidden/>
    <w:qFormat/>
    <w:rsid w:val="00ea1435"/>
  </w:style>
  <w:style w:type="numbering" w:styleId="FrListare111214" w:customStyle="1">
    <w:name w:val="Fără Listare111214"/>
    <w:semiHidden/>
    <w:unhideWhenUsed/>
    <w:qFormat/>
    <w:rsid w:val="00ea1435"/>
  </w:style>
  <w:style w:type="numbering" w:styleId="FrListare26114" w:customStyle="1">
    <w:name w:val="Fără Listare26114"/>
    <w:uiPriority w:val="99"/>
    <w:semiHidden/>
    <w:unhideWhenUsed/>
    <w:qFormat/>
    <w:rsid w:val="00ea1435"/>
  </w:style>
  <w:style w:type="numbering" w:styleId="FrListare27114" w:customStyle="1">
    <w:name w:val="Fără Listare27114"/>
    <w:semiHidden/>
    <w:qFormat/>
    <w:rsid w:val="00ea1435"/>
  </w:style>
  <w:style w:type="numbering" w:styleId="FrListare28113" w:customStyle="1">
    <w:name w:val="Fără Listare28113"/>
    <w:uiPriority w:val="99"/>
    <w:semiHidden/>
    <w:unhideWhenUsed/>
    <w:qFormat/>
    <w:rsid w:val="00ea1435"/>
  </w:style>
  <w:style w:type="numbering" w:styleId="FrListare1121114" w:customStyle="1">
    <w:name w:val="Fără Listare1121114"/>
    <w:uiPriority w:val="99"/>
    <w:semiHidden/>
    <w:unhideWhenUsed/>
    <w:qFormat/>
    <w:rsid w:val="00ea1435"/>
  </w:style>
  <w:style w:type="numbering" w:styleId="FrListare2913" w:customStyle="1">
    <w:name w:val="Fără Listare2913"/>
    <w:uiPriority w:val="99"/>
    <w:semiHidden/>
    <w:unhideWhenUsed/>
    <w:qFormat/>
    <w:rsid w:val="00ea1435"/>
  </w:style>
  <w:style w:type="numbering" w:styleId="FrListare311114" w:customStyle="1">
    <w:name w:val="Fără Listare311114"/>
    <w:semiHidden/>
    <w:qFormat/>
    <w:rsid w:val="00ea1435"/>
  </w:style>
  <w:style w:type="numbering" w:styleId="FrListare411114" w:customStyle="1">
    <w:name w:val="Fără Listare411114"/>
    <w:semiHidden/>
    <w:qFormat/>
    <w:rsid w:val="00ea1435"/>
  </w:style>
  <w:style w:type="numbering" w:styleId="FrListare511114" w:customStyle="1">
    <w:name w:val="Fără Listare511114"/>
    <w:uiPriority w:val="99"/>
    <w:semiHidden/>
    <w:unhideWhenUsed/>
    <w:qFormat/>
    <w:rsid w:val="00ea1435"/>
  </w:style>
  <w:style w:type="numbering" w:styleId="FrListare611114" w:customStyle="1">
    <w:name w:val="Fără Listare611114"/>
    <w:uiPriority w:val="99"/>
    <w:semiHidden/>
    <w:unhideWhenUsed/>
    <w:qFormat/>
    <w:rsid w:val="00ea1435"/>
  </w:style>
  <w:style w:type="numbering" w:styleId="FrListare711114" w:customStyle="1">
    <w:name w:val="Fără Listare711114"/>
    <w:uiPriority w:val="99"/>
    <w:semiHidden/>
    <w:unhideWhenUsed/>
    <w:qFormat/>
    <w:rsid w:val="00ea1435"/>
  </w:style>
  <w:style w:type="numbering" w:styleId="FrListare811114" w:customStyle="1">
    <w:name w:val="Fără Listare811114"/>
    <w:semiHidden/>
    <w:qFormat/>
    <w:rsid w:val="00ea1435"/>
  </w:style>
  <w:style w:type="numbering" w:styleId="FrListare911114" w:customStyle="1">
    <w:name w:val="Fără Listare911114"/>
    <w:uiPriority w:val="99"/>
    <w:semiHidden/>
    <w:unhideWhenUsed/>
    <w:qFormat/>
    <w:rsid w:val="00ea1435"/>
  </w:style>
  <w:style w:type="numbering" w:styleId="FrListare1011114" w:customStyle="1">
    <w:name w:val="Fără Listare1011114"/>
    <w:uiPriority w:val="99"/>
    <w:semiHidden/>
    <w:unhideWhenUsed/>
    <w:qFormat/>
    <w:rsid w:val="00ea1435"/>
  </w:style>
  <w:style w:type="numbering" w:styleId="FrListare113113" w:customStyle="1">
    <w:name w:val="Fără Listare113113"/>
    <w:uiPriority w:val="99"/>
    <w:semiHidden/>
    <w:unhideWhenUsed/>
    <w:qFormat/>
    <w:rsid w:val="00ea1435"/>
  </w:style>
  <w:style w:type="numbering" w:styleId="FrListare1211114" w:customStyle="1">
    <w:name w:val="Fără Listare1211114"/>
    <w:uiPriority w:val="99"/>
    <w:semiHidden/>
    <w:unhideWhenUsed/>
    <w:qFormat/>
    <w:rsid w:val="00ea1435"/>
  </w:style>
  <w:style w:type="numbering" w:styleId="FrListare1311114" w:customStyle="1">
    <w:name w:val="Fără Listare1311114"/>
    <w:uiPriority w:val="99"/>
    <w:semiHidden/>
    <w:unhideWhenUsed/>
    <w:qFormat/>
    <w:rsid w:val="00ea1435"/>
  </w:style>
  <w:style w:type="numbering" w:styleId="FrListare1411114" w:customStyle="1">
    <w:name w:val="Fără Listare1411114"/>
    <w:uiPriority w:val="99"/>
    <w:semiHidden/>
    <w:unhideWhenUsed/>
    <w:qFormat/>
    <w:rsid w:val="00ea1435"/>
  </w:style>
  <w:style w:type="numbering" w:styleId="FrListare1511114" w:customStyle="1">
    <w:name w:val="Fără Listare1511114"/>
    <w:uiPriority w:val="99"/>
    <w:semiHidden/>
    <w:unhideWhenUsed/>
    <w:qFormat/>
    <w:rsid w:val="00ea1435"/>
  </w:style>
  <w:style w:type="numbering" w:styleId="FrListare1611114" w:customStyle="1">
    <w:name w:val="Fără Listare1611114"/>
    <w:semiHidden/>
    <w:qFormat/>
    <w:rsid w:val="00ea1435"/>
  </w:style>
  <w:style w:type="numbering" w:styleId="FrListare1711114" w:customStyle="1">
    <w:name w:val="Fără Listare1711114"/>
    <w:uiPriority w:val="99"/>
    <w:semiHidden/>
    <w:unhideWhenUsed/>
    <w:qFormat/>
    <w:rsid w:val="00ea1435"/>
  </w:style>
  <w:style w:type="numbering" w:styleId="FrListare1811114" w:customStyle="1">
    <w:name w:val="Fără Listare1811114"/>
    <w:uiPriority w:val="99"/>
    <w:semiHidden/>
    <w:unhideWhenUsed/>
    <w:qFormat/>
    <w:rsid w:val="00ea1435"/>
  </w:style>
  <w:style w:type="numbering" w:styleId="FrListare1911114" w:customStyle="1">
    <w:name w:val="Fără Listare1911114"/>
    <w:uiPriority w:val="99"/>
    <w:semiHidden/>
    <w:unhideWhenUsed/>
    <w:qFormat/>
    <w:rsid w:val="00ea1435"/>
  </w:style>
  <w:style w:type="numbering" w:styleId="FrListare2011114" w:customStyle="1">
    <w:name w:val="Fără Listare2011114"/>
    <w:uiPriority w:val="99"/>
    <w:semiHidden/>
    <w:unhideWhenUsed/>
    <w:qFormat/>
    <w:rsid w:val="00ea1435"/>
  </w:style>
  <w:style w:type="numbering" w:styleId="FrListare11011114" w:customStyle="1">
    <w:name w:val="Fără Listare11011114"/>
    <w:uiPriority w:val="99"/>
    <w:semiHidden/>
    <w:unhideWhenUsed/>
    <w:qFormat/>
    <w:rsid w:val="00ea1435"/>
  </w:style>
  <w:style w:type="numbering" w:styleId="FrListare2111114" w:customStyle="1">
    <w:name w:val="Fără Listare2111114"/>
    <w:semiHidden/>
    <w:qFormat/>
    <w:rsid w:val="00ea1435"/>
  </w:style>
  <w:style w:type="numbering" w:styleId="FrListare2211114" w:customStyle="1">
    <w:name w:val="Fără Listare2211114"/>
    <w:semiHidden/>
    <w:qFormat/>
    <w:rsid w:val="00ea1435"/>
  </w:style>
  <w:style w:type="numbering" w:styleId="FrListare2311114" w:customStyle="1">
    <w:name w:val="Fără Listare2311114"/>
    <w:semiHidden/>
    <w:qFormat/>
    <w:rsid w:val="00ea1435"/>
  </w:style>
  <w:style w:type="numbering" w:styleId="FrListare2411111" w:customStyle="1">
    <w:name w:val="Fără Listare2411111"/>
    <w:uiPriority w:val="99"/>
    <w:semiHidden/>
    <w:unhideWhenUsed/>
    <w:qFormat/>
    <w:rsid w:val="00ea1435"/>
  </w:style>
  <w:style w:type="numbering" w:styleId="FrListare2511111" w:customStyle="1">
    <w:name w:val="Fără Listare2511111"/>
    <w:semiHidden/>
    <w:qFormat/>
    <w:rsid w:val="00ea1435"/>
  </w:style>
  <w:style w:type="numbering" w:styleId="FrListare1111213" w:customStyle="1">
    <w:name w:val="Fără Listare1111213"/>
    <w:semiHidden/>
    <w:unhideWhenUsed/>
    <w:qFormat/>
    <w:rsid w:val="00ea1435"/>
  </w:style>
  <w:style w:type="numbering" w:styleId="FrListare261113" w:customStyle="1">
    <w:name w:val="Fără Listare261113"/>
    <w:uiPriority w:val="99"/>
    <w:semiHidden/>
    <w:unhideWhenUsed/>
    <w:qFormat/>
    <w:rsid w:val="00ea1435"/>
  </w:style>
  <w:style w:type="numbering" w:styleId="FrListare271113" w:customStyle="1">
    <w:name w:val="Fără Listare271113"/>
    <w:semiHidden/>
    <w:qFormat/>
    <w:rsid w:val="00ea1435"/>
  </w:style>
  <w:style w:type="numbering" w:styleId="FrListare3013" w:customStyle="1">
    <w:name w:val="Fără Listare3013"/>
    <w:uiPriority w:val="99"/>
    <w:semiHidden/>
    <w:unhideWhenUsed/>
    <w:qFormat/>
    <w:rsid w:val="00ea1435"/>
  </w:style>
  <w:style w:type="numbering" w:styleId="FrListare114113" w:customStyle="1">
    <w:name w:val="Fără Listare114113"/>
    <w:uiPriority w:val="99"/>
    <w:semiHidden/>
    <w:unhideWhenUsed/>
    <w:qFormat/>
    <w:rsid w:val="00ea1435"/>
  </w:style>
  <w:style w:type="numbering" w:styleId="FrListare21013" w:customStyle="1">
    <w:name w:val="Fără Listare21013"/>
    <w:uiPriority w:val="99"/>
    <w:semiHidden/>
    <w:unhideWhenUsed/>
    <w:qFormat/>
    <w:rsid w:val="00ea1435"/>
  </w:style>
  <w:style w:type="numbering" w:styleId="FrListare321111" w:customStyle="1">
    <w:name w:val="Fără Listare321111"/>
    <w:semiHidden/>
    <w:qFormat/>
    <w:rsid w:val="00ea1435"/>
  </w:style>
  <w:style w:type="numbering" w:styleId="FrListare421111" w:customStyle="1">
    <w:name w:val="Fără Listare421111"/>
    <w:semiHidden/>
    <w:qFormat/>
    <w:rsid w:val="00ea1435"/>
  </w:style>
  <w:style w:type="numbering" w:styleId="FrListare521111" w:customStyle="1">
    <w:name w:val="Fără Listare521111"/>
    <w:uiPriority w:val="99"/>
    <w:semiHidden/>
    <w:unhideWhenUsed/>
    <w:qFormat/>
    <w:rsid w:val="00ea1435"/>
  </w:style>
  <w:style w:type="numbering" w:styleId="FrListare62113" w:customStyle="1">
    <w:name w:val="Fără Listare62113"/>
    <w:uiPriority w:val="99"/>
    <w:semiHidden/>
    <w:unhideWhenUsed/>
    <w:qFormat/>
    <w:rsid w:val="00ea1435"/>
  </w:style>
  <w:style w:type="numbering" w:styleId="FrListare72113" w:customStyle="1">
    <w:name w:val="Fără Listare72113"/>
    <w:uiPriority w:val="99"/>
    <w:semiHidden/>
    <w:unhideWhenUsed/>
    <w:qFormat/>
    <w:rsid w:val="00ea1435"/>
  </w:style>
  <w:style w:type="numbering" w:styleId="FrListare82113" w:customStyle="1">
    <w:name w:val="Fără Listare82113"/>
    <w:semiHidden/>
    <w:qFormat/>
    <w:rsid w:val="00ea1435"/>
  </w:style>
  <w:style w:type="numbering" w:styleId="FrListare92113" w:customStyle="1">
    <w:name w:val="Fără Listare92113"/>
    <w:uiPriority w:val="99"/>
    <w:semiHidden/>
    <w:unhideWhenUsed/>
    <w:qFormat/>
    <w:rsid w:val="00ea1435"/>
  </w:style>
  <w:style w:type="numbering" w:styleId="FrListare102113" w:customStyle="1">
    <w:name w:val="Fără Listare102113"/>
    <w:uiPriority w:val="99"/>
    <w:semiHidden/>
    <w:unhideWhenUsed/>
    <w:qFormat/>
    <w:rsid w:val="00ea1435"/>
  </w:style>
  <w:style w:type="numbering" w:styleId="FrListare11513" w:customStyle="1">
    <w:name w:val="Fără Listare11513"/>
    <w:uiPriority w:val="99"/>
    <w:semiHidden/>
    <w:unhideWhenUsed/>
    <w:qFormat/>
    <w:rsid w:val="00ea1435"/>
  </w:style>
  <w:style w:type="numbering" w:styleId="FrListare122113" w:customStyle="1">
    <w:name w:val="Fără Listare122113"/>
    <w:uiPriority w:val="99"/>
    <w:semiHidden/>
    <w:unhideWhenUsed/>
    <w:qFormat/>
    <w:rsid w:val="00ea1435"/>
  </w:style>
  <w:style w:type="numbering" w:styleId="FrListare132113" w:customStyle="1">
    <w:name w:val="Fără Listare132113"/>
    <w:uiPriority w:val="99"/>
    <w:semiHidden/>
    <w:unhideWhenUsed/>
    <w:qFormat/>
    <w:rsid w:val="00ea1435"/>
  </w:style>
  <w:style w:type="numbering" w:styleId="FrListare142113" w:customStyle="1">
    <w:name w:val="Fără Listare142113"/>
    <w:uiPriority w:val="99"/>
    <w:semiHidden/>
    <w:unhideWhenUsed/>
    <w:qFormat/>
    <w:rsid w:val="00ea1435"/>
  </w:style>
  <w:style w:type="numbering" w:styleId="FrListare152113" w:customStyle="1">
    <w:name w:val="Fără Listare152113"/>
    <w:uiPriority w:val="99"/>
    <w:semiHidden/>
    <w:unhideWhenUsed/>
    <w:qFormat/>
    <w:rsid w:val="00ea1435"/>
  </w:style>
  <w:style w:type="numbering" w:styleId="FrListare162113" w:customStyle="1">
    <w:name w:val="Fără Listare162113"/>
    <w:semiHidden/>
    <w:qFormat/>
    <w:rsid w:val="00ea1435"/>
  </w:style>
  <w:style w:type="numbering" w:styleId="FrListare172113" w:customStyle="1">
    <w:name w:val="Fără Listare172113"/>
    <w:uiPriority w:val="99"/>
    <w:semiHidden/>
    <w:unhideWhenUsed/>
    <w:qFormat/>
    <w:rsid w:val="00ea1435"/>
  </w:style>
  <w:style w:type="numbering" w:styleId="FrListare182113" w:customStyle="1">
    <w:name w:val="Fără Listare182113"/>
    <w:uiPriority w:val="99"/>
    <w:semiHidden/>
    <w:unhideWhenUsed/>
    <w:qFormat/>
    <w:rsid w:val="00ea1435"/>
  </w:style>
  <w:style w:type="numbering" w:styleId="FrListare192113" w:customStyle="1">
    <w:name w:val="Fără Listare192113"/>
    <w:uiPriority w:val="99"/>
    <w:semiHidden/>
    <w:unhideWhenUsed/>
    <w:qFormat/>
    <w:rsid w:val="00ea1435"/>
  </w:style>
  <w:style w:type="numbering" w:styleId="FrListare202113" w:customStyle="1">
    <w:name w:val="Fără Listare202113"/>
    <w:uiPriority w:val="99"/>
    <w:semiHidden/>
    <w:unhideWhenUsed/>
    <w:qFormat/>
    <w:rsid w:val="00ea1435"/>
  </w:style>
  <w:style w:type="numbering" w:styleId="FrListare1102113" w:customStyle="1">
    <w:name w:val="Fără Listare1102113"/>
    <w:uiPriority w:val="99"/>
    <w:semiHidden/>
    <w:unhideWhenUsed/>
    <w:qFormat/>
    <w:rsid w:val="00ea1435"/>
  </w:style>
  <w:style w:type="numbering" w:styleId="FrListare212113" w:customStyle="1">
    <w:name w:val="Fără Listare212113"/>
    <w:semiHidden/>
    <w:qFormat/>
    <w:rsid w:val="00ea1435"/>
  </w:style>
  <w:style w:type="numbering" w:styleId="FrListare222113" w:customStyle="1">
    <w:name w:val="Fără Listare222113"/>
    <w:semiHidden/>
    <w:qFormat/>
    <w:rsid w:val="00ea1435"/>
  </w:style>
  <w:style w:type="numbering" w:styleId="FrListare232113" w:customStyle="1">
    <w:name w:val="Fără Listare232113"/>
    <w:semiHidden/>
    <w:qFormat/>
    <w:rsid w:val="00ea1435"/>
  </w:style>
  <w:style w:type="numbering" w:styleId="FrListare24213" w:customStyle="1">
    <w:name w:val="Fără Listare24213"/>
    <w:uiPriority w:val="99"/>
    <w:semiHidden/>
    <w:unhideWhenUsed/>
    <w:qFormat/>
    <w:rsid w:val="00ea1435"/>
  </w:style>
  <w:style w:type="numbering" w:styleId="FrListare25213" w:customStyle="1">
    <w:name w:val="Fără Listare25213"/>
    <w:semiHidden/>
    <w:qFormat/>
    <w:rsid w:val="00ea1435"/>
  </w:style>
  <w:style w:type="numbering" w:styleId="FrListare1112113" w:customStyle="1">
    <w:name w:val="Fără Listare1112113"/>
    <w:semiHidden/>
    <w:unhideWhenUsed/>
    <w:qFormat/>
    <w:rsid w:val="00ea1435"/>
  </w:style>
  <w:style w:type="numbering" w:styleId="FrListare26213" w:customStyle="1">
    <w:name w:val="Fără Listare26213"/>
    <w:uiPriority w:val="99"/>
    <w:semiHidden/>
    <w:unhideWhenUsed/>
    <w:qFormat/>
    <w:rsid w:val="00ea1435"/>
  </w:style>
  <w:style w:type="numbering" w:styleId="FrListare27213" w:customStyle="1">
    <w:name w:val="Fără Listare27213"/>
    <w:semiHidden/>
    <w:qFormat/>
    <w:rsid w:val="00ea1435"/>
  </w:style>
  <w:style w:type="numbering" w:styleId="FrListare33111" w:customStyle="1">
    <w:name w:val="Fără Listare33111"/>
    <w:uiPriority w:val="99"/>
    <w:semiHidden/>
    <w:unhideWhenUsed/>
    <w:qFormat/>
    <w:rsid w:val="00ea1435"/>
  </w:style>
  <w:style w:type="numbering" w:styleId="FrListare11613" w:customStyle="1">
    <w:name w:val="Fără Listare11613"/>
    <w:semiHidden/>
    <w:qFormat/>
    <w:rsid w:val="00ea1435"/>
  </w:style>
  <w:style w:type="numbering" w:styleId="FrListare34111" w:customStyle="1">
    <w:name w:val="Fără Listare34111"/>
    <w:uiPriority w:val="99"/>
    <w:semiHidden/>
    <w:unhideWhenUsed/>
    <w:qFormat/>
    <w:rsid w:val="00ea1435"/>
  </w:style>
  <w:style w:type="numbering" w:styleId="FrListare3513" w:customStyle="1">
    <w:name w:val="Fără Listare3513"/>
    <w:semiHidden/>
    <w:qFormat/>
    <w:rsid w:val="00ea1435"/>
  </w:style>
  <w:style w:type="numbering" w:styleId="FrListare3613" w:customStyle="1">
    <w:name w:val="Fără Listare3613"/>
    <w:semiHidden/>
    <w:qFormat/>
    <w:rsid w:val="00ea1435"/>
  </w:style>
  <w:style w:type="numbering" w:styleId="FrListare3713" w:customStyle="1">
    <w:name w:val="Fără Listare3713"/>
    <w:semiHidden/>
    <w:unhideWhenUsed/>
    <w:qFormat/>
    <w:rsid w:val="00ea1435"/>
  </w:style>
  <w:style w:type="numbering" w:styleId="FrListare3813" w:customStyle="1">
    <w:name w:val="Fără Listare3813"/>
    <w:semiHidden/>
    <w:qFormat/>
    <w:rsid w:val="00ea1435"/>
  </w:style>
  <w:style w:type="numbering" w:styleId="FrListare3913" w:customStyle="1">
    <w:name w:val="Fără Listare3913"/>
    <w:uiPriority w:val="99"/>
    <w:semiHidden/>
    <w:unhideWhenUsed/>
    <w:qFormat/>
    <w:rsid w:val="00ea1435"/>
  </w:style>
  <w:style w:type="numbering" w:styleId="FrListare4013" w:customStyle="1">
    <w:name w:val="Fără Listare4013"/>
    <w:uiPriority w:val="99"/>
    <w:semiHidden/>
    <w:unhideWhenUsed/>
    <w:qFormat/>
    <w:rsid w:val="00ea1435"/>
  </w:style>
  <w:style w:type="numbering" w:styleId="FrListare4313" w:customStyle="1">
    <w:name w:val="Fără Listare4313"/>
    <w:uiPriority w:val="99"/>
    <w:semiHidden/>
    <w:unhideWhenUsed/>
    <w:qFormat/>
    <w:rsid w:val="00ea1435"/>
  </w:style>
  <w:style w:type="numbering" w:styleId="FrListare4413" w:customStyle="1">
    <w:name w:val="Fără Listare4413"/>
    <w:uiPriority w:val="99"/>
    <w:semiHidden/>
    <w:unhideWhenUsed/>
    <w:qFormat/>
    <w:rsid w:val="00ea1435"/>
  </w:style>
  <w:style w:type="numbering" w:styleId="FrListare4513" w:customStyle="1">
    <w:name w:val="Fără Listare4513"/>
    <w:uiPriority w:val="99"/>
    <w:semiHidden/>
    <w:unhideWhenUsed/>
    <w:qFormat/>
    <w:rsid w:val="00ea1435"/>
  </w:style>
  <w:style w:type="numbering" w:styleId="FrListare4613" w:customStyle="1">
    <w:name w:val="Fără Listare4613"/>
    <w:uiPriority w:val="99"/>
    <w:semiHidden/>
    <w:unhideWhenUsed/>
    <w:qFormat/>
    <w:rsid w:val="00ea1435"/>
  </w:style>
  <w:style w:type="numbering" w:styleId="FrListare4713" w:customStyle="1">
    <w:name w:val="Fără Listare4713"/>
    <w:uiPriority w:val="99"/>
    <w:semiHidden/>
    <w:unhideWhenUsed/>
    <w:qFormat/>
    <w:rsid w:val="00ea1435"/>
  </w:style>
  <w:style w:type="numbering" w:styleId="FrListare4813" w:customStyle="1">
    <w:name w:val="Fără Listare4813"/>
    <w:uiPriority w:val="99"/>
    <w:semiHidden/>
    <w:unhideWhenUsed/>
    <w:qFormat/>
    <w:rsid w:val="00ea1435"/>
  </w:style>
  <w:style w:type="numbering" w:styleId="FrListare4913" w:customStyle="1">
    <w:name w:val="Fără Listare4913"/>
    <w:uiPriority w:val="99"/>
    <w:semiHidden/>
    <w:unhideWhenUsed/>
    <w:qFormat/>
    <w:rsid w:val="00ea1435"/>
  </w:style>
  <w:style w:type="numbering" w:styleId="FrListare5013" w:customStyle="1">
    <w:name w:val="Fără Listare5013"/>
    <w:uiPriority w:val="99"/>
    <w:semiHidden/>
    <w:unhideWhenUsed/>
    <w:qFormat/>
    <w:rsid w:val="00ea1435"/>
  </w:style>
  <w:style w:type="numbering" w:styleId="FrListare5313" w:customStyle="1">
    <w:name w:val="Fără Listare5313"/>
    <w:semiHidden/>
    <w:unhideWhenUsed/>
    <w:qFormat/>
    <w:rsid w:val="00ea1435"/>
  </w:style>
  <w:style w:type="numbering" w:styleId="FrListare5413" w:customStyle="1">
    <w:name w:val="Fără Listare5413"/>
    <w:uiPriority w:val="99"/>
    <w:semiHidden/>
    <w:unhideWhenUsed/>
    <w:qFormat/>
    <w:rsid w:val="00ea1435"/>
  </w:style>
  <w:style w:type="numbering" w:styleId="FrListare5513" w:customStyle="1">
    <w:name w:val="Fără Listare5513"/>
    <w:uiPriority w:val="99"/>
    <w:semiHidden/>
    <w:unhideWhenUsed/>
    <w:qFormat/>
    <w:rsid w:val="00ea1435"/>
  </w:style>
  <w:style w:type="numbering" w:styleId="FrListare5613" w:customStyle="1">
    <w:name w:val="Fără Listare5613"/>
    <w:uiPriority w:val="99"/>
    <w:semiHidden/>
    <w:unhideWhenUsed/>
    <w:qFormat/>
    <w:rsid w:val="00ea1435"/>
  </w:style>
  <w:style w:type="numbering" w:styleId="FrListare5713" w:customStyle="1">
    <w:name w:val="Fără Listare5713"/>
    <w:uiPriority w:val="99"/>
    <w:semiHidden/>
    <w:unhideWhenUsed/>
    <w:qFormat/>
    <w:rsid w:val="00ea1435"/>
  </w:style>
  <w:style w:type="numbering" w:styleId="FrListare5813" w:customStyle="1">
    <w:name w:val="Fără Listare5813"/>
    <w:semiHidden/>
    <w:unhideWhenUsed/>
    <w:qFormat/>
    <w:rsid w:val="00ea1435"/>
  </w:style>
  <w:style w:type="numbering" w:styleId="FrListare5913" w:customStyle="1">
    <w:name w:val="Fără Listare5913"/>
    <w:uiPriority w:val="99"/>
    <w:semiHidden/>
    <w:unhideWhenUsed/>
    <w:qFormat/>
    <w:rsid w:val="00ea1435"/>
  </w:style>
  <w:style w:type="numbering" w:styleId="FrListare6013" w:customStyle="1">
    <w:name w:val="Fără Listare6013"/>
    <w:uiPriority w:val="99"/>
    <w:semiHidden/>
    <w:unhideWhenUsed/>
    <w:qFormat/>
    <w:rsid w:val="00ea1435"/>
  </w:style>
  <w:style w:type="numbering" w:styleId="FrListare6313" w:customStyle="1">
    <w:name w:val="Fără Listare6313"/>
    <w:uiPriority w:val="99"/>
    <w:semiHidden/>
    <w:unhideWhenUsed/>
    <w:qFormat/>
    <w:rsid w:val="00ea1435"/>
  </w:style>
  <w:style w:type="numbering" w:styleId="FrListare6413" w:customStyle="1">
    <w:name w:val="Fără Listare6413"/>
    <w:uiPriority w:val="99"/>
    <w:semiHidden/>
    <w:unhideWhenUsed/>
    <w:qFormat/>
    <w:rsid w:val="00ea1435"/>
  </w:style>
  <w:style w:type="numbering" w:styleId="FrListare6513" w:customStyle="1">
    <w:name w:val="Fără Listare6513"/>
    <w:uiPriority w:val="99"/>
    <w:semiHidden/>
    <w:unhideWhenUsed/>
    <w:qFormat/>
    <w:rsid w:val="00ea1435"/>
  </w:style>
  <w:style w:type="numbering" w:styleId="FrListare6613" w:customStyle="1">
    <w:name w:val="Fără Listare6613"/>
    <w:uiPriority w:val="99"/>
    <w:semiHidden/>
    <w:unhideWhenUsed/>
    <w:qFormat/>
    <w:rsid w:val="00ea1435"/>
  </w:style>
  <w:style w:type="numbering" w:styleId="FrListare6713" w:customStyle="1">
    <w:name w:val="Fără Listare6713"/>
    <w:uiPriority w:val="99"/>
    <w:semiHidden/>
    <w:qFormat/>
    <w:rsid w:val="00ea1435"/>
  </w:style>
  <w:style w:type="numbering" w:styleId="FrListare11713" w:customStyle="1">
    <w:name w:val="Fără Listare11713"/>
    <w:uiPriority w:val="99"/>
    <w:semiHidden/>
    <w:unhideWhenUsed/>
    <w:qFormat/>
    <w:rsid w:val="00ea1435"/>
  </w:style>
  <w:style w:type="numbering" w:styleId="FrListare11813" w:customStyle="1">
    <w:name w:val="Fără Listare11813"/>
    <w:uiPriority w:val="99"/>
    <w:semiHidden/>
    <w:qFormat/>
    <w:rsid w:val="00ea1435"/>
  </w:style>
  <w:style w:type="numbering" w:styleId="FrListare21313" w:customStyle="1">
    <w:name w:val="Fără Listare21313"/>
    <w:uiPriority w:val="99"/>
    <w:semiHidden/>
    <w:unhideWhenUsed/>
    <w:qFormat/>
    <w:rsid w:val="00ea1435"/>
  </w:style>
  <w:style w:type="numbering" w:styleId="FrListare31013" w:customStyle="1">
    <w:name w:val="Fără Listare31013"/>
    <w:semiHidden/>
    <w:unhideWhenUsed/>
    <w:qFormat/>
    <w:rsid w:val="00ea1435"/>
  </w:style>
  <w:style w:type="numbering" w:styleId="FrListare41013" w:customStyle="1">
    <w:name w:val="Fără Listare41013"/>
    <w:semiHidden/>
    <w:unhideWhenUsed/>
    <w:qFormat/>
    <w:rsid w:val="00ea1435"/>
  </w:style>
  <w:style w:type="numbering" w:styleId="FrListare51013" w:customStyle="1">
    <w:name w:val="Fără Listare51013"/>
    <w:uiPriority w:val="99"/>
    <w:semiHidden/>
    <w:unhideWhenUsed/>
    <w:qFormat/>
    <w:rsid w:val="00ea1435"/>
  </w:style>
  <w:style w:type="numbering" w:styleId="FrListare6813" w:customStyle="1">
    <w:name w:val="Fără Listare6813"/>
    <w:uiPriority w:val="99"/>
    <w:semiHidden/>
    <w:unhideWhenUsed/>
    <w:qFormat/>
    <w:rsid w:val="00ea1435"/>
  </w:style>
  <w:style w:type="numbering" w:styleId="FrListare7313" w:customStyle="1">
    <w:name w:val="Fără Listare7313"/>
    <w:uiPriority w:val="99"/>
    <w:semiHidden/>
    <w:unhideWhenUsed/>
    <w:qFormat/>
    <w:rsid w:val="00ea1435"/>
  </w:style>
  <w:style w:type="numbering" w:styleId="FrListare8313" w:customStyle="1">
    <w:name w:val="Fără Listare8313"/>
    <w:semiHidden/>
    <w:qFormat/>
    <w:rsid w:val="00ea1435"/>
  </w:style>
  <w:style w:type="numbering" w:styleId="FrListare9313" w:customStyle="1">
    <w:name w:val="Fără Listare9313"/>
    <w:uiPriority w:val="99"/>
    <w:semiHidden/>
    <w:unhideWhenUsed/>
    <w:qFormat/>
    <w:rsid w:val="00ea1435"/>
  </w:style>
  <w:style w:type="numbering" w:styleId="FrListare10313" w:customStyle="1">
    <w:name w:val="Fără Listare10313"/>
    <w:uiPriority w:val="99"/>
    <w:semiHidden/>
    <w:unhideWhenUsed/>
    <w:qFormat/>
    <w:rsid w:val="00ea1435"/>
  </w:style>
  <w:style w:type="numbering" w:styleId="FrListare111313" w:customStyle="1">
    <w:name w:val="Fără Listare111313"/>
    <w:uiPriority w:val="99"/>
    <w:semiHidden/>
    <w:unhideWhenUsed/>
    <w:qFormat/>
    <w:rsid w:val="00ea1435"/>
  </w:style>
  <w:style w:type="numbering" w:styleId="FrListare12313" w:customStyle="1">
    <w:name w:val="Fără Listare12313"/>
    <w:uiPriority w:val="99"/>
    <w:semiHidden/>
    <w:unhideWhenUsed/>
    <w:qFormat/>
    <w:rsid w:val="00ea1435"/>
  </w:style>
  <w:style w:type="numbering" w:styleId="FrListare13313" w:customStyle="1">
    <w:name w:val="Fără Listare13313"/>
    <w:uiPriority w:val="99"/>
    <w:semiHidden/>
    <w:unhideWhenUsed/>
    <w:qFormat/>
    <w:rsid w:val="00ea1435"/>
  </w:style>
  <w:style w:type="numbering" w:styleId="FrListare14313" w:customStyle="1">
    <w:name w:val="Fără Listare14313"/>
    <w:uiPriority w:val="99"/>
    <w:semiHidden/>
    <w:unhideWhenUsed/>
    <w:qFormat/>
    <w:rsid w:val="00ea1435"/>
  </w:style>
  <w:style w:type="numbering" w:styleId="FrListare15313" w:customStyle="1">
    <w:name w:val="Fără Listare15313"/>
    <w:uiPriority w:val="99"/>
    <w:semiHidden/>
    <w:unhideWhenUsed/>
    <w:qFormat/>
    <w:rsid w:val="00ea1435"/>
  </w:style>
  <w:style w:type="numbering" w:styleId="FrListare16313" w:customStyle="1">
    <w:name w:val="Fără Listare16313"/>
    <w:semiHidden/>
    <w:qFormat/>
    <w:rsid w:val="00ea1435"/>
  </w:style>
  <w:style w:type="numbering" w:styleId="FrListare17313" w:customStyle="1">
    <w:name w:val="Fără Listare17313"/>
    <w:uiPriority w:val="99"/>
    <w:semiHidden/>
    <w:unhideWhenUsed/>
    <w:qFormat/>
    <w:rsid w:val="00ea1435"/>
  </w:style>
  <w:style w:type="numbering" w:styleId="FrListare18313" w:customStyle="1">
    <w:name w:val="Fără Listare18313"/>
    <w:uiPriority w:val="99"/>
    <w:semiHidden/>
    <w:unhideWhenUsed/>
    <w:qFormat/>
    <w:rsid w:val="00ea1435"/>
  </w:style>
  <w:style w:type="numbering" w:styleId="FrListare19313" w:customStyle="1">
    <w:name w:val="Fără Listare19313"/>
    <w:uiPriority w:val="99"/>
    <w:semiHidden/>
    <w:unhideWhenUsed/>
    <w:qFormat/>
    <w:rsid w:val="00ea1435"/>
  </w:style>
  <w:style w:type="numbering" w:styleId="FrListare20313" w:customStyle="1">
    <w:name w:val="Fără Listare20313"/>
    <w:uiPriority w:val="99"/>
    <w:semiHidden/>
    <w:unhideWhenUsed/>
    <w:qFormat/>
    <w:rsid w:val="00ea1435"/>
  </w:style>
  <w:style w:type="numbering" w:styleId="FrListare110313" w:customStyle="1">
    <w:name w:val="Fără Listare110313"/>
    <w:uiPriority w:val="99"/>
    <w:semiHidden/>
    <w:unhideWhenUsed/>
    <w:qFormat/>
    <w:rsid w:val="00ea1435"/>
  </w:style>
  <w:style w:type="numbering" w:styleId="FrListare21413" w:customStyle="1">
    <w:name w:val="Fără Listare21413"/>
    <w:uiPriority w:val="99"/>
    <w:semiHidden/>
    <w:unhideWhenUsed/>
    <w:qFormat/>
    <w:rsid w:val="00ea1435"/>
  </w:style>
  <w:style w:type="numbering" w:styleId="FrListare22313" w:customStyle="1">
    <w:name w:val="Fără Listare22313"/>
    <w:uiPriority w:val="99"/>
    <w:semiHidden/>
    <w:unhideWhenUsed/>
    <w:qFormat/>
    <w:rsid w:val="00ea1435"/>
  </w:style>
  <w:style w:type="numbering" w:styleId="FrListare23313" w:customStyle="1">
    <w:name w:val="Fără Listare23313"/>
    <w:uiPriority w:val="99"/>
    <w:semiHidden/>
    <w:unhideWhenUsed/>
    <w:qFormat/>
    <w:rsid w:val="00ea1435"/>
  </w:style>
  <w:style w:type="numbering" w:styleId="FrListare24313" w:customStyle="1">
    <w:name w:val="Fără Listare24313"/>
    <w:semiHidden/>
    <w:qFormat/>
    <w:rsid w:val="00ea1435"/>
  </w:style>
  <w:style w:type="numbering" w:styleId="FrListare111111114" w:customStyle="1">
    <w:name w:val="Fără Listare111111114"/>
    <w:uiPriority w:val="99"/>
    <w:semiHidden/>
    <w:qFormat/>
    <w:rsid w:val="00ea1435"/>
  </w:style>
  <w:style w:type="numbering" w:styleId="FrListare11211111" w:customStyle="1">
    <w:name w:val="Fără Listare11211111"/>
    <w:uiPriority w:val="99"/>
    <w:semiHidden/>
    <w:qFormat/>
    <w:rsid w:val="00ea1435"/>
  </w:style>
  <w:style w:type="numbering" w:styleId="FrListare25313" w:customStyle="1">
    <w:name w:val="Fără Listare25313"/>
    <w:uiPriority w:val="99"/>
    <w:semiHidden/>
    <w:unhideWhenUsed/>
    <w:qFormat/>
    <w:rsid w:val="00ea1435"/>
  </w:style>
  <w:style w:type="numbering" w:styleId="FrListare3111111" w:customStyle="1">
    <w:name w:val="Fără Listare3111111"/>
    <w:semiHidden/>
    <w:unhideWhenUsed/>
    <w:qFormat/>
    <w:rsid w:val="00ea1435"/>
  </w:style>
  <w:style w:type="numbering" w:styleId="FrListare4111111" w:customStyle="1">
    <w:name w:val="Fără Listare4111111"/>
    <w:semiHidden/>
    <w:unhideWhenUsed/>
    <w:qFormat/>
    <w:rsid w:val="00ea1435"/>
  </w:style>
  <w:style w:type="numbering" w:styleId="FrListare5111111" w:customStyle="1">
    <w:name w:val="Fără Listare5111111"/>
    <w:uiPriority w:val="99"/>
    <w:semiHidden/>
    <w:unhideWhenUsed/>
    <w:qFormat/>
    <w:rsid w:val="00ea1435"/>
  </w:style>
  <w:style w:type="numbering" w:styleId="FrListare6111111" w:customStyle="1">
    <w:name w:val="Fără Listare6111111"/>
    <w:uiPriority w:val="99"/>
    <w:semiHidden/>
    <w:unhideWhenUsed/>
    <w:qFormat/>
    <w:rsid w:val="00ea1435"/>
  </w:style>
  <w:style w:type="numbering" w:styleId="FrListare7111111" w:customStyle="1">
    <w:name w:val="Fără Listare7111111"/>
    <w:uiPriority w:val="99"/>
    <w:semiHidden/>
    <w:unhideWhenUsed/>
    <w:qFormat/>
    <w:rsid w:val="00ea1435"/>
  </w:style>
  <w:style w:type="numbering" w:styleId="FrListare8111111" w:customStyle="1">
    <w:name w:val="Fără Listare8111111"/>
    <w:semiHidden/>
    <w:qFormat/>
    <w:rsid w:val="00ea1435"/>
  </w:style>
  <w:style w:type="numbering" w:styleId="FrListare9111111" w:customStyle="1">
    <w:name w:val="Fără Listare9111111"/>
    <w:uiPriority w:val="99"/>
    <w:semiHidden/>
    <w:unhideWhenUsed/>
    <w:qFormat/>
    <w:rsid w:val="00ea1435"/>
  </w:style>
  <w:style w:type="numbering" w:styleId="FrListare10111111" w:customStyle="1">
    <w:name w:val="Fără Listare10111111"/>
    <w:uiPriority w:val="99"/>
    <w:semiHidden/>
    <w:unhideWhenUsed/>
    <w:qFormat/>
    <w:rsid w:val="00ea1435"/>
  </w:style>
  <w:style w:type="numbering" w:styleId="FrListare1111111111" w:customStyle="1">
    <w:name w:val="Fără Listare1111111111"/>
    <w:uiPriority w:val="99"/>
    <w:semiHidden/>
    <w:unhideWhenUsed/>
    <w:qFormat/>
    <w:rsid w:val="00ea1435"/>
  </w:style>
  <w:style w:type="numbering" w:styleId="FrListare12111111" w:customStyle="1">
    <w:name w:val="Fără Listare12111111"/>
    <w:uiPriority w:val="99"/>
    <w:semiHidden/>
    <w:unhideWhenUsed/>
    <w:qFormat/>
    <w:rsid w:val="00ea1435"/>
  </w:style>
  <w:style w:type="numbering" w:styleId="FrListare13111111" w:customStyle="1">
    <w:name w:val="Fără Listare13111111"/>
    <w:uiPriority w:val="99"/>
    <w:semiHidden/>
    <w:unhideWhenUsed/>
    <w:qFormat/>
    <w:rsid w:val="00ea1435"/>
  </w:style>
  <w:style w:type="numbering" w:styleId="FrListare14111111" w:customStyle="1">
    <w:name w:val="Fără Listare14111111"/>
    <w:uiPriority w:val="99"/>
    <w:semiHidden/>
    <w:unhideWhenUsed/>
    <w:qFormat/>
    <w:rsid w:val="00ea1435"/>
  </w:style>
  <w:style w:type="numbering" w:styleId="FrListare15111111" w:customStyle="1">
    <w:name w:val="Fără Listare15111111"/>
    <w:uiPriority w:val="99"/>
    <w:semiHidden/>
    <w:unhideWhenUsed/>
    <w:qFormat/>
    <w:rsid w:val="00ea1435"/>
  </w:style>
  <w:style w:type="numbering" w:styleId="FrListare16111111" w:customStyle="1">
    <w:name w:val="Fără Listare16111111"/>
    <w:semiHidden/>
    <w:qFormat/>
    <w:rsid w:val="00ea1435"/>
  </w:style>
  <w:style w:type="numbering" w:styleId="FrListare17111111" w:customStyle="1">
    <w:name w:val="Fără Listare17111111"/>
    <w:uiPriority w:val="99"/>
    <w:semiHidden/>
    <w:unhideWhenUsed/>
    <w:qFormat/>
    <w:rsid w:val="00ea1435"/>
  </w:style>
  <w:style w:type="numbering" w:styleId="FrListare18111111" w:customStyle="1">
    <w:name w:val="Fără Listare18111111"/>
    <w:uiPriority w:val="99"/>
    <w:semiHidden/>
    <w:unhideWhenUsed/>
    <w:qFormat/>
    <w:rsid w:val="00ea1435"/>
  </w:style>
  <w:style w:type="numbering" w:styleId="FrListare19111111" w:customStyle="1">
    <w:name w:val="Fără Listare19111111"/>
    <w:uiPriority w:val="99"/>
    <w:semiHidden/>
    <w:unhideWhenUsed/>
    <w:qFormat/>
    <w:rsid w:val="00ea1435"/>
  </w:style>
  <w:style w:type="numbering" w:styleId="FrListare20111111" w:customStyle="1">
    <w:name w:val="Fără Listare20111111"/>
    <w:uiPriority w:val="99"/>
    <w:semiHidden/>
    <w:unhideWhenUsed/>
    <w:qFormat/>
    <w:rsid w:val="00ea1435"/>
  </w:style>
  <w:style w:type="numbering" w:styleId="FrListare110111111" w:customStyle="1">
    <w:name w:val="Fără Listare110111111"/>
    <w:uiPriority w:val="99"/>
    <w:semiHidden/>
    <w:unhideWhenUsed/>
    <w:qFormat/>
    <w:rsid w:val="00ea1435"/>
  </w:style>
  <w:style w:type="numbering" w:styleId="FrListare21111111" w:customStyle="1">
    <w:name w:val="Fără Listare21111111"/>
    <w:uiPriority w:val="99"/>
    <w:semiHidden/>
    <w:unhideWhenUsed/>
    <w:qFormat/>
    <w:rsid w:val="00ea1435"/>
  </w:style>
  <w:style w:type="numbering" w:styleId="FrListare22111111" w:customStyle="1">
    <w:name w:val="Fără Listare22111111"/>
    <w:uiPriority w:val="99"/>
    <w:semiHidden/>
    <w:unhideWhenUsed/>
    <w:qFormat/>
    <w:rsid w:val="00ea1435"/>
  </w:style>
  <w:style w:type="numbering" w:styleId="FrListare23111111" w:customStyle="1">
    <w:name w:val="Fără Listare23111111"/>
    <w:uiPriority w:val="99"/>
    <w:semiHidden/>
    <w:unhideWhenUsed/>
    <w:qFormat/>
    <w:rsid w:val="00ea1435"/>
  </w:style>
  <w:style w:type="numbering" w:styleId="FrListare26313" w:customStyle="1">
    <w:name w:val="Fără Listare26313"/>
    <w:uiPriority w:val="99"/>
    <w:semiHidden/>
    <w:unhideWhenUsed/>
    <w:qFormat/>
    <w:rsid w:val="00ea1435"/>
  </w:style>
  <w:style w:type="numbering" w:styleId="FrListare703" w:customStyle="1">
    <w:name w:val="Fără Listare703"/>
    <w:uiPriority w:val="99"/>
    <w:semiHidden/>
    <w:unhideWhenUsed/>
    <w:qFormat/>
    <w:rsid w:val="00ea1435"/>
  </w:style>
  <w:style w:type="numbering" w:styleId="FrListare753" w:customStyle="1">
    <w:name w:val="Fără Listare753"/>
    <w:uiPriority w:val="99"/>
    <w:semiHidden/>
    <w:unhideWhenUsed/>
    <w:qFormat/>
    <w:rsid w:val="00ea1435"/>
  </w:style>
  <w:style w:type="numbering" w:styleId="FrListare762" w:customStyle="1">
    <w:name w:val="Fără Listare762"/>
    <w:uiPriority w:val="99"/>
    <w:semiHidden/>
    <w:unhideWhenUsed/>
    <w:qFormat/>
    <w:rsid w:val="00ea1435"/>
  </w:style>
  <w:style w:type="numbering" w:styleId="FrListare1201" w:customStyle="1">
    <w:name w:val="Fără Listare1201"/>
    <w:uiPriority w:val="99"/>
    <w:semiHidden/>
    <w:unhideWhenUsed/>
    <w:qFormat/>
    <w:rsid w:val="00ea1435"/>
  </w:style>
  <w:style w:type="numbering" w:styleId="FrListare2171" w:customStyle="1">
    <w:name w:val="Fără Listare2171"/>
    <w:uiPriority w:val="99"/>
    <w:semiHidden/>
    <w:unhideWhenUsed/>
    <w:qFormat/>
    <w:rsid w:val="00ea1435"/>
  </w:style>
  <w:style w:type="numbering" w:styleId="FrListare3141" w:customStyle="1">
    <w:name w:val="Fără Listare3141"/>
    <w:semiHidden/>
    <w:qFormat/>
    <w:rsid w:val="00ea1435"/>
  </w:style>
  <w:style w:type="numbering" w:styleId="FrListare4141" w:customStyle="1">
    <w:name w:val="Fără Listare4141"/>
    <w:semiHidden/>
    <w:qFormat/>
    <w:rsid w:val="00ea1435"/>
  </w:style>
  <w:style w:type="numbering" w:styleId="FrListare5141" w:customStyle="1">
    <w:name w:val="Fără Listare5141"/>
    <w:uiPriority w:val="99"/>
    <w:semiHidden/>
    <w:unhideWhenUsed/>
    <w:qFormat/>
    <w:rsid w:val="00ea1435"/>
  </w:style>
  <w:style w:type="numbering" w:styleId="FrListare6131" w:customStyle="1">
    <w:name w:val="Fără Listare6131"/>
    <w:uiPriority w:val="99"/>
    <w:semiHidden/>
    <w:unhideWhenUsed/>
    <w:qFormat/>
    <w:rsid w:val="00ea1435"/>
  </w:style>
  <w:style w:type="numbering" w:styleId="FrListare771" w:customStyle="1">
    <w:name w:val="Fără Listare771"/>
    <w:uiPriority w:val="99"/>
    <w:semiHidden/>
    <w:unhideWhenUsed/>
    <w:qFormat/>
    <w:rsid w:val="00ea1435"/>
  </w:style>
  <w:style w:type="numbering" w:styleId="FrListare851" w:customStyle="1">
    <w:name w:val="Fără Listare851"/>
    <w:semiHidden/>
    <w:qFormat/>
    <w:rsid w:val="00ea1435"/>
  </w:style>
  <w:style w:type="numbering" w:styleId="FrListare951" w:customStyle="1">
    <w:name w:val="Fără Listare951"/>
    <w:uiPriority w:val="99"/>
    <w:semiHidden/>
    <w:unhideWhenUsed/>
    <w:qFormat/>
    <w:rsid w:val="00ea1435"/>
  </w:style>
  <w:style w:type="numbering" w:styleId="FrListare1051" w:customStyle="1">
    <w:name w:val="Fără Listare1051"/>
    <w:uiPriority w:val="99"/>
    <w:semiHidden/>
    <w:unhideWhenUsed/>
    <w:qFormat/>
    <w:rsid w:val="00ea1435"/>
  </w:style>
  <w:style w:type="numbering" w:styleId="FrListare11151" w:customStyle="1">
    <w:name w:val="Fără Listare11151"/>
    <w:uiPriority w:val="99"/>
    <w:semiHidden/>
    <w:unhideWhenUsed/>
    <w:qFormat/>
    <w:rsid w:val="00ea1435"/>
  </w:style>
  <w:style w:type="numbering" w:styleId="FrListare1251" w:customStyle="1">
    <w:name w:val="Fără Listare1251"/>
    <w:uiPriority w:val="99"/>
    <w:semiHidden/>
    <w:unhideWhenUsed/>
    <w:qFormat/>
    <w:rsid w:val="00ea1435"/>
  </w:style>
  <w:style w:type="numbering" w:styleId="FrListare1351" w:customStyle="1">
    <w:name w:val="Fără Listare1351"/>
    <w:uiPriority w:val="99"/>
    <w:semiHidden/>
    <w:unhideWhenUsed/>
    <w:qFormat/>
    <w:rsid w:val="00ea1435"/>
  </w:style>
  <w:style w:type="numbering" w:styleId="FrListare1451" w:customStyle="1">
    <w:name w:val="Fără Listare1451"/>
    <w:uiPriority w:val="99"/>
    <w:semiHidden/>
    <w:unhideWhenUsed/>
    <w:qFormat/>
    <w:rsid w:val="00ea1435"/>
  </w:style>
  <w:style w:type="numbering" w:styleId="FrListare1551" w:customStyle="1">
    <w:name w:val="Fără Listare1551"/>
    <w:uiPriority w:val="99"/>
    <w:semiHidden/>
    <w:unhideWhenUsed/>
    <w:qFormat/>
    <w:rsid w:val="00ea1435"/>
  </w:style>
  <w:style w:type="numbering" w:styleId="FrListare1651" w:customStyle="1">
    <w:name w:val="Fără Listare1651"/>
    <w:semiHidden/>
    <w:qFormat/>
    <w:rsid w:val="00ea1435"/>
  </w:style>
  <w:style w:type="numbering" w:styleId="FrListare1751" w:customStyle="1">
    <w:name w:val="Fără Listare1751"/>
    <w:uiPriority w:val="99"/>
    <w:semiHidden/>
    <w:unhideWhenUsed/>
    <w:qFormat/>
    <w:rsid w:val="00ea1435"/>
  </w:style>
  <w:style w:type="numbering" w:styleId="FrListare1851" w:customStyle="1">
    <w:name w:val="Fără Listare1851"/>
    <w:uiPriority w:val="99"/>
    <w:semiHidden/>
    <w:unhideWhenUsed/>
    <w:qFormat/>
    <w:rsid w:val="00ea1435"/>
  </w:style>
  <w:style w:type="numbering" w:styleId="FrListare1951" w:customStyle="1">
    <w:name w:val="Fără Listare1951"/>
    <w:uiPriority w:val="99"/>
    <w:semiHidden/>
    <w:unhideWhenUsed/>
    <w:qFormat/>
    <w:rsid w:val="00ea1435"/>
  </w:style>
  <w:style w:type="numbering" w:styleId="FrListare2051" w:customStyle="1">
    <w:name w:val="Fără Listare2051"/>
    <w:uiPriority w:val="99"/>
    <w:semiHidden/>
    <w:unhideWhenUsed/>
    <w:qFormat/>
    <w:rsid w:val="00ea1435"/>
  </w:style>
  <w:style w:type="numbering" w:styleId="FrListare11051" w:customStyle="1">
    <w:name w:val="Fără Listare11051"/>
    <w:uiPriority w:val="99"/>
    <w:semiHidden/>
    <w:unhideWhenUsed/>
    <w:qFormat/>
    <w:rsid w:val="00ea1435"/>
  </w:style>
  <w:style w:type="numbering" w:styleId="FrListare2181" w:customStyle="1">
    <w:name w:val="Fără Listare2181"/>
    <w:semiHidden/>
    <w:qFormat/>
    <w:rsid w:val="00ea1435"/>
  </w:style>
  <w:style w:type="numbering" w:styleId="FrListare2251" w:customStyle="1">
    <w:name w:val="Fără Listare2251"/>
    <w:semiHidden/>
    <w:qFormat/>
    <w:rsid w:val="00ea1435"/>
  </w:style>
  <w:style w:type="numbering" w:styleId="FrListare2351" w:customStyle="1">
    <w:name w:val="Fără Listare2351"/>
    <w:semiHidden/>
    <w:qFormat/>
    <w:rsid w:val="00ea1435"/>
  </w:style>
  <w:style w:type="numbering" w:styleId="FrListare2451" w:customStyle="1">
    <w:name w:val="Fără Listare2451"/>
    <w:uiPriority w:val="99"/>
    <w:semiHidden/>
    <w:unhideWhenUsed/>
    <w:qFormat/>
    <w:rsid w:val="00ea1435"/>
  </w:style>
  <w:style w:type="numbering" w:styleId="FrListare2551" w:customStyle="1">
    <w:name w:val="Fără Listare2551"/>
    <w:semiHidden/>
    <w:qFormat/>
    <w:rsid w:val="00ea1435"/>
  </w:style>
  <w:style w:type="numbering" w:styleId="FrListare11161" w:customStyle="1">
    <w:name w:val="Fără Listare11161"/>
    <w:semiHidden/>
    <w:unhideWhenUsed/>
    <w:qFormat/>
    <w:rsid w:val="00ea1435"/>
  </w:style>
  <w:style w:type="numbering" w:styleId="FrListare2651" w:customStyle="1">
    <w:name w:val="Fără Listare2651"/>
    <w:uiPriority w:val="99"/>
    <w:semiHidden/>
    <w:unhideWhenUsed/>
    <w:qFormat/>
    <w:rsid w:val="00ea1435"/>
  </w:style>
  <w:style w:type="numbering" w:styleId="FrListare2741" w:customStyle="1">
    <w:name w:val="Fără Listare2741"/>
    <w:semiHidden/>
    <w:qFormat/>
    <w:rsid w:val="00ea1435"/>
  </w:style>
  <w:style w:type="numbering" w:styleId="FrListare2821" w:customStyle="1">
    <w:name w:val="Fără Listare2821"/>
    <w:uiPriority w:val="99"/>
    <w:semiHidden/>
    <w:unhideWhenUsed/>
    <w:qFormat/>
    <w:rsid w:val="00ea1435"/>
  </w:style>
  <w:style w:type="numbering" w:styleId="FrListare11231" w:customStyle="1">
    <w:name w:val="Fără Listare11231"/>
    <w:uiPriority w:val="99"/>
    <w:semiHidden/>
    <w:unhideWhenUsed/>
    <w:qFormat/>
    <w:rsid w:val="00ea1435"/>
  </w:style>
  <w:style w:type="numbering" w:styleId="FrListare2921" w:customStyle="1">
    <w:name w:val="Fără Listare2921"/>
    <w:uiPriority w:val="99"/>
    <w:semiHidden/>
    <w:unhideWhenUsed/>
    <w:qFormat/>
    <w:rsid w:val="00ea1435"/>
  </w:style>
  <w:style w:type="numbering" w:styleId="FrListare3151" w:customStyle="1">
    <w:name w:val="Fără Listare3151"/>
    <w:semiHidden/>
    <w:qFormat/>
    <w:rsid w:val="00ea1435"/>
  </w:style>
  <w:style w:type="numbering" w:styleId="FrListare4151" w:customStyle="1">
    <w:name w:val="Fără Listare4151"/>
    <w:semiHidden/>
    <w:qFormat/>
    <w:rsid w:val="00ea1435"/>
  </w:style>
  <w:style w:type="numbering" w:styleId="FrListare5151" w:customStyle="1">
    <w:name w:val="Fără Listare5151"/>
    <w:uiPriority w:val="99"/>
    <w:semiHidden/>
    <w:unhideWhenUsed/>
    <w:qFormat/>
    <w:rsid w:val="00ea1435"/>
  </w:style>
  <w:style w:type="numbering" w:styleId="FrListare6141" w:customStyle="1">
    <w:name w:val="Fără Listare6141"/>
    <w:uiPriority w:val="99"/>
    <w:semiHidden/>
    <w:unhideWhenUsed/>
    <w:qFormat/>
    <w:rsid w:val="00ea1435"/>
  </w:style>
  <w:style w:type="numbering" w:styleId="FrListare7131" w:customStyle="1">
    <w:name w:val="Fără Listare7131"/>
    <w:uiPriority w:val="99"/>
    <w:semiHidden/>
    <w:unhideWhenUsed/>
    <w:qFormat/>
    <w:rsid w:val="00ea1435"/>
  </w:style>
  <w:style w:type="numbering" w:styleId="FrListare8131" w:customStyle="1">
    <w:name w:val="Fără Listare8131"/>
    <w:semiHidden/>
    <w:qFormat/>
    <w:rsid w:val="00ea1435"/>
  </w:style>
  <w:style w:type="numbering" w:styleId="FrListare9131" w:customStyle="1">
    <w:name w:val="Fără Listare9131"/>
    <w:uiPriority w:val="99"/>
    <w:semiHidden/>
    <w:unhideWhenUsed/>
    <w:qFormat/>
    <w:rsid w:val="00ea1435"/>
  </w:style>
  <w:style w:type="numbering" w:styleId="FrListare10131" w:customStyle="1">
    <w:name w:val="Fără Listare10131"/>
    <w:uiPriority w:val="99"/>
    <w:semiHidden/>
    <w:unhideWhenUsed/>
    <w:qFormat/>
    <w:rsid w:val="00ea1435"/>
  </w:style>
  <w:style w:type="numbering" w:styleId="FrListare11321" w:customStyle="1">
    <w:name w:val="Fără Listare11321"/>
    <w:uiPriority w:val="99"/>
    <w:semiHidden/>
    <w:unhideWhenUsed/>
    <w:qFormat/>
    <w:rsid w:val="00ea1435"/>
  </w:style>
  <w:style w:type="numbering" w:styleId="FrListare12131" w:customStyle="1">
    <w:name w:val="Fără Listare12131"/>
    <w:uiPriority w:val="99"/>
    <w:semiHidden/>
    <w:unhideWhenUsed/>
    <w:qFormat/>
    <w:rsid w:val="00ea1435"/>
  </w:style>
  <w:style w:type="numbering" w:styleId="FrListare13131" w:customStyle="1">
    <w:name w:val="Fără Listare13131"/>
    <w:uiPriority w:val="99"/>
    <w:semiHidden/>
    <w:unhideWhenUsed/>
    <w:qFormat/>
    <w:rsid w:val="00ea1435"/>
  </w:style>
  <w:style w:type="numbering" w:styleId="FrListare14131" w:customStyle="1">
    <w:name w:val="Fără Listare14131"/>
    <w:uiPriority w:val="99"/>
    <w:semiHidden/>
    <w:unhideWhenUsed/>
    <w:qFormat/>
    <w:rsid w:val="00ea1435"/>
  </w:style>
  <w:style w:type="numbering" w:styleId="FrListare15131" w:customStyle="1">
    <w:name w:val="Fără Listare15131"/>
    <w:uiPriority w:val="99"/>
    <w:semiHidden/>
    <w:unhideWhenUsed/>
    <w:qFormat/>
    <w:rsid w:val="00ea1435"/>
  </w:style>
  <w:style w:type="numbering" w:styleId="FrListare16131" w:customStyle="1">
    <w:name w:val="Fără Listare16131"/>
    <w:semiHidden/>
    <w:qFormat/>
    <w:rsid w:val="00ea1435"/>
  </w:style>
  <w:style w:type="numbering" w:styleId="FrListare17131" w:customStyle="1">
    <w:name w:val="Fără Listare17131"/>
    <w:uiPriority w:val="99"/>
    <w:semiHidden/>
    <w:unhideWhenUsed/>
    <w:qFormat/>
    <w:rsid w:val="00ea1435"/>
  </w:style>
  <w:style w:type="numbering" w:styleId="FrListare18131" w:customStyle="1">
    <w:name w:val="Fără Listare18131"/>
    <w:uiPriority w:val="99"/>
    <w:semiHidden/>
    <w:unhideWhenUsed/>
    <w:qFormat/>
    <w:rsid w:val="00ea1435"/>
  </w:style>
  <w:style w:type="numbering" w:styleId="FrListare19131" w:customStyle="1">
    <w:name w:val="Fără Listare19131"/>
    <w:uiPriority w:val="99"/>
    <w:semiHidden/>
    <w:unhideWhenUsed/>
    <w:qFormat/>
    <w:rsid w:val="00ea1435"/>
  </w:style>
  <w:style w:type="numbering" w:styleId="FrListare20131" w:customStyle="1">
    <w:name w:val="Fără Listare20131"/>
    <w:uiPriority w:val="99"/>
    <w:semiHidden/>
    <w:unhideWhenUsed/>
    <w:qFormat/>
    <w:rsid w:val="00ea1435"/>
  </w:style>
  <w:style w:type="numbering" w:styleId="FrListare110131" w:customStyle="1">
    <w:name w:val="Fără Listare110131"/>
    <w:uiPriority w:val="99"/>
    <w:semiHidden/>
    <w:unhideWhenUsed/>
    <w:qFormat/>
    <w:rsid w:val="00ea1435"/>
  </w:style>
  <w:style w:type="numbering" w:styleId="FrListare21131" w:customStyle="1">
    <w:name w:val="Fără Listare21131"/>
    <w:semiHidden/>
    <w:qFormat/>
    <w:rsid w:val="00ea1435"/>
  </w:style>
  <w:style w:type="numbering" w:styleId="FrListare22131" w:customStyle="1">
    <w:name w:val="Fără Listare22131"/>
    <w:semiHidden/>
    <w:qFormat/>
    <w:rsid w:val="00ea1435"/>
  </w:style>
  <w:style w:type="numbering" w:styleId="FrListare23131" w:customStyle="1">
    <w:name w:val="Fără Listare23131"/>
    <w:semiHidden/>
    <w:qFormat/>
    <w:rsid w:val="00ea1435"/>
  </w:style>
  <w:style w:type="numbering" w:styleId="FrListare24121" w:customStyle="1">
    <w:name w:val="Fără Listare24121"/>
    <w:uiPriority w:val="99"/>
    <w:semiHidden/>
    <w:unhideWhenUsed/>
    <w:qFormat/>
    <w:rsid w:val="00ea1435"/>
  </w:style>
  <w:style w:type="numbering" w:styleId="FrListare25121" w:customStyle="1">
    <w:name w:val="Fără Listare25121"/>
    <w:semiHidden/>
    <w:qFormat/>
    <w:rsid w:val="00ea1435"/>
  </w:style>
  <w:style w:type="numbering" w:styleId="FrListare111131" w:customStyle="1">
    <w:name w:val="Fără Listare111131"/>
    <w:semiHidden/>
    <w:unhideWhenUsed/>
    <w:qFormat/>
    <w:rsid w:val="00ea1435"/>
  </w:style>
  <w:style w:type="numbering" w:styleId="FrListare26121" w:customStyle="1">
    <w:name w:val="Fără Listare26121"/>
    <w:uiPriority w:val="99"/>
    <w:semiHidden/>
    <w:unhideWhenUsed/>
    <w:qFormat/>
    <w:rsid w:val="00ea1435"/>
  </w:style>
  <w:style w:type="numbering" w:styleId="FrListare27121" w:customStyle="1">
    <w:name w:val="Fără Listare27121"/>
    <w:semiHidden/>
    <w:qFormat/>
    <w:rsid w:val="00ea1435"/>
  </w:style>
  <w:style w:type="numbering" w:styleId="FrListare3021" w:customStyle="1">
    <w:name w:val="Fără Listare3021"/>
    <w:uiPriority w:val="99"/>
    <w:semiHidden/>
    <w:unhideWhenUsed/>
    <w:qFormat/>
    <w:rsid w:val="00ea1435"/>
  </w:style>
  <w:style w:type="numbering" w:styleId="FrListare11421" w:customStyle="1">
    <w:name w:val="Fără Listare11421"/>
    <w:uiPriority w:val="99"/>
    <w:semiHidden/>
    <w:unhideWhenUsed/>
    <w:qFormat/>
    <w:rsid w:val="00ea1435"/>
  </w:style>
  <w:style w:type="numbering" w:styleId="FrListare21021" w:customStyle="1">
    <w:name w:val="Fără Listare21021"/>
    <w:uiPriority w:val="99"/>
    <w:semiHidden/>
    <w:unhideWhenUsed/>
    <w:qFormat/>
    <w:rsid w:val="00ea1435"/>
  </w:style>
  <w:style w:type="numbering" w:styleId="FrListare3221" w:customStyle="1">
    <w:name w:val="Fără Listare3221"/>
    <w:semiHidden/>
    <w:qFormat/>
    <w:rsid w:val="00ea1435"/>
  </w:style>
  <w:style w:type="numbering" w:styleId="FrListare4221" w:customStyle="1">
    <w:name w:val="Fără Listare4221"/>
    <w:semiHidden/>
    <w:qFormat/>
    <w:rsid w:val="00ea1435"/>
  </w:style>
  <w:style w:type="numbering" w:styleId="FrListare5221" w:customStyle="1">
    <w:name w:val="Fără Listare5221"/>
    <w:uiPriority w:val="99"/>
    <w:semiHidden/>
    <w:unhideWhenUsed/>
    <w:qFormat/>
    <w:rsid w:val="00ea1435"/>
  </w:style>
  <w:style w:type="numbering" w:styleId="FrListare6221" w:customStyle="1">
    <w:name w:val="Fără Listare6221"/>
    <w:uiPriority w:val="99"/>
    <w:semiHidden/>
    <w:unhideWhenUsed/>
    <w:qFormat/>
    <w:rsid w:val="00ea1435"/>
  </w:style>
  <w:style w:type="numbering" w:styleId="FrListare7221" w:customStyle="1">
    <w:name w:val="Fără Listare7221"/>
    <w:uiPriority w:val="99"/>
    <w:semiHidden/>
    <w:unhideWhenUsed/>
    <w:qFormat/>
    <w:rsid w:val="00ea1435"/>
  </w:style>
  <w:style w:type="numbering" w:styleId="FrListare8221" w:customStyle="1">
    <w:name w:val="Fără Listare8221"/>
    <w:semiHidden/>
    <w:qFormat/>
    <w:rsid w:val="00ea1435"/>
  </w:style>
  <w:style w:type="numbering" w:styleId="FrListare9221" w:customStyle="1">
    <w:name w:val="Fără Listare9221"/>
    <w:uiPriority w:val="99"/>
    <w:semiHidden/>
    <w:unhideWhenUsed/>
    <w:qFormat/>
    <w:rsid w:val="00ea1435"/>
  </w:style>
  <w:style w:type="numbering" w:styleId="FrListare10221" w:customStyle="1">
    <w:name w:val="Fără Listare10221"/>
    <w:uiPriority w:val="99"/>
    <w:semiHidden/>
    <w:unhideWhenUsed/>
    <w:qFormat/>
    <w:rsid w:val="00ea1435"/>
  </w:style>
  <w:style w:type="numbering" w:styleId="FrListare11521" w:customStyle="1">
    <w:name w:val="Fără Listare11521"/>
    <w:uiPriority w:val="99"/>
    <w:semiHidden/>
    <w:unhideWhenUsed/>
    <w:qFormat/>
    <w:rsid w:val="00ea1435"/>
  </w:style>
  <w:style w:type="numbering" w:styleId="FrListare12221" w:customStyle="1">
    <w:name w:val="Fără Listare12221"/>
    <w:uiPriority w:val="99"/>
    <w:semiHidden/>
    <w:unhideWhenUsed/>
    <w:qFormat/>
    <w:rsid w:val="00ea1435"/>
  </w:style>
  <w:style w:type="numbering" w:styleId="FrListare13221" w:customStyle="1">
    <w:name w:val="Fără Listare13221"/>
    <w:uiPriority w:val="99"/>
    <w:semiHidden/>
    <w:unhideWhenUsed/>
    <w:qFormat/>
    <w:rsid w:val="00ea1435"/>
  </w:style>
  <w:style w:type="numbering" w:styleId="FrListare14221" w:customStyle="1">
    <w:name w:val="Fără Listare14221"/>
    <w:uiPriority w:val="99"/>
    <w:semiHidden/>
    <w:unhideWhenUsed/>
    <w:qFormat/>
    <w:rsid w:val="00ea1435"/>
  </w:style>
  <w:style w:type="numbering" w:styleId="FrListare15221" w:customStyle="1">
    <w:name w:val="Fără Listare15221"/>
    <w:uiPriority w:val="99"/>
    <w:semiHidden/>
    <w:unhideWhenUsed/>
    <w:qFormat/>
    <w:rsid w:val="00ea1435"/>
  </w:style>
  <w:style w:type="numbering" w:styleId="FrListare16221" w:customStyle="1">
    <w:name w:val="Fără Listare16221"/>
    <w:semiHidden/>
    <w:qFormat/>
    <w:rsid w:val="00ea1435"/>
  </w:style>
  <w:style w:type="numbering" w:styleId="FrListare17221" w:customStyle="1">
    <w:name w:val="Fără Listare17221"/>
    <w:uiPriority w:val="99"/>
    <w:semiHidden/>
    <w:unhideWhenUsed/>
    <w:qFormat/>
    <w:rsid w:val="00ea1435"/>
  </w:style>
  <w:style w:type="numbering" w:styleId="FrListare18221" w:customStyle="1">
    <w:name w:val="Fără Listare18221"/>
    <w:uiPriority w:val="99"/>
    <w:semiHidden/>
    <w:unhideWhenUsed/>
    <w:qFormat/>
    <w:rsid w:val="00ea1435"/>
  </w:style>
  <w:style w:type="numbering" w:styleId="FrListare19221" w:customStyle="1">
    <w:name w:val="Fără Listare19221"/>
    <w:uiPriority w:val="99"/>
    <w:semiHidden/>
    <w:unhideWhenUsed/>
    <w:qFormat/>
    <w:rsid w:val="00ea1435"/>
  </w:style>
  <w:style w:type="numbering" w:styleId="FrListare20221" w:customStyle="1">
    <w:name w:val="Fără Listare20221"/>
    <w:uiPriority w:val="99"/>
    <w:semiHidden/>
    <w:unhideWhenUsed/>
    <w:qFormat/>
    <w:rsid w:val="00ea1435"/>
  </w:style>
  <w:style w:type="numbering" w:styleId="FrListare110221" w:customStyle="1">
    <w:name w:val="Fără Listare110221"/>
    <w:uiPriority w:val="99"/>
    <w:semiHidden/>
    <w:unhideWhenUsed/>
    <w:qFormat/>
    <w:rsid w:val="00ea1435"/>
  </w:style>
  <w:style w:type="numbering" w:styleId="FrListare21221" w:customStyle="1">
    <w:name w:val="Fără Listare21221"/>
    <w:semiHidden/>
    <w:qFormat/>
    <w:rsid w:val="00ea1435"/>
  </w:style>
  <w:style w:type="numbering" w:styleId="FrListare22221" w:customStyle="1">
    <w:name w:val="Fără Listare22221"/>
    <w:semiHidden/>
    <w:qFormat/>
    <w:rsid w:val="00ea1435"/>
  </w:style>
  <w:style w:type="numbering" w:styleId="FrListare23221" w:customStyle="1">
    <w:name w:val="Fără Listare23221"/>
    <w:semiHidden/>
    <w:qFormat/>
    <w:rsid w:val="00ea1435"/>
  </w:style>
  <w:style w:type="numbering" w:styleId="FrListare24221" w:customStyle="1">
    <w:name w:val="Fără Listare24221"/>
    <w:uiPriority w:val="99"/>
    <w:semiHidden/>
    <w:unhideWhenUsed/>
    <w:qFormat/>
    <w:rsid w:val="00ea1435"/>
  </w:style>
  <w:style w:type="numbering" w:styleId="FrListare25221" w:customStyle="1">
    <w:name w:val="Fără Listare25221"/>
    <w:semiHidden/>
    <w:qFormat/>
    <w:rsid w:val="00ea1435"/>
  </w:style>
  <w:style w:type="numbering" w:styleId="FrListare111221" w:customStyle="1">
    <w:name w:val="Fără Listare111221"/>
    <w:semiHidden/>
    <w:unhideWhenUsed/>
    <w:qFormat/>
    <w:rsid w:val="00ea1435"/>
  </w:style>
  <w:style w:type="numbering" w:styleId="FrListare26221" w:customStyle="1">
    <w:name w:val="Fără Listare26221"/>
    <w:uiPriority w:val="99"/>
    <w:semiHidden/>
    <w:unhideWhenUsed/>
    <w:qFormat/>
    <w:rsid w:val="00ea1435"/>
  </w:style>
  <w:style w:type="numbering" w:styleId="FrListare27221" w:customStyle="1">
    <w:name w:val="Fără Listare27221"/>
    <w:semiHidden/>
    <w:qFormat/>
    <w:rsid w:val="00ea1435"/>
  </w:style>
  <w:style w:type="numbering" w:styleId="FrListare3321" w:customStyle="1">
    <w:name w:val="Fără Listare3321"/>
    <w:uiPriority w:val="99"/>
    <w:semiHidden/>
    <w:unhideWhenUsed/>
    <w:qFormat/>
    <w:rsid w:val="00ea1435"/>
  </w:style>
  <w:style w:type="numbering" w:styleId="FrListare11621" w:customStyle="1">
    <w:name w:val="Fără Listare11621"/>
    <w:semiHidden/>
    <w:qFormat/>
    <w:rsid w:val="00ea1435"/>
  </w:style>
  <w:style w:type="numbering" w:styleId="FrListare3421" w:customStyle="1">
    <w:name w:val="Fără Listare3421"/>
    <w:uiPriority w:val="99"/>
    <w:semiHidden/>
    <w:unhideWhenUsed/>
    <w:qFormat/>
    <w:rsid w:val="00ea1435"/>
  </w:style>
  <w:style w:type="numbering" w:styleId="FrListare3521" w:customStyle="1">
    <w:name w:val="Fără Listare3521"/>
    <w:semiHidden/>
    <w:qFormat/>
    <w:rsid w:val="00ea1435"/>
  </w:style>
  <w:style w:type="numbering" w:styleId="FrListare3621" w:customStyle="1">
    <w:name w:val="Fără Listare3621"/>
    <w:semiHidden/>
    <w:qFormat/>
    <w:rsid w:val="00ea1435"/>
  </w:style>
  <w:style w:type="numbering" w:styleId="FrListare3721" w:customStyle="1">
    <w:name w:val="Fără Listare3721"/>
    <w:semiHidden/>
    <w:unhideWhenUsed/>
    <w:qFormat/>
    <w:rsid w:val="00ea1435"/>
  </w:style>
  <w:style w:type="numbering" w:styleId="FrListare3821" w:customStyle="1">
    <w:name w:val="Fără Listare3821"/>
    <w:semiHidden/>
    <w:qFormat/>
    <w:rsid w:val="00ea1435"/>
  </w:style>
  <w:style w:type="numbering" w:styleId="FrListare3921" w:customStyle="1">
    <w:name w:val="Fără Listare3921"/>
    <w:uiPriority w:val="99"/>
    <w:semiHidden/>
    <w:unhideWhenUsed/>
    <w:qFormat/>
    <w:rsid w:val="00ea1435"/>
  </w:style>
  <w:style w:type="numbering" w:styleId="FrListare4021" w:customStyle="1">
    <w:name w:val="Fără Listare4021"/>
    <w:uiPriority w:val="99"/>
    <w:semiHidden/>
    <w:unhideWhenUsed/>
    <w:qFormat/>
    <w:rsid w:val="00ea1435"/>
  </w:style>
  <w:style w:type="numbering" w:styleId="FrListare4321" w:customStyle="1">
    <w:name w:val="Fără Listare4321"/>
    <w:uiPriority w:val="99"/>
    <w:semiHidden/>
    <w:unhideWhenUsed/>
    <w:qFormat/>
    <w:rsid w:val="00ea1435"/>
  </w:style>
  <w:style w:type="numbering" w:styleId="FrListare4421" w:customStyle="1">
    <w:name w:val="Fără Listare4421"/>
    <w:uiPriority w:val="99"/>
    <w:semiHidden/>
    <w:unhideWhenUsed/>
    <w:qFormat/>
    <w:rsid w:val="00ea1435"/>
  </w:style>
  <w:style w:type="numbering" w:styleId="FrListare4521" w:customStyle="1">
    <w:name w:val="Fără Listare4521"/>
    <w:uiPriority w:val="99"/>
    <w:semiHidden/>
    <w:unhideWhenUsed/>
    <w:qFormat/>
    <w:rsid w:val="00ea1435"/>
  </w:style>
  <w:style w:type="numbering" w:styleId="FrListare4621" w:customStyle="1">
    <w:name w:val="Fără Listare4621"/>
    <w:uiPriority w:val="99"/>
    <w:semiHidden/>
    <w:unhideWhenUsed/>
    <w:qFormat/>
    <w:rsid w:val="00ea1435"/>
  </w:style>
  <w:style w:type="numbering" w:styleId="FrListare4721" w:customStyle="1">
    <w:name w:val="Fără Listare4721"/>
    <w:uiPriority w:val="99"/>
    <w:semiHidden/>
    <w:unhideWhenUsed/>
    <w:qFormat/>
    <w:rsid w:val="00ea1435"/>
  </w:style>
  <w:style w:type="numbering" w:styleId="FrListare4821" w:customStyle="1">
    <w:name w:val="Fără Listare4821"/>
    <w:uiPriority w:val="99"/>
    <w:semiHidden/>
    <w:unhideWhenUsed/>
    <w:qFormat/>
    <w:rsid w:val="00ea1435"/>
  </w:style>
  <w:style w:type="numbering" w:styleId="FrListare4921" w:customStyle="1">
    <w:name w:val="Fără Listare4921"/>
    <w:uiPriority w:val="99"/>
    <w:semiHidden/>
    <w:unhideWhenUsed/>
    <w:qFormat/>
    <w:rsid w:val="00ea1435"/>
  </w:style>
  <w:style w:type="numbering" w:styleId="FrListare5021" w:customStyle="1">
    <w:name w:val="Fără Listare5021"/>
    <w:uiPriority w:val="99"/>
    <w:semiHidden/>
    <w:unhideWhenUsed/>
    <w:qFormat/>
    <w:rsid w:val="00ea1435"/>
  </w:style>
  <w:style w:type="numbering" w:styleId="FrListare5321" w:customStyle="1">
    <w:name w:val="Fără Listare5321"/>
    <w:semiHidden/>
    <w:unhideWhenUsed/>
    <w:qFormat/>
    <w:rsid w:val="00ea1435"/>
  </w:style>
  <w:style w:type="numbering" w:styleId="FrListare5421" w:customStyle="1">
    <w:name w:val="Fără Listare5421"/>
    <w:uiPriority w:val="99"/>
    <w:semiHidden/>
    <w:unhideWhenUsed/>
    <w:qFormat/>
    <w:rsid w:val="00ea1435"/>
  </w:style>
  <w:style w:type="numbering" w:styleId="FrListare5521" w:customStyle="1">
    <w:name w:val="Fără Listare5521"/>
    <w:uiPriority w:val="99"/>
    <w:semiHidden/>
    <w:unhideWhenUsed/>
    <w:qFormat/>
    <w:rsid w:val="00ea1435"/>
  </w:style>
  <w:style w:type="numbering" w:styleId="FrListare5621" w:customStyle="1">
    <w:name w:val="Fără Listare5621"/>
    <w:uiPriority w:val="99"/>
    <w:semiHidden/>
    <w:unhideWhenUsed/>
    <w:qFormat/>
    <w:rsid w:val="00ea1435"/>
  </w:style>
  <w:style w:type="numbering" w:styleId="FrListare5721" w:customStyle="1">
    <w:name w:val="Fără Listare5721"/>
    <w:uiPriority w:val="99"/>
    <w:semiHidden/>
    <w:unhideWhenUsed/>
    <w:qFormat/>
    <w:rsid w:val="00ea1435"/>
  </w:style>
  <w:style w:type="numbering" w:styleId="FrListare5821" w:customStyle="1">
    <w:name w:val="Fără Listare5821"/>
    <w:semiHidden/>
    <w:unhideWhenUsed/>
    <w:qFormat/>
    <w:rsid w:val="00ea1435"/>
  </w:style>
  <w:style w:type="numbering" w:styleId="FrListare5921" w:customStyle="1">
    <w:name w:val="Fără Listare5921"/>
    <w:uiPriority w:val="99"/>
    <w:semiHidden/>
    <w:unhideWhenUsed/>
    <w:qFormat/>
    <w:rsid w:val="00ea1435"/>
  </w:style>
  <w:style w:type="numbering" w:styleId="FrListare6021" w:customStyle="1">
    <w:name w:val="Fără Listare6021"/>
    <w:uiPriority w:val="99"/>
    <w:semiHidden/>
    <w:unhideWhenUsed/>
    <w:qFormat/>
    <w:rsid w:val="00ea1435"/>
  </w:style>
  <w:style w:type="numbering" w:styleId="FrListare6321" w:customStyle="1">
    <w:name w:val="Fără Listare6321"/>
    <w:uiPriority w:val="99"/>
    <w:semiHidden/>
    <w:unhideWhenUsed/>
    <w:qFormat/>
    <w:rsid w:val="00ea1435"/>
  </w:style>
  <w:style w:type="numbering" w:styleId="FrListare6421" w:customStyle="1">
    <w:name w:val="Fără Listare6421"/>
    <w:uiPriority w:val="99"/>
    <w:semiHidden/>
    <w:unhideWhenUsed/>
    <w:qFormat/>
    <w:rsid w:val="00ea1435"/>
  </w:style>
  <w:style w:type="numbering" w:styleId="FrListare6521" w:customStyle="1">
    <w:name w:val="Fără Listare6521"/>
    <w:uiPriority w:val="99"/>
    <w:semiHidden/>
    <w:unhideWhenUsed/>
    <w:qFormat/>
    <w:rsid w:val="00ea1435"/>
  </w:style>
  <w:style w:type="numbering" w:styleId="FrListare6621" w:customStyle="1">
    <w:name w:val="Fără Listare6621"/>
    <w:uiPriority w:val="99"/>
    <w:semiHidden/>
    <w:unhideWhenUsed/>
    <w:qFormat/>
    <w:rsid w:val="00ea1435"/>
  </w:style>
  <w:style w:type="numbering" w:styleId="FrListare6721" w:customStyle="1">
    <w:name w:val="Fără Listare6721"/>
    <w:uiPriority w:val="99"/>
    <w:semiHidden/>
    <w:qFormat/>
    <w:rsid w:val="00ea1435"/>
  </w:style>
  <w:style w:type="numbering" w:styleId="FrListare11721" w:customStyle="1">
    <w:name w:val="Fără Listare11721"/>
    <w:uiPriority w:val="99"/>
    <w:semiHidden/>
    <w:unhideWhenUsed/>
    <w:qFormat/>
    <w:rsid w:val="00ea1435"/>
  </w:style>
  <w:style w:type="numbering" w:styleId="FrListare11821" w:customStyle="1">
    <w:name w:val="Fără Listare11821"/>
    <w:uiPriority w:val="99"/>
    <w:semiHidden/>
    <w:qFormat/>
    <w:rsid w:val="00ea1435"/>
  </w:style>
  <w:style w:type="numbering" w:styleId="FrListare21321" w:customStyle="1">
    <w:name w:val="Fără Listare21321"/>
    <w:uiPriority w:val="99"/>
    <w:semiHidden/>
    <w:unhideWhenUsed/>
    <w:qFormat/>
    <w:rsid w:val="00ea1435"/>
  </w:style>
  <w:style w:type="numbering" w:styleId="FrListare31021" w:customStyle="1">
    <w:name w:val="Fără Listare31021"/>
    <w:semiHidden/>
    <w:unhideWhenUsed/>
    <w:qFormat/>
    <w:rsid w:val="00ea1435"/>
  </w:style>
  <w:style w:type="numbering" w:styleId="FrListare41021" w:customStyle="1">
    <w:name w:val="Fără Listare41021"/>
    <w:semiHidden/>
    <w:unhideWhenUsed/>
    <w:qFormat/>
    <w:rsid w:val="00ea1435"/>
  </w:style>
  <w:style w:type="numbering" w:styleId="FrListare51021" w:customStyle="1">
    <w:name w:val="Fără Listare51021"/>
    <w:uiPriority w:val="99"/>
    <w:semiHidden/>
    <w:unhideWhenUsed/>
    <w:qFormat/>
    <w:rsid w:val="00ea1435"/>
  </w:style>
  <w:style w:type="numbering" w:styleId="FrListare6821" w:customStyle="1">
    <w:name w:val="Fără Listare6821"/>
    <w:uiPriority w:val="99"/>
    <w:semiHidden/>
    <w:unhideWhenUsed/>
    <w:qFormat/>
    <w:rsid w:val="00ea1435"/>
  </w:style>
  <w:style w:type="numbering" w:styleId="FrListare7321" w:customStyle="1">
    <w:name w:val="Fără Listare7321"/>
    <w:uiPriority w:val="99"/>
    <w:semiHidden/>
    <w:unhideWhenUsed/>
    <w:qFormat/>
    <w:rsid w:val="00ea1435"/>
  </w:style>
  <w:style w:type="numbering" w:styleId="FrListare8321" w:customStyle="1">
    <w:name w:val="Fără Listare8321"/>
    <w:semiHidden/>
    <w:qFormat/>
    <w:rsid w:val="00ea1435"/>
  </w:style>
  <w:style w:type="numbering" w:styleId="FrListare9321" w:customStyle="1">
    <w:name w:val="Fără Listare9321"/>
    <w:uiPriority w:val="99"/>
    <w:semiHidden/>
    <w:unhideWhenUsed/>
    <w:qFormat/>
    <w:rsid w:val="00ea1435"/>
  </w:style>
  <w:style w:type="numbering" w:styleId="FrListare10321" w:customStyle="1">
    <w:name w:val="Fără Listare10321"/>
    <w:uiPriority w:val="99"/>
    <w:semiHidden/>
    <w:unhideWhenUsed/>
    <w:qFormat/>
    <w:rsid w:val="00ea1435"/>
  </w:style>
  <w:style w:type="numbering" w:styleId="FrListare111321" w:customStyle="1">
    <w:name w:val="Fără Listare111321"/>
    <w:uiPriority w:val="99"/>
    <w:semiHidden/>
    <w:unhideWhenUsed/>
    <w:qFormat/>
    <w:rsid w:val="00ea1435"/>
  </w:style>
  <w:style w:type="numbering" w:styleId="FrListare12321" w:customStyle="1">
    <w:name w:val="Fără Listare12321"/>
    <w:uiPriority w:val="99"/>
    <w:semiHidden/>
    <w:unhideWhenUsed/>
    <w:qFormat/>
    <w:rsid w:val="00ea1435"/>
  </w:style>
  <w:style w:type="numbering" w:styleId="FrListare13321" w:customStyle="1">
    <w:name w:val="Fără Listare13321"/>
    <w:uiPriority w:val="99"/>
    <w:semiHidden/>
    <w:unhideWhenUsed/>
    <w:qFormat/>
    <w:rsid w:val="00ea1435"/>
  </w:style>
  <w:style w:type="numbering" w:styleId="FrListare14321" w:customStyle="1">
    <w:name w:val="Fără Listare14321"/>
    <w:uiPriority w:val="99"/>
    <w:semiHidden/>
    <w:unhideWhenUsed/>
    <w:qFormat/>
    <w:rsid w:val="00ea1435"/>
  </w:style>
  <w:style w:type="numbering" w:styleId="FrListare15321" w:customStyle="1">
    <w:name w:val="Fără Listare15321"/>
    <w:uiPriority w:val="99"/>
    <w:semiHidden/>
    <w:unhideWhenUsed/>
    <w:qFormat/>
    <w:rsid w:val="00ea1435"/>
  </w:style>
  <w:style w:type="numbering" w:styleId="FrListare16321" w:customStyle="1">
    <w:name w:val="Fără Listare16321"/>
    <w:semiHidden/>
    <w:qFormat/>
    <w:rsid w:val="00ea1435"/>
  </w:style>
  <w:style w:type="numbering" w:styleId="FrListare17321" w:customStyle="1">
    <w:name w:val="Fără Listare17321"/>
    <w:uiPriority w:val="99"/>
    <w:semiHidden/>
    <w:unhideWhenUsed/>
    <w:qFormat/>
    <w:rsid w:val="00ea1435"/>
  </w:style>
  <w:style w:type="numbering" w:styleId="FrListare18321" w:customStyle="1">
    <w:name w:val="Fără Listare18321"/>
    <w:uiPriority w:val="99"/>
    <w:semiHidden/>
    <w:unhideWhenUsed/>
    <w:qFormat/>
    <w:rsid w:val="00ea1435"/>
  </w:style>
  <w:style w:type="numbering" w:styleId="FrListare19321" w:customStyle="1">
    <w:name w:val="Fără Listare19321"/>
    <w:uiPriority w:val="99"/>
    <w:semiHidden/>
    <w:unhideWhenUsed/>
    <w:qFormat/>
    <w:rsid w:val="00ea1435"/>
  </w:style>
  <w:style w:type="numbering" w:styleId="FrListare20321" w:customStyle="1">
    <w:name w:val="Fără Listare20321"/>
    <w:uiPriority w:val="99"/>
    <w:semiHidden/>
    <w:unhideWhenUsed/>
    <w:qFormat/>
    <w:rsid w:val="00ea1435"/>
  </w:style>
  <w:style w:type="numbering" w:styleId="FrListare110321" w:customStyle="1">
    <w:name w:val="Fără Listare110321"/>
    <w:uiPriority w:val="99"/>
    <w:semiHidden/>
    <w:unhideWhenUsed/>
    <w:qFormat/>
    <w:rsid w:val="00ea1435"/>
  </w:style>
  <w:style w:type="numbering" w:styleId="FrListare21421" w:customStyle="1">
    <w:name w:val="Fără Listare21421"/>
    <w:uiPriority w:val="99"/>
    <w:semiHidden/>
    <w:unhideWhenUsed/>
    <w:qFormat/>
    <w:rsid w:val="00ea1435"/>
  </w:style>
  <w:style w:type="numbering" w:styleId="FrListare22321" w:customStyle="1">
    <w:name w:val="Fără Listare22321"/>
    <w:uiPriority w:val="99"/>
    <w:semiHidden/>
    <w:unhideWhenUsed/>
    <w:qFormat/>
    <w:rsid w:val="00ea1435"/>
  </w:style>
  <w:style w:type="numbering" w:styleId="FrListare23321" w:customStyle="1">
    <w:name w:val="Fără Listare23321"/>
    <w:uiPriority w:val="99"/>
    <w:semiHidden/>
    <w:unhideWhenUsed/>
    <w:qFormat/>
    <w:rsid w:val="00ea1435"/>
  </w:style>
  <w:style w:type="numbering" w:styleId="FrListare24321" w:customStyle="1">
    <w:name w:val="Fără Listare24321"/>
    <w:semiHidden/>
    <w:qFormat/>
    <w:rsid w:val="00ea1435"/>
  </w:style>
  <w:style w:type="numbering" w:styleId="FrListare1111131" w:customStyle="1">
    <w:name w:val="Fără Listare1111131"/>
    <w:uiPriority w:val="99"/>
    <w:semiHidden/>
    <w:qFormat/>
    <w:rsid w:val="00ea1435"/>
  </w:style>
  <w:style w:type="numbering" w:styleId="FrListare112121" w:customStyle="1">
    <w:name w:val="Fără Listare112121"/>
    <w:uiPriority w:val="99"/>
    <w:semiHidden/>
    <w:qFormat/>
    <w:rsid w:val="00ea1435"/>
  </w:style>
  <w:style w:type="numbering" w:styleId="FrListare25321" w:customStyle="1">
    <w:name w:val="Fără Listare25321"/>
    <w:uiPriority w:val="99"/>
    <w:semiHidden/>
    <w:unhideWhenUsed/>
    <w:qFormat/>
    <w:rsid w:val="00ea1435"/>
  </w:style>
  <w:style w:type="numbering" w:styleId="FrListare31121" w:customStyle="1">
    <w:name w:val="Fără Listare31121"/>
    <w:semiHidden/>
    <w:unhideWhenUsed/>
    <w:qFormat/>
    <w:rsid w:val="00ea1435"/>
  </w:style>
  <w:style w:type="numbering" w:styleId="FrListare41121" w:customStyle="1">
    <w:name w:val="Fără Listare41121"/>
    <w:semiHidden/>
    <w:unhideWhenUsed/>
    <w:qFormat/>
    <w:rsid w:val="00ea1435"/>
  </w:style>
  <w:style w:type="numbering" w:styleId="FrListare51121" w:customStyle="1">
    <w:name w:val="Fără Listare51121"/>
    <w:uiPriority w:val="99"/>
    <w:semiHidden/>
    <w:unhideWhenUsed/>
    <w:qFormat/>
    <w:rsid w:val="00ea1435"/>
  </w:style>
  <w:style w:type="numbering" w:styleId="FrListare61121" w:customStyle="1">
    <w:name w:val="Fără Listare61121"/>
    <w:uiPriority w:val="99"/>
    <w:semiHidden/>
    <w:unhideWhenUsed/>
    <w:qFormat/>
    <w:rsid w:val="00ea1435"/>
  </w:style>
  <w:style w:type="numbering" w:styleId="FrListare71121" w:customStyle="1">
    <w:name w:val="Fără Listare71121"/>
    <w:uiPriority w:val="99"/>
    <w:semiHidden/>
    <w:unhideWhenUsed/>
    <w:qFormat/>
    <w:rsid w:val="00ea1435"/>
  </w:style>
  <w:style w:type="numbering" w:styleId="FrListare81121" w:customStyle="1">
    <w:name w:val="Fără Listare81121"/>
    <w:semiHidden/>
    <w:qFormat/>
    <w:rsid w:val="00ea1435"/>
  </w:style>
  <w:style w:type="numbering" w:styleId="FrListare91121" w:customStyle="1">
    <w:name w:val="Fără Listare91121"/>
    <w:uiPriority w:val="99"/>
    <w:semiHidden/>
    <w:unhideWhenUsed/>
    <w:qFormat/>
    <w:rsid w:val="00ea1435"/>
  </w:style>
  <w:style w:type="numbering" w:styleId="FrListare101121" w:customStyle="1">
    <w:name w:val="Fără Listare101121"/>
    <w:uiPriority w:val="99"/>
    <w:semiHidden/>
    <w:unhideWhenUsed/>
    <w:qFormat/>
    <w:rsid w:val="00ea1435"/>
  </w:style>
  <w:style w:type="numbering" w:styleId="FrListare11111121" w:customStyle="1">
    <w:name w:val="Fără Listare11111121"/>
    <w:uiPriority w:val="99"/>
    <w:semiHidden/>
    <w:unhideWhenUsed/>
    <w:qFormat/>
    <w:rsid w:val="00ea1435"/>
  </w:style>
  <w:style w:type="numbering" w:styleId="FrListare121121" w:customStyle="1">
    <w:name w:val="Fără Listare121121"/>
    <w:uiPriority w:val="99"/>
    <w:semiHidden/>
    <w:unhideWhenUsed/>
    <w:qFormat/>
    <w:rsid w:val="00ea1435"/>
  </w:style>
  <w:style w:type="numbering" w:styleId="FrListare131121" w:customStyle="1">
    <w:name w:val="Fără Listare131121"/>
    <w:uiPriority w:val="99"/>
    <w:semiHidden/>
    <w:unhideWhenUsed/>
    <w:qFormat/>
    <w:rsid w:val="00ea1435"/>
  </w:style>
  <w:style w:type="numbering" w:styleId="FrListare141121" w:customStyle="1">
    <w:name w:val="Fără Listare141121"/>
    <w:uiPriority w:val="99"/>
    <w:semiHidden/>
    <w:unhideWhenUsed/>
    <w:qFormat/>
    <w:rsid w:val="00ea1435"/>
  </w:style>
  <w:style w:type="numbering" w:styleId="FrListare151121" w:customStyle="1">
    <w:name w:val="Fără Listare151121"/>
    <w:uiPriority w:val="99"/>
    <w:semiHidden/>
    <w:unhideWhenUsed/>
    <w:qFormat/>
    <w:rsid w:val="00ea1435"/>
  </w:style>
  <w:style w:type="numbering" w:styleId="FrListare161121" w:customStyle="1">
    <w:name w:val="Fără Listare161121"/>
    <w:semiHidden/>
    <w:qFormat/>
    <w:rsid w:val="00ea1435"/>
  </w:style>
  <w:style w:type="numbering" w:styleId="FrListare171121" w:customStyle="1">
    <w:name w:val="Fără Listare171121"/>
    <w:uiPriority w:val="99"/>
    <w:semiHidden/>
    <w:unhideWhenUsed/>
    <w:qFormat/>
    <w:rsid w:val="00ea1435"/>
  </w:style>
  <w:style w:type="numbering" w:styleId="FrListare181121" w:customStyle="1">
    <w:name w:val="Fără Listare181121"/>
    <w:uiPriority w:val="99"/>
    <w:semiHidden/>
    <w:unhideWhenUsed/>
    <w:qFormat/>
    <w:rsid w:val="00ea1435"/>
  </w:style>
  <w:style w:type="numbering" w:styleId="FrListare191121" w:customStyle="1">
    <w:name w:val="Fără Listare191121"/>
    <w:uiPriority w:val="99"/>
    <w:semiHidden/>
    <w:unhideWhenUsed/>
    <w:qFormat/>
    <w:rsid w:val="00ea1435"/>
  </w:style>
  <w:style w:type="numbering" w:styleId="FrListare201121" w:customStyle="1">
    <w:name w:val="Fără Listare201121"/>
    <w:uiPriority w:val="99"/>
    <w:semiHidden/>
    <w:unhideWhenUsed/>
    <w:qFormat/>
    <w:rsid w:val="00ea1435"/>
  </w:style>
  <w:style w:type="numbering" w:styleId="FrListare1101121" w:customStyle="1">
    <w:name w:val="Fără Listare1101121"/>
    <w:uiPriority w:val="99"/>
    <w:semiHidden/>
    <w:unhideWhenUsed/>
    <w:qFormat/>
    <w:rsid w:val="00ea1435"/>
  </w:style>
  <w:style w:type="numbering" w:styleId="FrListare211121" w:customStyle="1">
    <w:name w:val="Fără Listare211121"/>
    <w:uiPriority w:val="99"/>
    <w:semiHidden/>
    <w:unhideWhenUsed/>
    <w:qFormat/>
    <w:rsid w:val="00ea1435"/>
  </w:style>
  <w:style w:type="numbering" w:styleId="FrListare221121" w:customStyle="1">
    <w:name w:val="Fără Listare221121"/>
    <w:uiPriority w:val="99"/>
    <w:semiHidden/>
    <w:unhideWhenUsed/>
    <w:qFormat/>
    <w:rsid w:val="00ea1435"/>
  </w:style>
  <w:style w:type="numbering" w:styleId="FrListare231121" w:customStyle="1">
    <w:name w:val="Fără Listare231121"/>
    <w:uiPriority w:val="99"/>
    <w:semiHidden/>
    <w:unhideWhenUsed/>
    <w:qFormat/>
    <w:rsid w:val="00ea1435"/>
  </w:style>
  <w:style w:type="numbering" w:styleId="FrListare26321" w:customStyle="1">
    <w:name w:val="Fără Listare26321"/>
    <w:uiPriority w:val="99"/>
    <w:semiHidden/>
    <w:unhideWhenUsed/>
    <w:qFormat/>
    <w:rsid w:val="00ea1435"/>
  </w:style>
  <w:style w:type="numbering" w:styleId="FrListare6911" w:customStyle="1">
    <w:name w:val="Fără Listare6911"/>
    <w:uiPriority w:val="99"/>
    <w:semiHidden/>
    <w:qFormat/>
    <w:rsid w:val="00ea1435"/>
  </w:style>
  <w:style w:type="numbering" w:styleId="FrListare11911" w:customStyle="1">
    <w:name w:val="Fără Listare11911"/>
    <w:uiPriority w:val="99"/>
    <w:semiHidden/>
    <w:unhideWhenUsed/>
    <w:qFormat/>
    <w:rsid w:val="00ea1435"/>
  </w:style>
  <w:style w:type="numbering" w:styleId="FrListare111011" w:customStyle="1">
    <w:name w:val="Fără Listare111011"/>
    <w:uiPriority w:val="99"/>
    <w:semiHidden/>
    <w:qFormat/>
    <w:rsid w:val="00ea1435"/>
  </w:style>
  <w:style w:type="numbering" w:styleId="FrListare21511" w:customStyle="1">
    <w:name w:val="Fără Listare21511"/>
    <w:uiPriority w:val="99"/>
    <w:semiHidden/>
    <w:unhideWhenUsed/>
    <w:qFormat/>
    <w:rsid w:val="00ea1435"/>
  </w:style>
  <w:style w:type="numbering" w:styleId="FrListare31211" w:customStyle="1">
    <w:name w:val="Fără Listare31211"/>
    <w:semiHidden/>
    <w:unhideWhenUsed/>
    <w:qFormat/>
    <w:rsid w:val="00ea1435"/>
  </w:style>
  <w:style w:type="numbering" w:styleId="FrListare41211" w:customStyle="1">
    <w:name w:val="Fără Listare41211"/>
    <w:semiHidden/>
    <w:unhideWhenUsed/>
    <w:qFormat/>
    <w:rsid w:val="00ea1435"/>
  </w:style>
  <w:style w:type="numbering" w:styleId="FrListare51211" w:customStyle="1">
    <w:name w:val="Fără Listare51211"/>
    <w:uiPriority w:val="99"/>
    <w:semiHidden/>
    <w:unhideWhenUsed/>
    <w:qFormat/>
    <w:rsid w:val="00ea1435"/>
  </w:style>
  <w:style w:type="numbering" w:styleId="FrListare61011" w:customStyle="1">
    <w:name w:val="Fără Listare61011"/>
    <w:uiPriority w:val="99"/>
    <w:semiHidden/>
    <w:unhideWhenUsed/>
    <w:qFormat/>
    <w:rsid w:val="00ea1435"/>
  </w:style>
  <w:style w:type="numbering" w:styleId="FrListare7411" w:customStyle="1">
    <w:name w:val="Fără Listare7411"/>
    <w:uiPriority w:val="99"/>
    <w:semiHidden/>
    <w:unhideWhenUsed/>
    <w:qFormat/>
    <w:rsid w:val="00ea1435"/>
  </w:style>
  <w:style w:type="numbering" w:styleId="FrListare8411" w:customStyle="1">
    <w:name w:val="Fără Listare8411"/>
    <w:semiHidden/>
    <w:qFormat/>
    <w:rsid w:val="00ea1435"/>
  </w:style>
  <w:style w:type="numbering" w:styleId="FrListare9411" w:customStyle="1">
    <w:name w:val="Fără Listare9411"/>
    <w:uiPriority w:val="99"/>
    <w:semiHidden/>
    <w:unhideWhenUsed/>
    <w:qFormat/>
    <w:rsid w:val="00ea1435"/>
  </w:style>
  <w:style w:type="numbering" w:styleId="FrListare10411" w:customStyle="1">
    <w:name w:val="Fără Listare10411"/>
    <w:uiPriority w:val="99"/>
    <w:semiHidden/>
    <w:unhideWhenUsed/>
    <w:qFormat/>
    <w:rsid w:val="00ea1435"/>
  </w:style>
  <w:style w:type="numbering" w:styleId="FrListare111411" w:customStyle="1">
    <w:name w:val="Fără Listare111411"/>
    <w:uiPriority w:val="99"/>
    <w:semiHidden/>
    <w:unhideWhenUsed/>
    <w:qFormat/>
    <w:rsid w:val="00ea1435"/>
  </w:style>
  <w:style w:type="numbering" w:styleId="FrListare12411" w:customStyle="1">
    <w:name w:val="Fără Listare12411"/>
    <w:uiPriority w:val="99"/>
    <w:semiHidden/>
    <w:unhideWhenUsed/>
    <w:qFormat/>
    <w:rsid w:val="00ea1435"/>
  </w:style>
  <w:style w:type="numbering" w:styleId="FrListare13411" w:customStyle="1">
    <w:name w:val="Fără Listare13411"/>
    <w:uiPriority w:val="99"/>
    <w:semiHidden/>
    <w:unhideWhenUsed/>
    <w:qFormat/>
    <w:rsid w:val="00ea1435"/>
  </w:style>
  <w:style w:type="numbering" w:styleId="FrListare14411" w:customStyle="1">
    <w:name w:val="Fără Listare14411"/>
    <w:uiPriority w:val="99"/>
    <w:semiHidden/>
    <w:unhideWhenUsed/>
    <w:qFormat/>
    <w:rsid w:val="00ea1435"/>
  </w:style>
  <w:style w:type="numbering" w:styleId="FrListare15411" w:customStyle="1">
    <w:name w:val="Fără Listare15411"/>
    <w:uiPriority w:val="99"/>
    <w:semiHidden/>
    <w:unhideWhenUsed/>
    <w:qFormat/>
    <w:rsid w:val="00ea1435"/>
  </w:style>
  <w:style w:type="numbering" w:styleId="FrListare16411" w:customStyle="1">
    <w:name w:val="Fără Listare16411"/>
    <w:semiHidden/>
    <w:qFormat/>
    <w:rsid w:val="00ea1435"/>
  </w:style>
  <w:style w:type="numbering" w:styleId="FrListare17411" w:customStyle="1">
    <w:name w:val="Fără Listare17411"/>
    <w:uiPriority w:val="99"/>
    <w:semiHidden/>
    <w:unhideWhenUsed/>
    <w:qFormat/>
    <w:rsid w:val="00ea1435"/>
  </w:style>
  <w:style w:type="numbering" w:styleId="FrListare18411" w:customStyle="1">
    <w:name w:val="Fără Listare18411"/>
    <w:uiPriority w:val="99"/>
    <w:semiHidden/>
    <w:unhideWhenUsed/>
    <w:qFormat/>
    <w:rsid w:val="00ea1435"/>
  </w:style>
  <w:style w:type="numbering" w:styleId="FrListare19411" w:customStyle="1">
    <w:name w:val="Fără Listare19411"/>
    <w:uiPriority w:val="99"/>
    <w:semiHidden/>
    <w:unhideWhenUsed/>
    <w:qFormat/>
    <w:rsid w:val="00ea1435"/>
  </w:style>
  <w:style w:type="numbering" w:styleId="FrListare20411" w:customStyle="1">
    <w:name w:val="Fără Listare20411"/>
    <w:uiPriority w:val="99"/>
    <w:semiHidden/>
    <w:unhideWhenUsed/>
    <w:qFormat/>
    <w:rsid w:val="00ea1435"/>
  </w:style>
  <w:style w:type="numbering" w:styleId="FrListare110411" w:customStyle="1">
    <w:name w:val="Fără Listare110411"/>
    <w:uiPriority w:val="99"/>
    <w:semiHidden/>
    <w:unhideWhenUsed/>
    <w:qFormat/>
    <w:rsid w:val="00ea1435"/>
  </w:style>
  <w:style w:type="numbering" w:styleId="FrListare21611" w:customStyle="1">
    <w:name w:val="Fără Listare21611"/>
    <w:uiPriority w:val="99"/>
    <w:semiHidden/>
    <w:unhideWhenUsed/>
    <w:qFormat/>
    <w:rsid w:val="00ea1435"/>
  </w:style>
  <w:style w:type="numbering" w:styleId="FrListare22411" w:customStyle="1">
    <w:name w:val="Fără Listare22411"/>
    <w:uiPriority w:val="99"/>
    <w:semiHidden/>
    <w:unhideWhenUsed/>
    <w:qFormat/>
    <w:rsid w:val="00ea1435"/>
  </w:style>
  <w:style w:type="numbering" w:styleId="FrListare23411" w:customStyle="1">
    <w:name w:val="Fără Listare23411"/>
    <w:uiPriority w:val="99"/>
    <w:semiHidden/>
    <w:unhideWhenUsed/>
    <w:qFormat/>
    <w:rsid w:val="00ea1435"/>
  </w:style>
  <w:style w:type="numbering" w:styleId="FrListare24411" w:customStyle="1">
    <w:name w:val="Fără Listare24411"/>
    <w:semiHidden/>
    <w:qFormat/>
    <w:rsid w:val="00ea1435"/>
  </w:style>
  <w:style w:type="numbering" w:styleId="FrListare1111221" w:customStyle="1">
    <w:name w:val="Fără Listare1111221"/>
    <w:uiPriority w:val="99"/>
    <w:semiHidden/>
    <w:qFormat/>
    <w:rsid w:val="00ea1435"/>
  </w:style>
  <w:style w:type="numbering" w:styleId="FrListare112211" w:customStyle="1">
    <w:name w:val="Fără Listare112211"/>
    <w:uiPriority w:val="99"/>
    <w:semiHidden/>
    <w:qFormat/>
    <w:rsid w:val="00ea1435"/>
  </w:style>
  <w:style w:type="numbering" w:styleId="FrListare25411" w:customStyle="1">
    <w:name w:val="Fără Listare25411"/>
    <w:uiPriority w:val="99"/>
    <w:semiHidden/>
    <w:unhideWhenUsed/>
    <w:qFormat/>
    <w:rsid w:val="00ea1435"/>
  </w:style>
  <w:style w:type="numbering" w:styleId="FrListare31311" w:customStyle="1">
    <w:name w:val="Fără Listare31311"/>
    <w:semiHidden/>
    <w:unhideWhenUsed/>
    <w:qFormat/>
    <w:rsid w:val="00ea1435"/>
  </w:style>
  <w:style w:type="numbering" w:styleId="FrListare41311" w:customStyle="1">
    <w:name w:val="Fără Listare41311"/>
    <w:semiHidden/>
    <w:unhideWhenUsed/>
    <w:qFormat/>
    <w:rsid w:val="00ea1435"/>
  </w:style>
  <w:style w:type="numbering" w:styleId="FrListare51311" w:customStyle="1">
    <w:name w:val="Fără Listare51311"/>
    <w:uiPriority w:val="99"/>
    <w:semiHidden/>
    <w:unhideWhenUsed/>
    <w:qFormat/>
    <w:rsid w:val="00ea1435"/>
  </w:style>
  <w:style w:type="numbering" w:styleId="FrListare61211" w:customStyle="1">
    <w:name w:val="Fără Listare61211"/>
    <w:uiPriority w:val="99"/>
    <w:semiHidden/>
    <w:unhideWhenUsed/>
    <w:qFormat/>
    <w:rsid w:val="00ea1435"/>
  </w:style>
  <w:style w:type="numbering" w:styleId="FrListare71211" w:customStyle="1">
    <w:name w:val="Fără Listare71211"/>
    <w:uiPriority w:val="99"/>
    <w:semiHidden/>
    <w:unhideWhenUsed/>
    <w:qFormat/>
    <w:rsid w:val="00ea1435"/>
  </w:style>
  <w:style w:type="numbering" w:styleId="FrListare81211" w:customStyle="1">
    <w:name w:val="Fără Listare81211"/>
    <w:semiHidden/>
    <w:qFormat/>
    <w:rsid w:val="00ea1435"/>
  </w:style>
  <w:style w:type="numbering" w:styleId="FrListare91211" w:customStyle="1">
    <w:name w:val="Fără Listare91211"/>
    <w:uiPriority w:val="99"/>
    <w:semiHidden/>
    <w:unhideWhenUsed/>
    <w:qFormat/>
    <w:rsid w:val="00ea1435"/>
  </w:style>
  <w:style w:type="numbering" w:styleId="FrListare101211" w:customStyle="1">
    <w:name w:val="Fără Listare101211"/>
    <w:uiPriority w:val="99"/>
    <w:semiHidden/>
    <w:unhideWhenUsed/>
    <w:qFormat/>
    <w:rsid w:val="00ea1435"/>
  </w:style>
  <w:style w:type="numbering" w:styleId="FrListare11111211" w:customStyle="1">
    <w:name w:val="Fără Listare11111211"/>
    <w:uiPriority w:val="99"/>
    <w:semiHidden/>
    <w:unhideWhenUsed/>
    <w:qFormat/>
    <w:rsid w:val="00ea1435"/>
  </w:style>
  <w:style w:type="numbering" w:styleId="FrListare121211" w:customStyle="1">
    <w:name w:val="Fără Listare121211"/>
    <w:uiPriority w:val="99"/>
    <w:semiHidden/>
    <w:unhideWhenUsed/>
    <w:qFormat/>
    <w:rsid w:val="00ea1435"/>
  </w:style>
  <w:style w:type="numbering" w:styleId="FrListare131211" w:customStyle="1">
    <w:name w:val="Fără Listare131211"/>
    <w:uiPriority w:val="99"/>
    <w:semiHidden/>
    <w:unhideWhenUsed/>
    <w:qFormat/>
    <w:rsid w:val="00ea1435"/>
  </w:style>
  <w:style w:type="numbering" w:styleId="FrListare141211" w:customStyle="1">
    <w:name w:val="Fără Listare141211"/>
    <w:uiPriority w:val="99"/>
    <w:semiHidden/>
    <w:unhideWhenUsed/>
    <w:qFormat/>
    <w:rsid w:val="00ea1435"/>
  </w:style>
  <w:style w:type="numbering" w:styleId="FrListare151211" w:customStyle="1">
    <w:name w:val="Fără Listare151211"/>
    <w:uiPriority w:val="99"/>
    <w:semiHidden/>
    <w:unhideWhenUsed/>
    <w:qFormat/>
    <w:rsid w:val="00ea1435"/>
  </w:style>
  <w:style w:type="numbering" w:styleId="FrListare161211" w:customStyle="1">
    <w:name w:val="Fără Listare161211"/>
    <w:semiHidden/>
    <w:qFormat/>
    <w:rsid w:val="00ea1435"/>
  </w:style>
  <w:style w:type="numbering" w:styleId="FrListare171211" w:customStyle="1">
    <w:name w:val="Fără Listare171211"/>
    <w:uiPriority w:val="99"/>
    <w:semiHidden/>
    <w:unhideWhenUsed/>
    <w:qFormat/>
    <w:rsid w:val="00ea1435"/>
  </w:style>
  <w:style w:type="numbering" w:styleId="FrListare181211" w:customStyle="1">
    <w:name w:val="Fără Listare181211"/>
    <w:uiPriority w:val="99"/>
    <w:semiHidden/>
    <w:unhideWhenUsed/>
    <w:qFormat/>
    <w:rsid w:val="00ea1435"/>
  </w:style>
  <w:style w:type="numbering" w:styleId="FrListare191211" w:customStyle="1">
    <w:name w:val="Fără Listare191211"/>
    <w:uiPriority w:val="99"/>
    <w:semiHidden/>
    <w:unhideWhenUsed/>
    <w:qFormat/>
    <w:rsid w:val="00ea1435"/>
  </w:style>
  <w:style w:type="numbering" w:styleId="FrListare201211" w:customStyle="1">
    <w:name w:val="Fără Listare201211"/>
    <w:uiPriority w:val="99"/>
    <w:semiHidden/>
    <w:unhideWhenUsed/>
    <w:qFormat/>
    <w:rsid w:val="00ea1435"/>
  </w:style>
  <w:style w:type="numbering" w:styleId="FrListare1101211" w:customStyle="1">
    <w:name w:val="Fără Listare1101211"/>
    <w:uiPriority w:val="99"/>
    <w:semiHidden/>
    <w:unhideWhenUsed/>
    <w:qFormat/>
    <w:rsid w:val="00ea1435"/>
  </w:style>
  <w:style w:type="numbering" w:styleId="FrListare211211" w:customStyle="1">
    <w:name w:val="Fără Listare211211"/>
    <w:uiPriority w:val="99"/>
    <w:semiHidden/>
    <w:unhideWhenUsed/>
    <w:qFormat/>
    <w:rsid w:val="00ea1435"/>
  </w:style>
  <w:style w:type="numbering" w:styleId="FrListare221211" w:customStyle="1">
    <w:name w:val="Fără Listare221211"/>
    <w:uiPriority w:val="99"/>
    <w:semiHidden/>
    <w:unhideWhenUsed/>
    <w:qFormat/>
    <w:rsid w:val="00ea1435"/>
  </w:style>
  <w:style w:type="numbering" w:styleId="FrListare231211" w:customStyle="1">
    <w:name w:val="Fără Listare231211"/>
    <w:uiPriority w:val="99"/>
    <w:semiHidden/>
    <w:unhideWhenUsed/>
    <w:qFormat/>
    <w:rsid w:val="00ea1435"/>
  </w:style>
  <w:style w:type="numbering" w:styleId="FrListare26411" w:customStyle="1">
    <w:name w:val="Fără Listare26411"/>
    <w:uiPriority w:val="99"/>
    <w:semiHidden/>
    <w:unhideWhenUsed/>
    <w:qFormat/>
    <w:rsid w:val="00ea1435"/>
  </w:style>
  <w:style w:type="numbering" w:styleId="FrListare27311" w:customStyle="1">
    <w:name w:val="Fără Listare27311"/>
    <w:uiPriority w:val="99"/>
    <w:semiHidden/>
    <w:unhideWhenUsed/>
    <w:qFormat/>
    <w:rsid w:val="00ea1435"/>
  </w:style>
  <w:style w:type="numbering" w:styleId="FrListare113121" w:customStyle="1">
    <w:name w:val="Fără Listare113121"/>
    <w:uiPriority w:val="99"/>
    <w:semiHidden/>
    <w:unhideWhenUsed/>
    <w:qFormat/>
    <w:rsid w:val="00ea1435"/>
  </w:style>
  <w:style w:type="numbering" w:styleId="FrListare28121" w:customStyle="1">
    <w:name w:val="Fără Listare28121"/>
    <w:uiPriority w:val="99"/>
    <w:semiHidden/>
    <w:unhideWhenUsed/>
    <w:qFormat/>
    <w:rsid w:val="00ea1435"/>
  </w:style>
  <w:style w:type="numbering" w:styleId="FrListare32121" w:customStyle="1">
    <w:name w:val="Fără Listare32121"/>
    <w:semiHidden/>
    <w:qFormat/>
    <w:rsid w:val="00ea1435"/>
  </w:style>
  <w:style w:type="numbering" w:styleId="FrListare42121" w:customStyle="1">
    <w:name w:val="Fără Listare42121"/>
    <w:semiHidden/>
    <w:qFormat/>
    <w:rsid w:val="00ea1435"/>
  </w:style>
  <w:style w:type="numbering" w:styleId="FrListare52121" w:customStyle="1">
    <w:name w:val="Fără Listare52121"/>
    <w:uiPriority w:val="99"/>
    <w:semiHidden/>
    <w:unhideWhenUsed/>
    <w:qFormat/>
    <w:rsid w:val="00ea1435"/>
  </w:style>
  <w:style w:type="numbering" w:styleId="FrListare62121" w:customStyle="1">
    <w:name w:val="Fără Listare62121"/>
    <w:uiPriority w:val="99"/>
    <w:semiHidden/>
    <w:unhideWhenUsed/>
    <w:qFormat/>
    <w:rsid w:val="00ea1435"/>
  </w:style>
  <w:style w:type="numbering" w:styleId="FrListare72121" w:customStyle="1">
    <w:name w:val="Fără Listare72121"/>
    <w:uiPriority w:val="99"/>
    <w:semiHidden/>
    <w:unhideWhenUsed/>
    <w:qFormat/>
    <w:rsid w:val="00ea1435"/>
  </w:style>
  <w:style w:type="numbering" w:styleId="FrListare82121" w:customStyle="1">
    <w:name w:val="Fără Listare82121"/>
    <w:semiHidden/>
    <w:qFormat/>
    <w:rsid w:val="00ea1435"/>
  </w:style>
  <w:style w:type="numbering" w:styleId="FrListare92121" w:customStyle="1">
    <w:name w:val="Fără Listare92121"/>
    <w:uiPriority w:val="99"/>
    <w:semiHidden/>
    <w:unhideWhenUsed/>
    <w:qFormat/>
    <w:rsid w:val="00ea1435"/>
  </w:style>
  <w:style w:type="numbering" w:styleId="FrListare102121" w:customStyle="1">
    <w:name w:val="Fără Listare102121"/>
    <w:uiPriority w:val="99"/>
    <w:semiHidden/>
    <w:unhideWhenUsed/>
    <w:qFormat/>
    <w:rsid w:val="00ea1435"/>
  </w:style>
  <w:style w:type="numbering" w:styleId="FrListare114121" w:customStyle="1">
    <w:name w:val="Fără Listare114121"/>
    <w:uiPriority w:val="99"/>
    <w:semiHidden/>
    <w:unhideWhenUsed/>
    <w:qFormat/>
    <w:rsid w:val="00ea1435"/>
  </w:style>
  <w:style w:type="numbering" w:styleId="FrListare122121" w:customStyle="1">
    <w:name w:val="Fără Listare122121"/>
    <w:uiPriority w:val="99"/>
    <w:semiHidden/>
    <w:unhideWhenUsed/>
    <w:qFormat/>
    <w:rsid w:val="00ea1435"/>
  </w:style>
  <w:style w:type="numbering" w:styleId="FrListare132121" w:customStyle="1">
    <w:name w:val="Fără Listare132121"/>
    <w:uiPriority w:val="99"/>
    <w:semiHidden/>
    <w:unhideWhenUsed/>
    <w:qFormat/>
    <w:rsid w:val="00ea1435"/>
  </w:style>
  <w:style w:type="numbering" w:styleId="FrListare142121" w:customStyle="1">
    <w:name w:val="Fără Listare142121"/>
    <w:uiPriority w:val="99"/>
    <w:semiHidden/>
    <w:unhideWhenUsed/>
    <w:qFormat/>
    <w:rsid w:val="00ea1435"/>
  </w:style>
  <w:style w:type="numbering" w:styleId="FrListare152121" w:customStyle="1">
    <w:name w:val="Fără Listare152121"/>
    <w:uiPriority w:val="99"/>
    <w:semiHidden/>
    <w:unhideWhenUsed/>
    <w:qFormat/>
    <w:rsid w:val="00ea1435"/>
  </w:style>
  <w:style w:type="numbering" w:styleId="FrListare162121" w:customStyle="1">
    <w:name w:val="Fără Listare162121"/>
    <w:semiHidden/>
    <w:qFormat/>
    <w:rsid w:val="00ea1435"/>
  </w:style>
  <w:style w:type="numbering" w:styleId="FrListare172121" w:customStyle="1">
    <w:name w:val="Fără Listare172121"/>
    <w:uiPriority w:val="99"/>
    <w:semiHidden/>
    <w:unhideWhenUsed/>
    <w:qFormat/>
    <w:rsid w:val="00ea1435"/>
  </w:style>
  <w:style w:type="numbering" w:styleId="FrListare182121" w:customStyle="1">
    <w:name w:val="Fără Listare182121"/>
    <w:uiPriority w:val="99"/>
    <w:semiHidden/>
    <w:unhideWhenUsed/>
    <w:qFormat/>
    <w:rsid w:val="00ea1435"/>
  </w:style>
  <w:style w:type="numbering" w:styleId="FrListare192121" w:customStyle="1">
    <w:name w:val="Fără Listare192121"/>
    <w:uiPriority w:val="99"/>
    <w:semiHidden/>
    <w:unhideWhenUsed/>
    <w:qFormat/>
    <w:rsid w:val="00ea1435"/>
  </w:style>
  <w:style w:type="numbering" w:styleId="FrListare202121" w:customStyle="1">
    <w:name w:val="Fără Listare202121"/>
    <w:uiPriority w:val="99"/>
    <w:semiHidden/>
    <w:unhideWhenUsed/>
    <w:qFormat/>
    <w:rsid w:val="00ea1435"/>
  </w:style>
  <w:style w:type="numbering" w:styleId="FrListare1102121" w:customStyle="1">
    <w:name w:val="Fără Listare1102121"/>
    <w:uiPriority w:val="99"/>
    <w:semiHidden/>
    <w:unhideWhenUsed/>
    <w:qFormat/>
    <w:rsid w:val="00ea1435"/>
  </w:style>
  <w:style w:type="numbering" w:styleId="FrListare212121" w:customStyle="1">
    <w:name w:val="Fără Listare212121"/>
    <w:semiHidden/>
    <w:qFormat/>
    <w:rsid w:val="00ea1435"/>
  </w:style>
  <w:style w:type="numbering" w:styleId="FrListare222121" w:customStyle="1">
    <w:name w:val="Fără Listare222121"/>
    <w:semiHidden/>
    <w:qFormat/>
    <w:rsid w:val="00ea1435"/>
  </w:style>
  <w:style w:type="numbering" w:styleId="FrListare232121" w:customStyle="1">
    <w:name w:val="Fără Listare232121"/>
    <w:semiHidden/>
    <w:qFormat/>
    <w:rsid w:val="00ea1435"/>
  </w:style>
  <w:style w:type="numbering" w:styleId="FrListare241121" w:customStyle="1">
    <w:name w:val="Fără Listare241121"/>
    <w:uiPriority w:val="99"/>
    <w:semiHidden/>
    <w:unhideWhenUsed/>
    <w:qFormat/>
    <w:rsid w:val="00ea1435"/>
  </w:style>
  <w:style w:type="numbering" w:styleId="FrListare251121" w:customStyle="1">
    <w:name w:val="Fără Listare251121"/>
    <w:semiHidden/>
    <w:qFormat/>
    <w:rsid w:val="00ea1435"/>
  </w:style>
  <w:style w:type="numbering" w:styleId="FrListare1112121" w:customStyle="1">
    <w:name w:val="Fără Listare1112121"/>
    <w:semiHidden/>
    <w:unhideWhenUsed/>
    <w:qFormat/>
    <w:rsid w:val="00ea1435"/>
  </w:style>
  <w:style w:type="numbering" w:styleId="FrListare261121" w:customStyle="1">
    <w:name w:val="Fără Listare261121"/>
    <w:uiPriority w:val="99"/>
    <w:semiHidden/>
    <w:unhideWhenUsed/>
    <w:qFormat/>
    <w:rsid w:val="00ea1435"/>
  </w:style>
  <w:style w:type="numbering" w:styleId="FrListare271121" w:customStyle="1">
    <w:name w:val="Fără Listare271121"/>
    <w:semiHidden/>
    <w:qFormat/>
    <w:rsid w:val="00ea1435"/>
  </w:style>
  <w:style w:type="numbering" w:styleId="FrListare281111" w:customStyle="1">
    <w:name w:val="Fără Listare281111"/>
    <w:uiPriority w:val="99"/>
    <w:semiHidden/>
    <w:unhideWhenUsed/>
    <w:qFormat/>
    <w:rsid w:val="00ea1435"/>
  </w:style>
  <w:style w:type="numbering" w:styleId="FrListare1121121" w:customStyle="1">
    <w:name w:val="Fără Listare1121121"/>
    <w:uiPriority w:val="99"/>
    <w:semiHidden/>
    <w:unhideWhenUsed/>
    <w:qFormat/>
    <w:rsid w:val="00ea1435"/>
  </w:style>
  <w:style w:type="numbering" w:styleId="FrListare29111" w:customStyle="1">
    <w:name w:val="Fără Listare29111"/>
    <w:uiPriority w:val="99"/>
    <w:semiHidden/>
    <w:unhideWhenUsed/>
    <w:qFormat/>
    <w:rsid w:val="00ea1435"/>
  </w:style>
  <w:style w:type="numbering" w:styleId="FrListare311121" w:customStyle="1">
    <w:name w:val="Fără Listare311121"/>
    <w:semiHidden/>
    <w:qFormat/>
    <w:rsid w:val="00ea1435"/>
  </w:style>
  <w:style w:type="numbering" w:styleId="FrListare411121" w:customStyle="1">
    <w:name w:val="Fără Listare411121"/>
    <w:semiHidden/>
    <w:qFormat/>
    <w:rsid w:val="00ea1435"/>
  </w:style>
  <w:style w:type="numbering" w:styleId="FrListare511121" w:customStyle="1">
    <w:name w:val="Fără Listare511121"/>
    <w:uiPriority w:val="99"/>
    <w:semiHidden/>
    <w:unhideWhenUsed/>
    <w:qFormat/>
    <w:rsid w:val="00ea1435"/>
  </w:style>
  <w:style w:type="numbering" w:styleId="FrListare611121" w:customStyle="1">
    <w:name w:val="Fără Listare611121"/>
    <w:uiPriority w:val="99"/>
    <w:semiHidden/>
    <w:unhideWhenUsed/>
    <w:qFormat/>
    <w:rsid w:val="00ea1435"/>
  </w:style>
  <w:style w:type="numbering" w:styleId="FrListare711121" w:customStyle="1">
    <w:name w:val="Fără Listare711121"/>
    <w:uiPriority w:val="99"/>
    <w:semiHidden/>
    <w:unhideWhenUsed/>
    <w:qFormat/>
    <w:rsid w:val="00ea1435"/>
  </w:style>
  <w:style w:type="numbering" w:styleId="FrListare811121" w:customStyle="1">
    <w:name w:val="Fără Listare811121"/>
    <w:semiHidden/>
    <w:qFormat/>
    <w:rsid w:val="00ea1435"/>
  </w:style>
  <w:style w:type="numbering" w:styleId="FrListare911121" w:customStyle="1">
    <w:name w:val="Fără Listare911121"/>
    <w:uiPriority w:val="99"/>
    <w:semiHidden/>
    <w:unhideWhenUsed/>
    <w:qFormat/>
    <w:rsid w:val="00ea1435"/>
  </w:style>
  <w:style w:type="numbering" w:styleId="FrListare1011121" w:customStyle="1">
    <w:name w:val="Fără Listare1011121"/>
    <w:uiPriority w:val="99"/>
    <w:semiHidden/>
    <w:unhideWhenUsed/>
    <w:qFormat/>
    <w:rsid w:val="00ea1435"/>
  </w:style>
  <w:style w:type="numbering" w:styleId="FrListare1131111" w:customStyle="1">
    <w:name w:val="Fără Listare1131111"/>
    <w:uiPriority w:val="99"/>
    <w:semiHidden/>
    <w:unhideWhenUsed/>
    <w:qFormat/>
    <w:rsid w:val="00ea1435"/>
  </w:style>
  <w:style w:type="numbering" w:styleId="FrListare1211121" w:customStyle="1">
    <w:name w:val="Fără Listare1211121"/>
    <w:uiPriority w:val="99"/>
    <w:semiHidden/>
    <w:unhideWhenUsed/>
    <w:qFormat/>
    <w:rsid w:val="00ea1435"/>
  </w:style>
  <w:style w:type="numbering" w:styleId="FrListare1311121" w:customStyle="1">
    <w:name w:val="Fără Listare1311121"/>
    <w:uiPriority w:val="99"/>
    <w:semiHidden/>
    <w:unhideWhenUsed/>
    <w:qFormat/>
    <w:rsid w:val="00ea1435"/>
  </w:style>
  <w:style w:type="numbering" w:styleId="FrListare1411121" w:customStyle="1">
    <w:name w:val="Fără Listare1411121"/>
    <w:uiPriority w:val="99"/>
    <w:semiHidden/>
    <w:unhideWhenUsed/>
    <w:qFormat/>
    <w:rsid w:val="00ea1435"/>
  </w:style>
  <w:style w:type="numbering" w:styleId="FrListare1511121" w:customStyle="1">
    <w:name w:val="Fără Listare1511121"/>
    <w:uiPriority w:val="99"/>
    <w:semiHidden/>
    <w:unhideWhenUsed/>
    <w:qFormat/>
    <w:rsid w:val="00ea1435"/>
  </w:style>
  <w:style w:type="numbering" w:styleId="FrListare1611121" w:customStyle="1">
    <w:name w:val="Fără Listare1611121"/>
    <w:semiHidden/>
    <w:qFormat/>
    <w:rsid w:val="00ea1435"/>
  </w:style>
  <w:style w:type="numbering" w:styleId="FrListare1711121" w:customStyle="1">
    <w:name w:val="Fără Listare1711121"/>
    <w:uiPriority w:val="99"/>
    <w:semiHidden/>
    <w:unhideWhenUsed/>
    <w:qFormat/>
    <w:rsid w:val="00ea1435"/>
  </w:style>
  <w:style w:type="numbering" w:styleId="FrListare1811121" w:customStyle="1">
    <w:name w:val="Fără Listare1811121"/>
    <w:uiPriority w:val="99"/>
    <w:semiHidden/>
    <w:unhideWhenUsed/>
    <w:qFormat/>
    <w:rsid w:val="00ea1435"/>
  </w:style>
  <w:style w:type="numbering" w:styleId="FrListare1911121" w:customStyle="1">
    <w:name w:val="Fără Listare1911121"/>
    <w:uiPriority w:val="99"/>
    <w:semiHidden/>
    <w:unhideWhenUsed/>
    <w:qFormat/>
    <w:rsid w:val="00ea1435"/>
  </w:style>
  <w:style w:type="numbering" w:styleId="FrListare2011121" w:customStyle="1">
    <w:name w:val="Fără Listare2011121"/>
    <w:uiPriority w:val="99"/>
    <w:semiHidden/>
    <w:unhideWhenUsed/>
    <w:qFormat/>
    <w:rsid w:val="00ea1435"/>
  </w:style>
  <w:style w:type="numbering" w:styleId="FrListare11011121" w:customStyle="1">
    <w:name w:val="Fără Listare11011121"/>
    <w:uiPriority w:val="99"/>
    <w:semiHidden/>
    <w:unhideWhenUsed/>
    <w:qFormat/>
    <w:rsid w:val="00ea1435"/>
  </w:style>
  <w:style w:type="numbering" w:styleId="FrListare2111121" w:customStyle="1">
    <w:name w:val="Fără Listare2111121"/>
    <w:semiHidden/>
    <w:qFormat/>
    <w:rsid w:val="00ea1435"/>
  </w:style>
  <w:style w:type="numbering" w:styleId="FrListare2211121" w:customStyle="1">
    <w:name w:val="Fără Listare2211121"/>
    <w:semiHidden/>
    <w:qFormat/>
    <w:rsid w:val="00ea1435"/>
  </w:style>
  <w:style w:type="numbering" w:styleId="FrListare2311121" w:customStyle="1">
    <w:name w:val="Fără Listare2311121"/>
    <w:semiHidden/>
    <w:qFormat/>
    <w:rsid w:val="00ea1435"/>
  </w:style>
  <w:style w:type="numbering" w:styleId="FrListare2411121" w:customStyle="1">
    <w:name w:val="Fără Listare2411121"/>
    <w:uiPriority w:val="99"/>
    <w:semiHidden/>
    <w:unhideWhenUsed/>
    <w:qFormat/>
    <w:rsid w:val="00ea1435"/>
  </w:style>
  <w:style w:type="numbering" w:styleId="FrListare2511121" w:customStyle="1">
    <w:name w:val="Fără Listare2511121"/>
    <w:semiHidden/>
    <w:qFormat/>
    <w:rsid w:val="00ea1435"/>
  </w:style>
  <w:style w:type="numbering" w:styleId="FrListare11112111" w:customStyle="1">
    <w:name w:val="Fără Listare11112111"/>
    <w:semiHidden/>
    <w:unhideWhenUsed/>
    <w:qFormat/>
    <w:rsid w:val="00ea1435"/>
  </w:style>
  <w:style w:type="numbering" w:styleId="FrListare2611111" w:customStyle="1">
    <w:name w:val="Fără Listare2611111"/>
    <w:uiPriority w:val="99"/>
    <w:semiHidden/>
    <w:unhideWhenUsed/>
    <w:qFormat/>
    <w:rsid w:val="00ea1435"/>
  </w:style>
  <w:style w:type="numbering" w:styleId="FrListare2711111" w:customStyle="1">
    <w:name w:val="Fără Listare2711111"/>
    <w:semiHidden/>
    <w:qFormat/>
    <w:rsid w:val="00ea1435"/>
  </w:style>
  <w:style w:type="numbering" w:styleId="FrListare30111" w:customStyle="1">
    <w:name w:val="Fără Listare30111"/>
    <w:uiPriority w:val="99"/>
    <w:semiHidden/>
    <w:unhideWhenUsed/>
    <w:qFormat/>
    <w:rsid w:val="00ea1435"/>
  </w:style>
  <w:style w:type="numbering" w:styleId="FrListare1141111" w:customStyle="1">
    <w:name w:val="Fără Listare1141111"/>
    <w:uiPriority w:val="99"/>
    <w:semiHidden/>
    <w:unhideWhenUsed/>
    <w:qFormat/>
    <w:rsid w:val="00ea1435"/>
  </w:style>
  <w:style w:type="numbering" w:styleId="FrListare210111" w:customStyle="1">
    <w:name w:val="Fără Listare210111"/>
    <w:uiPriority w:val="99"/>
    <w:semiHidden/>
    <w:unhideWhenUsed/>
    <w:qFormat/>
    <w:rsid w:val="00ea1435"/>
  </w:style>
  <w:style w:type="numbering" w:styleId="FrListare321121" w:customStyle="1">
    <w:name w:val="Fără Listare321121"/>
    <w:semiHidden/>
    <w:qFormat/>
    <w:rsid w:val="00ea1435"/>
  </w:style>
  <w:style w:type="numbering" w:styleId="FrListare421121" w:customStyle="1">
    <w:name w:val="Fără Listare421121"/>
    <w:semiHidden/>
    <w:qFormat/>
    <w:rsid w:val="00ea1435"/>
  </w:style>
  <w:style w:type="numbering" w:styleId="FrListare521121" w:customStyle="1">
    <w:name w:val="Fără Listare521121"/>
    <w:uiPriority w:val="99"/>
    <w:semiHidden/>
    <w:unhideWhenUsed/>
    <w:qFormat/>
    <w:rsid w:val="00ea1435"/>
  </w:style>
  <w:style w:type="numbering" w:styleId="FrListare621111" w:customStyle="1">
    <w:name w:val="Fără Listare621111"/>
    <w:uiPriority w:val="99"/>
    <w:semiHidden/>
    <w:unhideWhenUsed/>
    <w:qFormat/>
    <w:rsid w:val="00ea1435"/>
  </w:style>
  <w:style w:type="numbering" w:styleId="FrListare721111" w:customStyle="1">
    <w:name w:val="Fără Listare721111"/>
    <w:uiPriority w:val="99"/>
    <w:semiHidden/>
    <w:unhideWhenUsed/>
    <w:qFormat/>
    <w:rsid w:val="00ea1435"/>
  </w:style>
  <w:style w:type="numbering" w:styleId="FrListare821111" w:customStyle="1">
    <w:name w:val="Fără Listare821111"/>
    <w:semiHidden/>
    <w:qFormat/>
    <w:rsid w:val="00ea1435"/>
  </w:style>
  <w:style w:type="numbering" w:styleId="FrListare921111" w:customStyle="1">
    <w:name w:val="Fără Listare921111"/>
    <w:uiPriority w:val="99"/>
    <w:semiHidden/>
    <w:unhideWhenUsed/>
    <w:qFormat/>
    <w:rsid w:val="00ea1435"/>
  </w:style>
  <w:style w:type="numbering" w:styleId="FrListare1021111" w:customStyle="1">
    <w:name w:val="Fără Listare1021111"/>
    <w:uiPriority w:val="99"/>
    <w:semiHidden/>
    <w:unhideWhenUsed/>
    <w:qFormat/>
    <w:rsid w:val="00ea1435"/>
  </w:style>
  <w:style w:type="numbering" w:styleId="FrListare115111" w:customStyle="1">
    <w:name w:val="Fără Listare115111"/>
    <w:uiPriority w:val="99"/>
    <w:semiHidden/>
    <w:unhideWhenUsed/>
    <w:qFormat/>
    <w:rsid w:val="00ea1435"/>
  </w:style>
  <w:style w:type="numbering" w:styleId="FrListare1221111" w:customStyle="1">
    <w:name w:val="Fără Listare1221111"/>
    <w:uiPriority w:val="99"/>
    <w:semiHidden/>
    <w:unhideWhenUsed/>
    <w:qFormat/>
    <w:rsid w:val="00ea1435"/>
  </w:style>
  <w:style w:type="numbering" w:styleId="FrListare1321111" w:customStyle="1">
    <w:name w:val="Fără Listare1321111"/>
    <w:uiPriority w:val="99"/>
    <w:semiHidden/>
    <w:unhideWhenUsed/>
    <w:qFormat/>
    <w:rsid w:val="00ea1435"/>
  </w:style>
  <w:style w:type="numbering" w:styleId="FrListare1421111" w:customStyle="1">
    <w:name w:val="Fără Listare1421111"/>
    <w:uiPriority w:val="99"/>
    <w:semiHidden/>
    <w:unhideWhenUsed/>
    <w:qFormat/>
    <w:rsid w:val="00ea1435"/>
  </w:style>
  <w:style w:type="numbering" w:styleId="FrListare1521111" w:customStyle="1">
    <w:name w:val="Fără Listare1521111"/>
    <w:uiPriority w:val="99"/>
    <w:semiHidden/>
    <w:unhideWhenUsed/>
    <w:qFormat/>
    <w:rsid w:val="00ea1435"/>
  </w:style>
  <w:style w:type="numbering" w:styleId="FrListare1621111" w:customStyle="1">
    <w:name w:val="Fără Listare1621111"/>
    <w:semiHidden/>
    <w:qFormat/>
    <w:rsid w:val="00ea1435"/>
  </w:style>
  <w:style w:type="numbering" w:styleId="FrListare1721111" w:customStyle="1">
    <w:name w:val="Fără Listare1721111"/>
    <w:uiPriority w:val="99"/>
    <w:semiHidden/>
    <w:unhideWhenUsed/>
    <w:qFormat/>
    <w:rsid w:val="00ea1435"/>
  </w:style>
  <w:style w:type="numbering" w:styleId="FrListare1821111" w:customStyle="1">
    <w:name w:val="Fără Listare1821111"/>
    <w:uiPriority w:val="99"/>
    <w:semiHidden/>
    <w:unhideWhenUsed/>
    <w:qFormat/>
    <w:rsid w:val="00ea1435"/>
  </w:style>
  <w:style w:type="numbering" w:styleId="FrListare1921111" w:customStyle="1">
    <w:name w:val="Fără Listare1921111"/>
    <w:uiPriority w:val="99"/>
    <w:semiHidden/>
    <w:unhideWhenUsed/>
    <w:qFormat/>
    <w:rsid w:val="00ea1435"/>
  </w:style>
  <w:style w:type="numbering" w:styleId="FrListare2021111" w:customStyle="1">
    <w:name w:val="Fără Listare2021111"/>
    <w:uiPriority w:val="99"/>
    <w:semiHidden/>
    <w:unhideWhenUsed/>
    <w:qFormat/>
    <w:rsid w:val="00ea1435"/>
  </w:style>
  <w:style w:type="numbering" w:styleId="FrListare11021111" w:customStyle="1">
    <w:name w:val="Fără Listare11021111"/>
    <w:uiPriority w:val="99"/>
    <w:semiHidden/>
    <w:unhideWhenUsed/>
    <w:qFormat/>
    <w:rsid w:val="00ea1435"/>
  </w:style>
  <w:style w:type="numbering" w:styleId="FrListare2121111" w:customStyle="1">
    <w:name w:val="Fără Listare2121111"/>
    <w:semiHidden/>
    <w:qFormat/>
    <w:rsid w:val="00ea1435"/>
  </w:style>
  <w:style w:type="numbering" w:styleId="FrListare2221111" w:customStyle="1">
    <w:name w:val="Fără Listare2221111"/>
    <w:semiHidden/>
    <w:qFormat/>
    <w:rsid w:val="00ea1435"/>
  </w:style>
  <w:style w:type="numbering" w:styleId="FrListare2321111" w:customStyle="1">
    <w:name w:val="Fără Listare2321111"/>
    <w:semiHidden/>
    <w:qFormat/>
    <w:rsid w:val="00ea1435"/>
  </w:style>
  <w:style w:type="numbering" w:styleId="FrListare242111" w:customStyle="1">
    <w:name w:val="Fără Listare242111"/>
    <w:uiPriority w:val="99"/>
    <w:semiHidden/>
    <w:unhideWhenUsed/>
    <w:qFormat/>
    <w:rsid w:val="00ea1435"/>
  </w:style>
  <w:style w:type="numbering" w:styleId="FrListare252111" w:customStyle="1">
    <w:name w:val="Fără Listare252111"/>
    <w:semiHidden/>
    <w:qFormat/>
    <w:rsid w:val="00ea1435"/>
  </w:style>
  <w:style w:type="numbering" w:styleId="FrListare11121111" w:customStyle="1">
    <w:name w:val="Fără Listare11121111"/>
    <w:semiHidden/>
    <w:unhideWhenUsed/>
    <w:qFormat/>
    <w:rsid w:val="00ea1435"/>
  </w:style>
  <w:style w:type="numbering" w:styleId="FrListare262111" w:customStyle="1">
    <w:name w:val="Fără Listare262111"/>
    <w:uiPriority w:val="99"/>
    <w:semiHidden/>
    <w:unhideWhenUsed/>
    <w:qFormat/>
    <w:rsid w:val="00ea1435"/>
  </w:style>
  <w:style w:type="numbering" w:styleId="FrListare272111" w:customStyle="1">
    <w:name w:val="Fără Listare272111"/>
    <w:semiHidden/>
    <w:qFormat/>
    <w:rsid w:val="00ea1435"/>
  </w:style>
  <w:style w:type="numbering" w:styleId="FrListare33121" w:customStyle="1">
    <w:name w:val="Fără Listare33121"/>
    <w:uiPriority w:val="99"/>
    <w:semiHidden/>
    <w:unhideWhenUsed/>
    <w:qFormat/>
    <w:rsid w:val="00ea1435"/>
  </w:style>
  <w:style w:type="numbering" w:styleId="FrListare116111" w:customStyle="1">
    <w:name w:val="Fără Listare116111"/>
    <w:semiHidden/>
    <w:qFormat/>
    <w:rsid w:val="00ea1435"/>
  </w:style>
  <w:style w:type="numbering" w:styleId="FrListare34121" w:customStyle="1">
    <w:name w:val="Fără Listare34121"/>
    <w:uiPriority w:val="99"/>
    <w:semiHidden/>
    <w:unhideWhenUsed/>
    <w:qFormat/>
    <w:rsid w:val="00ea1435"/>
  </w:style>
  <w:style w:type="numbering" w:styleId="FrListare35111" w:customStyle="1">
    <w:name w:val="Fără Listare35111"/>
    <w:semiHidden/>
    <w:qFormat/>
    <w:rsid w:val="00ea1435"/>
  </w:style>
  <w:style w:type="numbering" w:styleId="FrListare36111" w:customStyle="1">
    <w:name w:val="Fără Listare36111"/>
    <w:semiHidden/>
    <w:qFormat/>
    <w:rsid w:val="00ea1435"/>
  </w:style>
  <w:style w:type="numbering" w:styleId="FrListare37111" w:customStyle="1">
    <w:name w:val="Fără Listare37111"/>
    <w:semiHidden/>
    <w:unhideWhenUsed/>
    <w:qFormat/>
    <w:rsid w:val="00ea1435"/>
  </w:style>
  <w:style w:type="numbering" w:styleId="FrListare38111" w:customStyle="1">
    <w:name w:val="Fără Listare38111"/>
    <w:semiHidden/>
    <w:qFormat/>
    <w:rsid w:val="00ea1435"/>
  </w:style>
  <w:style w:type="numbering" w:styleId="FrListare39111" w:customStyle="1">
    <w:name w:val="Fără Listare39111"/>
    <w:uiPriority w:val="99"/>
    <w:semiHidden/>
    <w:unhideWhenUsed/>
    <w:qFormat/>
    <w:rsid w:val="00ea1435"/>
  </w:style>
  <w:style w:type="numbering" w:styleId="FrListare40111" w:customStyle="1">
    <w:name w:val="Fără Listare40111"/>
    <w:uiPriority w:val="99"/>
    <w:semiHidden/>
    <w:unhideWhenUsed/>
    <w:qFormat/>
    <w:rsid w:val="00ea1435"/>
  </w:style>
  <w:style w:type="numbering" w:styleId="FrListare43111" w:customStyle="1">
    <w:name w:val="Fără Listare43111"/>
    <w:uiPriority w:val="99"/>
    <w:semiHidden/>
    <w:unhideWhenUsed/>
    <w:qFormat/>
    <w:rsid w:val="00ea1435"/>
  </w:style>
  <w:style w:type="numbering" w:styleId="FrListare44111" w:customStyle="1">
    <w:name w:val="Fără Listare44111"/>
    <w:uiPriority w:val="99"/>
    <w:semiHidden/>
    <w:unhideWhenUsed/>
    <w:qFormat/>
    <w:rsid w:val="00ea1435"/>
  </w:style>
  <w:style w:type="numbering" w:styleId="FrListare45111" w:customStyle="1">
    <w:name w:val="Fără Listare45111"/>
    <w:uiPriority w:val="99"/>
    <w:semiHidden/>
    <w:unhideWhenUsed/>
    <w:qFormat/>
    <w:rsid w:val="00ea1435"/>
  </w:style>
  <w:style w:type="numbering" w:styleId="FrListare46111" w:customStyle="1">
    <w:name w:val="Fără Listare46111"/>
    <w:uiPriority w:val="99"/>
    <w:semiHidden/>
    <w:unhideWhenUsed/>
    <w:qFormat/>
    <w:rsid w:val="00ea1435"/>
  </w:style>
  <w:style w:type="numbering" w:styleId="FrListare47111" w:customStyle="1">
    <w:name w:val="Fără Listare47111"/>
    <w:uiPriority w:val="99"/>
    <w:semiHidden/>
    <w:unhideWhenUsed/>
    <w:qFormat/>
    <w:rsid w:val="00ea1435"/>
  </w:style>
  <w:style w:type="numbering" w:styleId="FrListare48111" w:customStyle="1">
    <w:name w:val="Fără Listare48111"/>
    <w:uiPriority w:val="99"/>
    <w:semiHidden/>
    <w:unhideWhenUsed/>
    <w:qFormat/>
    <w:rsid w:val="00ea1435"/>
  </w:style>
  <w:style w:type="numbering" w:styleId="FrListare49111" w:customStyle="1">
    <w:name w:val="Fără Listare49111"/>
    <w:uiPriority w:val="99"/>
    <w:semiHidden/>
    <w:unhideWhenUsed/>
    <w:qFormat/>
    <w:rsid w:val="00ea1435"/>
  </w:style>
  <w:style w:type="numbering" w:styleId="FrListare50111" w:customStyle="1">
    <w:name w:val="Fără Listare50111"/>
    <w:uiPriority w:val="99"/>
    <w:semiHidden/>
    <w:unhideWhenUsed/>
    <w:qFormat/>
    <w:rsid w:val="00ea1435"/>
  </w:style>
  <w:style w:type="numbering" w:styleId="FrListare53111" w:customStyle="1">
    <w:name w:val="Fără Listare53111"/>
    <w:semiHidden/>
    <w:unhideWhenUsed/>
    <w:qFormat/>
    <w:rsid w:val="00ea1435"/>
  </w:style>
  <w:style w:type="numbering" w:styleId="FrListare54111" w:customStyle="1">
    <w:name w:val="Fără Listare54111"/>
    <w:uiPriority w:val="99"/>
    <w:semiHidden/>
    <w:unhideWhenUsed/>
    <w:qFormat/>
    <w:rsid w:val="00ea1435"/>
  </w:style>
  <w:style w:type="numbering" w:styleId="FrListare55111" w:customStyle="1">
    <w:name w:val="Fără Listare55111"/>
    <w:uiPriority w:val="99"/>
    <w:semiHidden/>
    <w:unhideWhenUsed/>
    <w:qFormat/>
    <w:rsid w:val="00ea1435"/>
  </w:style>
  <w:style w:type="numbering" w:styleId="FrListare56111" w:customStyle="1">
    <w:name w:val="Fără Listare56111"/>
    <w:uiPriority w:val="99"/>
    <w:semiHidden/>
    <w:unhideWhenUsed/>
    <w:qFormat/>
    <w:rsid w:val="00ea1435"/>
  </w:style>
  <w:style w:type="numbering" w:styleId="FrListare57111" w:customStyle="1">
    <w:name w:val="Fără Listare57111"/>
    <w:uiPriority w:val="99"/>
    <w:semiHidden/>
    <w:unhideWhenUsed/>
    <w:qFormat/>
    <w:rsid w:val="00ea1435"/>
  </w:style>
  <w:style w:type="numbering" w:styleId="FrListare58111" w:customStyle="1">
    <w:name w:val="Fără Listare58111"/>
    <w:semiHidden/>
    <w:unhideWhenUsed/>
    <w:qFormat/>
    <w:rsid w:val="00ea1435"/>
  </w:style>
  <w:style w:type="numbering" w:styleId="FrListare59111" w:customStyle="1">
    <w:name w:val="Fără Listare59111"/>
    <w:uiPriority w:val="99"/>
    <w:semiHidden/>
    <w:unhideWhenUsed/>
    <w:qFormat/>
    <w:rsid w:val="00ea1435"/>
  </w:style>
  <w:style w:type="numbering" w:styleId="FrListare60111" w:customStyle="1">
    <w:name w:val="Fără Listare60111"/>
    <w:uiPriority w:val="99"/>
    <w:semiHidden/>
    <w:unhideWhenUsed/>
    <w:qFormat/>
    <w:rsid w:val="00ea1435"/>
  </w:style>
  <w:style w:type="numbering" w:styleId="FrListare63111" w:customStyle="1">
    <w:name w:val="Fără Listare63111"/>
    <w:uiPriority w:val="99"/>
    <w:semiHidden/>
    <w:unhideWhenUsed/>
    <w:qFormat/>
    <w:rsid w:val="00ea1435"/>
  </w:style>
  <w:style w:type="numbering" w:styleId="FrListare64111" w:customStyle="1">
    <w:name w:val="Fără Listare64111"/>
    <w:uiPriority w:val="99"/>
    <w:semiHidden/>
    <w:unhideWhenUsed/>
    <w:qFormat/>
    <w:rsid w:val="00ea1435"/>
  </w:style>
  <w:style w:type="numbering" w:styleId="FrListare65111" w:customStyle="1">
    <w:name w:val="Fără Listare65111"/>
    <w:uiPriority w:val="99"/>
    <w:semiHidden/>
    <w:unhideWhenUsed/>
    <w:qFormat/>
    <w:rsid w:val="00ea1435"/>
  </w:style>
  <w:style w:type="numbering" w:styleId="FrListare66111" w:customStyle="1">
    <w:name w:val="Fără Listare66111"/>
    <w:uiPriority w:val="99"/>
    <w:semiHidden/>
    <w:unhideWhenUsed/>
    <w:qFormat/>
    <w:rsid w:val="00ea1435"/>
  </w:style>
  <w:style w:type="numbering" w:styleId="FrListare67111" w:customStyle="1">
    <w:name w:val="Fără Listare67111"/>
    <w:uiPriority w:val="99"/>
    <w:semiHidden/>
    <w:qFormat/>
    <w:rsid w:val="00ea1435"/>
  </w:style>
  <w:style w:type="numbering" w:styleId="FrListare117111" w:customStyle="1">
    <w:name w:val="Fără Listare117111"/>
    <w:uiPriority w:val="99"/>
    <w:semiHidden/>
    <w:unhideWhenUsed/>
    <w:qFormat/>
    <w:rsid w:val="00ea1435"/>
  </w:style>
  <w:style w:type="numbering" w:styleId="FrListare118111" w:customStyle="1">
    <w:name w:val="Fără Listare118111"/>
    <w:uiPriority w:val="99"/>
    <w:semiHidden/>
    <w:qFormat/>
    <w:rsid w:val="00ea1435"/>
  </w:style>
  <w:style w:type="numbering" w:styleId="FrListare213111" w:customStyle="1">
    <w:name w:val="Fără Listare213111"/>
    <w:uiPriority w:val="99"/>
    <w:semiHidden/>
    <w:unhideWhenUsed/>
    <w:qFormat/>
    <w:rsid w:val="00ea1435"/>
  </w:style>
  <w:style w:type="numbering" w:styleId="FrListare310111" w:customStyle="1">
    <w:name w:val="Fără Listare310111"/>
    <w:semiHidden/>
    <w:unhideWhenUsed/>
    <w:qFormat/>
    <w:rsid w:val="00ea1435"/>
  </w:style>
  <w:style w:type="numbering" w:styleId="FrListare410111" w:customStyle="1">
    <w:name w:val="Fără Listare410111"/>
    <w:semiHidden/>
    <w:unhideWhenUsed/>
    <w:qFormat/>
    <w:rsid w:val="00ea1435"/>
  </w:style>
  <w:style w:type="numbering" w:styleId="FrListare510111" w:customStyle="1">
    <w:name w:val="Fără Listare510111"/>
    <w:uiPriority w:val="99"/>
    <w:semiHidden/>
    <w:unhideWhenUsed/>
    <w:qFormat/>
    <w:rsid w:val="00ea1435"/>
  </w:style>
  <w:style w:type="numbering" w:styleId="FrListare68111" w:customStyle="1">
    <w:name w:val="Fără Listare68111"/>
    <w:uiPriority w:val="99"/>
    <w:semiHidden/>
    <w:unhideWhenUsed/>
    <w:qFormat/>
    <w:rsid w:val="00ea1435"/>
  </w:style>
  <w:style w:type="numbering" w:styleId="FrListare73111" w:customStyle="1">
    <w:name w:val="Fără Listare73111"/>
    <w:uiPriority w:val="99"/>
    <w:semiHidden/>
    <w:unhideWhenUsed/>
    <w:qFormat/>
    <w:rsid w:val="00ea1435"/>
  </w:style>
  <w:style w:type="numbering" w:styleId="FrListare83111" w:customStyle="1">
    <w:name w:val="Fără Listare83111"/>
    <w:semiHidden/>
    <w:qFormat/>
    <w:rsid w:val="00ea1435"/>
  </w:style>
  <w:style w:type="numbering" w:styleId="FrListare93111" w:customStyle="1">
    <w:name w:val="Fără Listare93111"/>
    <w:uiPriority w:val="99"/>
    <w:semiHidden/>
    <w:unhideWhenUsed/>
    <w:qFormat/>
    <w:rsid w:val="00ea1435"/>
  </w:style>
  <w:style w:type="numbering" w:styleId="FrListare103111" w:customStyle="1">
    <w:name w:val="Fără Listare103111"/>
    <w:uiPriority w:val="99"/>
    <w:semiHidden/>
    <w:unhideWhenUsed/>
    <w:qFormat/>
    <w:rsid w:val="00ea1435"/>
  </w:style>
  <w:style w:type="numbering" w:styleId="FrListare1113111" w:customStyle="1">
    <w:name w:val="Fără Listare1113111"/>
    <w:uiPriority w:val="99"/>
    <w:semiHidden/>
    <w:unhideWhenUsed/>
    <w:qFormat/>
    <w:rsid w:val="00ea1435"/>
  </w:style>
  <w:style w:type="numbering" w:styleId="FrListare123111" w:customStyle="1">
    <w:name w:val="Fără Listare123111"/>
    <w:uiPriority w:val="99"/>
    <w:semiHidden/>
    <w:unhideWhenUsed/>
    <w:qFormat/>
    <w:rsid w:val="00ea1435"/>
  </w:style>
  <w:style w:type="numbering" w:styleId="FrListare133111" w:customStyle="1">
    <w:name w:val="Fără Listare133111"/>
    <w:uiPriority w:val="99"/>
    <w:semiHidden/>
    <w:unhideWhenUsed/>
    <w:qFormat/>
    <w:rsid w:val="00ea1435"/>
  </w:style>
  <w:style w:type="numbering" w:styleId="FrListare143111" w:customStyle="1">
    <w:name w:val="Fără Listare143111"/>
    <w:uiPriority w:val="99"/>
    <w:semiHidden/>
    <w:unhideWhenUsed/>
    <w:qFormat/>
    <w:rsid w:val="00ea1435"/>
  </w:style>
  <w:style w:type="numbering" w:styleId="FrListare153111" w:customStyle="1">
    <w:name w:val="Fără Listare153111"/>
    <w:uiPriority w:val="99"/>
    <w:semiHidden/>
    <w:unhideWhenUsed/>
    <w:qFormat/>
    <w:rsid w:val="00ea1435"/>
  </w:style>
  <w:style w:type="numbering" w:styleId="FrListare163111" w:customStyle="1">
    <w:name w:val="Fără Listare163111"/>
    <w:semiHidden/>
    <w:qFormat/>
    <w:rsid w:val="00ea1435"/>
  </w:style>
  <w:style w:type="numbering" w:styleId="FrListare173111" w:customStyle="1">
    <w:name w:val="Fără Listare173111"/>
    <w:uiPriority w:val="99"/>
    <w:semiHidden/>
    <w:unhideWhenUsed/>
    <w:qFormat/>
    <w:rsid w:val="00ea1435"/>
  </w:style>
  <w:style w:type="numbering" w:styleId="FrListare183111" w:customStyle="1">
    <w:name w:val="Fără Listare183111"/>
    <w:uiPriority w:val="99"/>
    <w:semiHidden/>
    <w:unhideWhenUsed/>
    <w:qFormat/>
    <w:rsid w:val="00ea1435"/>
  </w:style>
  <w:style w:type="numbering" w:styleId="FrListare193111" w:customStyle="1">
    <w:name w:val="Fără Listare193111"/>
    <w:uiPriority w:val="99"/>
    <w:semiHidden/>
    <w:unhideWhenUsed/>
    <w:qFormat/>
    <w:rsid w:val="00ea1435"/>
  </w:style>
  <w:style w:type="numbering" w:styleId="FrListare203111" w:customStyle="1">
    <w:name w:val="Fără Listare203111"/>
    <w:uiPriority w:val="99"/>
    <w:semiHidden/>
    <w:unhideWhenUsed/>
    <w:qFormat/>
    <w:rsid w:val="00ea1435"/>
  </w:style>
  <w:style w:type="numbering" w:styleId="FrListare1103111" w:customStyle="1">
    <w:name w:val="Fără Listare1103111"/>
    <w:uiPriority w:val="99"/>
    <w:semiHidden/>
    <w:unhideWhenUsed/>
    <w:qFormat/>
    <w:rsid w:val="00ea1435"/>
  </w:style>
  <w:style w:type="numbering" w:styleId="FrListare214111" w:customStyle="1">
    <w:name w:val="Fără Listare214111"/>
    <w:uiPriority w:val="99"/>
    <w:semiHidden/>
    <w:unhideWhenUsed/>
    <w:qFormat/>
    <w:rsid w:val="00ea1435"/>
  </w:style>
  <w:style w:type="numbering" w:styleId="FrListare223111" w:customStyle="1">
    <w:name w:val="Fără Listare223111"/>
    <w:uiPriority w:val="99"/>
    <w:semiHidden/>
    <w:unhideWhenUsed/>
    <w:qFormat/>
    <w:rsid w:val="00ea1435"/>
  </w:style>
  <w:style w:type="numbering" w:styleId="FrListare233111" w:customStyle="1">
    <w:name w:val="Fără Listare233111"/>
    <w:uiPriority w:val="99"/>
    <w:semiHidden/>
    <w:unhideWhenUsed/>
    <w:qFormat/>
    <w:rsid w:val="00ea1435"/>
  </w:style>
  <w:style w:type="numbering" w:styleId="FrListare243111" w:customStyle="1">
    <w:name w:val="Fără Listare243111"/>
    <w:semiHidden/>
    <w:qFormat/>
    <w:rsid w:val="00ea1435"/>
  </w:style>
  <w:style w:type="numbering" w:styleId="FrListare111111121" w:customStyle="1">
    <w:name w:val="Fără Listare111111121"/>
    <w:uiPriority w:val="99"/>
    <w:semiHidden/>
    <w:qFormat/>
    <w:rsid w:val="00ea1435"/>
  </w:style>
  <w:style w:type="numbering" w:styleId="FrListare11211121" w:customStyle="1">
    <w:name w:val="Fără Listare11211121"/>
    <w:uiPriority w:val="99"/>
    <w:semiHidden/>
    <w:qFormat/>
    <w:rsid w:val="00ea1435"/>
  </w:style>
  <w:style w:type="numbering" w:styleId="FrListare253111" w:customStyle="1">
    <w:name w:val="Fără Listare253111"/>
    <w:uiPriority w:val="99"/>
    <w:semiHidden/>
    <w:unhideWhenUsed/>
    <w:qFormat/>
    <w:rsid w:val="00ea1435"/>
  </w:style>
  <w:style w:type="numbering" w:styleId="FrListare3111121" w:customStyle="1">
    <w:name w:val="Fără Listare3111121"/>
    <w:semiHidden/>
    <w:unhideWhenUsed/>
    <w:qFormat/>
    <w:rsid w:val="00ea1435"/>
  </w:style>
  <w:style w:type="numbering" w:styleId="FrListare4111121" w:customStyle="1">
    <w:name w:val="Fără Listare4111121"/>
    <w:semiHidden/>
    <w:unhideWhenUsed/>
    <w:qFormat/>
    <w:rsid w:val="00ea1435"/>
  </w:style>
  <w:style w:type="numbering" w:styleId="FrListare5111121" w:customStyle="1">
    <w:name w:val="Fără Listare5111121"/>
    <w:uiPriority w:val="99"/>
    <w:semiHidden/>
    <w:unhideWhenUsed/>
    <w:qFormat/>
    <w:rsid w:val="00ea1435"/>
  </w:style>
  <w:style w:type="numbering" w:styleId="FrListare6111121" w:customStyle="1">
    <w:name w:val="Fără Listare6111121"/>
    <w:uiPriority w:val="99"/>
    <w:semiHidden/>
    <w:unhideWhenUsed/>
    <w:qFormat/>
    <w:rsid w:val="00ea1435"/>
  </w:style>
  <w:style w:type="numbering" w:styleId="FrListare7111121" w:customStyle="1">
    <w:name w:val="Fără Listare7111121"/>
    <w:uiPriority w:val="99"/>
    <w:semiHidden/>
    <w:unhideWhenUsed/>
    <w:qFormat/>
    <w:rsid w:val="00ea1435"/>
  </w:style>
  <w:style w:type="numbering" w:styleId="FrListare8111121" w:customStyle="1">
    <w:name w:val="Fără Listare8111121"/>
    <w:semiHidden/>
    <w:qFormat/>
    <w:rsid w:val="00ea1435"/>
  </w:style>
  <w:style w:type="numbering" w:styleId="FrListare9111121" w:customStyle="1">
    <w:name w:val="Fără Listare9111121"/>
    <w:uiPriority w:val="99"/>
    <w:semiHidden/>
    <w:unhideWhenUsed/>
    <w:qFormat/>
    <w:rsid w:val="00ea1435"/>
  </w:style>
  <w:style w:type="numbering" w:styleId="FrListare10111121" w:customStyle="1">
    <w:name w:val="Fără Listare10111121"/>
    <w:uiPriority w:val="99"/>
    <w:semiHidden/>
    <w:unhideWhenUsed/>
    <w:qFormat/>
    <w:rsid w:val="00ea1435"/>
  </w:style>
  <w:style w:type="numbering" w:styleId="FrListare1111111121" w:customStyle="1">
    <w:name w:val="Fără Listare1111111121"/>
    <w:uiPriority w:val="99"/>
    <w:semiHidden/>
    <w:unhideWhenUsed/>
    <w:qFormat/>
    <w:rsid w:val="00ea1435"/>
  </w:style>
  <w:style w:type="numbering" w:styleId="FrListare12111121" w:customStyle="1">
    <w:name w:val="Fără Listare12111121"/>
    <w:uiPriority w:val="99"/>
    <w:semiHidden/>
    <w:unhideWhenUsed/>
    <w:qFormat/>
    <w:rsid w:val="00ea1435"/>
  </w:style>
  <w:style w:type="numbering" w:styleId="FrListare13111121" w:customStyle="1">
    <w:name w:val="Fără Listare13111121"/>
    <w:uiPriority w:val="99"/>
    <w:semiHidden/>
    <w:unhideWhenUsed/>
    <w:qFormat/>
    <w:rsid w:val="00ea1435"/>
  </w:style>
  <w:style w:type="numbering" w:styleId="FrListare14111121" w:customStyle="1">
    <w:name w:val="Fără Listare14111121"/>
    <w:uiPriority w:val="99"/>
    <w:semiHidden/>
    <w:unhideWhenUsed/>
    <w:qFormat/>
    <w:rsid w:val="00ea1435"/>
  </w:style>
  <w:style w:type="numbering" w:styleId="FrListare15111121" w:customStyle="1">
    <w:name w:val="Fără Listare15111121"/>
    <w:uiPriority w:val="99"/>
    <w:semiHidden/>
    <w:unhideWhenUsed/>
    <w:qFormat/>
    <w:rsid w:val="00ea1435"/>
  </w:style>
  <w:style w:type="numbering" w:styleId="FrListare16111121" w:customStyle="1">
    <w:name w:val="Fără Listare16111121"/>
    <w:semiHidden/>
    <w:qFormat/>
    <w:rsid w:val="00ea1435"/>
  </w:style>
  <w:style w:type="numbering" w:styleId="FrListare17111121" w:customStyle="1">
    <w:name w:val="Fără Listare17111121"/>
    <w:uiPriority w:val="99"/>
    <w:semiHidden/>
    <w:unhideWhenUsed/>
    <w:qFormat/>
    <w:rsid w:val="00ea1435"/>
  </w:style>
  <w:style w:type="numbering" w:styleId="FrListare18111121" w:customStyle="1">
    <w:name w:val="Fără Listare18111121"/>
    <w:uiPriority w:val="99"/>
    <w:semiHidden/>
    <w:unhideWhenUsed/>
    <w:qFormat/>
    <w:rsid w:val="00ea1435"/>
  </w:style>
  <w:style w:type="numbering" w:styleId="FrListare19111121" w:customStyle="1">
    <w:name w:val="Fără Listare19111121"/>
    <w:uiPriority w:val="99"/>
    <w:semiHidden/>
    <w:unhideWhenUsed/>
    <w:qFormat/>
    <w:rsid w:val="00ea1435"/>
  </w:style>
  <w:style w:type="numbering" w:styleId="FrListare20111121" w:customStyle="1">
    <w:name w:val="Fără Listare20111121"/>
    <w:uiPriority w:val="99"/>
    <w:semiHidden/>
    <w:unhideWhenUsed/>
    <w:qFormat/>
    <w:rsid w:val="00ea1435"/>
  </w:style>
  <w:style w:type="numbering" w:styleId="FrListare110111121" w:customStyle="1">
    <w:name w:val="Fără Listare110111121"/>
    <w:uiPriority w:val="99"/>
    <w:semiHidden/>
    <w:unhideWhenUsed/>
    <w:qFormat/>
    <w:rsid w:val="00ea1435"/>
  </w:style>
  <w:style w:type="numbering" w:styleId="FrListare21111121" w:customStyle="1">
    <w:name w:val="Fără Listare21111121"/>
    <w:uiPriority w:val="99"/>
    <w:semiHidden/>
    <w:unhideWhenUsed/>
    <w:qFormat/>
    <w:rsid w:val="00ea1435"/>
  </w:style>
  <w:style w:type="numbering" w:styleId="FrListare22111121" w:customStyle="1">
    <w:name w:val="Fără Listare22111121"/>
    <w:uiPriority w:val="99"/>
    <w:semiHidden/>
    <w:unhideWhenUsed/>
    <w:qFormat/>
    <w:rsid w:val="00ea1435"/>
  </w:style>
  <w:style w:type="numbering" w:styleId="FrListare23111121" w:customStyle="1">
    <w:name w:val="Fără Listare23111121"/>
    <w:uiPriority w:val="99"/>
    <w:semiHidden/>
    <w:unhideWhenUsed/>
    <w:qFormat/>
    <w:rsid w:val="00ea1435"/>
  </w:style>
  <w:style w:type="numbering" w:styleId="FrListare263111" w:customStyle="1">
    <w:name w:val="Fără Listare263111"/>
    <w:uiPriority w:val="99"/>
    <w:semiHidden/>
    <w:unhideWhenUsed/>
    <w:qFormat/>
    <w:rsid w:val="00ea1435"/>
  </w:style>
  <w:style w:type="numbering" w:styleId="FrListare7011" w:customStyle="1">
    <w:name w:val="Fără Listare7011"/>
    <w:uiPriority w:val="99"/>
    <w:semiHidden/>
    <w:unhideWhenUsed/>
    <w:qFormat/>
    <w:rsid w:val="00ea1435"/>
  </w:style>
  <w:style w:type="numbering" w:styleId="FrListare7511" w:customStyle="1">
    <w:name w:val="Fără Listare7511"/>
    <w:uiPriority w:val="99"/>
    <w:semiHidden/>
    <w:unhideWhenUsed/>
    <w:qFormat/>
    <w:rsid w:val="00ea1435"/>
  </w:style>
  <w:style w:type="numbering" w:styleId="FrListare781" w:customStyle="1">
    <w:name w:val="Fără Listare781"/>
    <w:uiPriority w:val="99"/>
    <w:semiHidden/>
    <w:unhideWhenUsed/>
    <w:qFormat/>
    <w:rsid w:val="00ea1435"/>
  </w:style>
  <w:style w:type="numbering" w:styleId="FrListare1261" w:customStyle="1">
    <w:name w:val="Fără Listare1261"/>
    <w:uiPriority w:val="99"/>
    <w:semiHidden/>
    <w:unhideWhenUsed/>
    <w:qFormat/>
    <w:rsid w:val="00ea1435"/>
  </w:style>
  <w:style w:type="numbering" w:styleId="FrListare2191" w:customStyle="1">
    <w:name w:val="Fără Listare2191"/>
    <w:uiPriority w:val="99"/>
    <w:semiHidden/>
    <w:unhideWhenUsed/>
    <w:qFormat/>
    <w:rsid w:val="00ea1435"/>
  </w:style>
  <w:style w:type="numbering" w:styleId="FrListare3161" w:customStyle="1">
    <w:name w:val="Fără Listare3161"/>
    <w:semiHidden/>
    <w:qFormat/>
    <w:rsid w:val="00ea1435"/>
  </w:style>
  <w:style w:type="numbering" w:styleId="FrListare4161" w:customStyle="1">
    <w:name w:val="Fără Listare4161"/>
    <w:semiHidden/>
    <w:qFormat/>
    <w:rsid w:val="00ea1435"/>
  </w:style>
  <w:style w:type="numbering" w:styleId="FrListare5161" w:customStyle="1">
    <w:name w:val="Fără Listare5161"/>
    <w:uiPriority w:val="99"/>
    <w:semiHidden/>
    <w:unhideWhenUsed/>
    <w:qFormat/>
    <w:rsid w:val="00ea1435"/>
  </w:style>
  <w:style w:type="numbering" w:styleId="FrListare6151" w:customStyle="1">
    <w:name w:val="Fără Listare6151"/>
    <w:uiPriority w:val="99"/>
    <w:semiHidden/>
    <w:unhideWhenUsed/>
    <w:qFormat/>
    <w:rsid w:val="00ea1435"/>
  </w:style>
  <w:style w:type="numbering" w:styleId="FrListare791" w:customStyle="1">
    <w:name w:val="Fără Listare791"/>
    <w:uiPriority w:val="99"/>
    <w:semiHidden/>
    <w:unhideWhenUsed/>
    <w:qFormat/>
    <w:rsid w:val="00ea1435"/>
  </w:style>
  <w:style w:type="numbering" w:styleId="FrListare861" w:customStyle="1">
    <w:name w:val="Fără Listare861"/>
    <w:semiHidden/>
    <w:qFormat/>
    <w:rsid w:val="00ea1435"/>
  </w:style>
  <w:style w:type="numbering" w:styleId="FrListare961" w:customStyle="1">
    <w:name w:val="Fără Listare961"/>
    <w:uiPriority w:val="99"/>
    <w:semiHidden/>
    <w:unhideWhenUsed/>
    <w:qFormat/>
    <w:rsid w:val="00ea1435"/>
  </w:style>
  <w:style w:type="numbering" w:styleId="FrListare1061" w:customStyle="1">
    <w:name w:val="Fără Listare1061"/>
    <w:uiPriority w:val="99"/>
    <w:semiHidden/>
    <w:unhideWhenUsed/>
    <w:qFormat/>
    <w:rsid w:val="00ea1435"/>
  </w:style>
  <w:style w:type="numbering" w:styleId="FrListare11171" w:customStyle="1">
    <w:name w:val="Fără Listare11171"/>
    <w:uiPriority w:val="99"/>
    <w:semiHidden/>
    <w:unhideWhenUsed/>
    <w:qFormat/>
    <w:rsid w:val="00ea1435"/>
  </w:style>
  <w:style w:type="numbering" w:styleId="FrListare1271" w:customStyle="1">
    <w:name w:val="Fără Listare1271"/>
    <w:uiPriority w:val="99"/>
    <w:semiHidden/>
    <w:unhideWhenUsed/>
    <w:qFormat/>
    <w:rsid w:val="00ea1435"/>
  </w:style>
  <w:style w:type="numbering" w:styleId="FrListare1361" w:customStyle="1">
    <w:name w:val="Fără Listare1361"/>
    <w:uiPriority w:val="99"/>
    <w:semiHidden/>
    <w:unhideWhenUsed/>
    <w:qFormat/>
    <w:rsid w:val="00ea1435"/>
  </w:style>
  <w:style w:type="numbering" w:styleId="FrListare1461" w:customStyle="1">
    <w:name w:val="Fără Listare1461"/>
    <w:uiPriority w:val="99"/>
    <w:semiHidden/>
    <w:unhideWhenUsed/>
    <w:qFormat/>
    <w:rsid w:val="00ea1435"/>
  </w:style>
  <w:style w:type="numbering" w:styleId="FrListare1561" w:customStyle="1">
    <w:name w:val="Fără Listare1561"/>
    <w:uiPriority w:val="99"/>
    <w:semiHidden/>
    <w:unhideWhenUsed/>
    <w:qFormat/>
    <w:rsid w:val="00ea1435"/>
  </w:style>
  <w:style w:type="numbering" w:styleId="FrListare1661" w:customStyle="1">
    <w:name w:val="Fără Listare1661"/>
    <w:semiHidden/>
    <w:qFormat/>
    <w:rsid w:val="00ea1435"/>
  </w:style>
  <w:style w:type="numbering" w:styleId="FrListare1761" w:customStyle="1">
    <w:name w:val="Fără Listare1761"/>
    <w:uiPriority w:val="99"/>
    <w:semiHidden/>
    <w:unhideWhenUsed/>
    <w:qFormat/>
    <w:rsid w:val="00ea1435"/>
  </w:style>
  <w:style w:type="numbering" w:styleId="FrListare1861" w:customStyle="1">
    <w:name w:val="Fără Listare1861"/>
    <w:uiPriority w:val="99"/>
    <w:semiHidden/>
    <w:unhideWhenUsed/>
    <w:qFormat/>
    <w:rsid w:val="00ea1435"/>
  </w:style>
  <w:style w:type="numbering" w:styleId="FrListare1961" w:customStyle="1">
    <w:name w:val="Fără Listare1961"/>
    <w:uiPriority w:val="99"/>
    <w:semiHidden/>
    <w:unhideWhenUsed/>
    <w:qFormat/>
    <w:rsid w:val="00ea1435"/>
  </w:style>
  <w:style w:type="numbering" w:styleId="FrListare2061" w:customStyle="1">
    <w:name w:val="Fără Listare2061"/>
    <w:uiPriority w:val="99"/>
    <w:semiHidden/>
    <w:unhideWhenUsed/>
    <w:qFormat/>
    <w:rsid w:val="00ea1435"/>
  </w:style>
  <w:style w:type="numbering" w:styleId="FrListare11061" w:customStyle="1">
    <w:name w:val="Fără Listare11061"/>
    <w:uiPriority w:val="99"/>
    <w:semiHidden/>
    <w:unhideWhenUsed/>
    <w:qFormat/>
    <w:rsid w:val="00ea1435"/>
  </w:style>
  <w:style w:type="numbering" w:styleId="FrListare21101" w:customStyle="1">
    <w:name w:val="Fără Listare21101"/>
    <w:uiPriority w:val="99"/>
    <w:semiHidden/>
    <w:qFormat/>
    <w:rsid w:val="00ea1435"/>
  </w:style>
  <w:style w:type="numbering" w:styleId="FrListare2261" w:customStyle="1">
    <w:name w:val="Fără Listare2261"/>
    <w:uiPriority w:val="99"/>
    <w:semiHidden/>
    <w:qFormat/>
    <w:rsid w:val="00ea1435"/>
  </w:style>
  <w:style w:type="numbering" w:styleId="FrListare2361" w:customStyle="1">
    <w:name w:val="Fără Listare2361"/>
    <w:uiPriority w:val="99"/>
    <w:semiHidden/>
    <w:qFormat/>
    <w:rsid w:val="00ea1435"/>
  </w:style>
  <w:style w:type="numbering" w:styleId="FrListare2461" w:customStyle="1">
    <w:name w:val="Fără Listare2461"/>
    <w:uiPriority w:val="99"/>
    <w:semiHidden/>
    <w:unhideWhenUsed/>
    <w:qFormat/>
    <w:rsid w:val="00ea1435"/>
  </w:style>
  <w:style w:type="numbering" w:styleId="FrListare2561" w:customStyle="1">
    <w:name w:val="Fără Listare2561"/>
    <w:semiHidden/>
    <w:qFormat/>
    <w:rsid w:val="00ea1435"/>
  </w:style>
  <w:style w:type="numbering" w:styleId="FrListare11181" w:customStyle="1">
    <w:name w:val="Fără Listare11181"/>
    <w:semiHidden/>
    <w:unhideWhenUsed/>
    <w:qFormat/>
    <w:rsid w:val="00ea1435"/>
  </w:style>
  <w:style w:type="numbering" w:styleId="FrListare2661" w:customStyle="1">
    <w:name w:val="Fără Listare2661"/>
    <w:uiPriority w:val="99"/>
    <w:semiHidden/>
    <w:unhideWhenUsed/>
    <w:qFormat/>
    <w:rsid w:val="00ea1435"/>
  </w:style>
  <w:style w:type="numbering" w:styleId="FrListare2751" w:customStyle="1">
    <w:name w:val="Fără Listare2751"/>
    <w:semiHidden/>
    <w:qFormat/>
    <w:rsid w:val="00ea1435"/>
  </w:style>
  <w:style w:type="numbering" w:styleId="FrListare2831" w:customStyle="1">
    <w:name w:val="Fără Listare2831"/>
    <w:uiPriority w:val="99"/>
    <w:semiHidden/>
    <w:unhideWhenUsed/>
    <w:qFormat/>
    <w:rsid w:val="00ea1435"/>
  </w:style>
  <w:style w:type="numbering" w:styleId="FrListare11241" w:customStyle="1">
    <w:name w:val="Fără Listare11241"/>
    <w:uiPriority w:val="99"/>
    <w:semiHidden/>
    <w:unhideWhenUsed/>
    <w:qFormat/>
    <w:rsid w:val="00ea1435"/>
  </w:style>
  <w:style w:type="numbering" w:styleId="FrListare2931" w:customStyle="1">
    <w:name w:val="Fără Listare2931"/>
    <w:uiPriority w:val="99"/>
    <w:semiHidden/>
    <w:unhideWhenUsed/>
    <w:qFormat/>
    <w:rsid w:val="00ea1435"/>
  </w:style>
  <w:style w:type="numbering" w:styleId="FrListare3171" w:customStyle="1">
    <w:name w:val="Fără Listare3171"/>
    <w:semiHidden/>
    <w:qFormat/>
    <w:rsid w:val="00ea1435"/>
  </w:style>
  <w:style w:type="numbering" w:styleId="FrListare4171" w:customStyle="1">
    <w:name w:val="Fără Listare4171"/>
    <w:semiHidden/>
    <w:qFormat/>
    <w:rsid w:val="00ea1435"/>
  </w:style>
  <w:style w:type="numbering" w:styleId="FrListare5171" w:customStyle="1">
    <w:name w:val="Fără Listare5171"/>
    <w:uiPriority w:val="99"/>
    <w:semiHidden/>
    <w:unhideWhenUsed/>
    <w:qFormat/>
    <w:rsid w:val="00ea1435"/>
  </w:style>
  <w:style w:type="numbering" w:styleId="FrListare6161" w:customStyle="1">
    <w:name w:val="Fără Listare6161"/>
    <w:uiPriority w:val="99"/>
    <w:semiHidden/>
    <w:unhideWhenUsed/>
    <w:qFormat/>
    <w:rsid w:val="00ea1435"/>
  </w:style>
  <w:style w:type="numbering" w:styleId="FrListare7141" w:customStyle="1">
    <w:name w:val="Fără Listare7141"/>
    <w:uiPriority w:val="99"/>
    <w:semiHidden/>
    <w:unhideWhenUsed/>
    <w:qFormat/>
    <w:rsid w:val="00ea1435"/>
  </w:style>
  <w:style w:type="numbering" w:styleId="FrListare8141" w:customStyle="1">
    <w:name w:val="Fără Listare8141"/>
    <w:semiHidden/>
    <w:qFormat/>
    <w:rsid w:val="00ea1435"/>
  </w:style>
  <w:style w:type="numbering" w:styleId="FrListare9141" w:customStyle="1">
    <w:name w:val="Fără Listare9141"/>
    <w:uiPriority w:val="99"/>
    <w:semiHidden/>
    <w:unhideWhenUsed/>
    <w:qFormat/>
    <w:rsid w:val="00ea1435"/>
  </w:style>
  <w:style w:type="numbering" w:styleId="FrListare10141" w:customStyle="1">
    <w:name w:val="Fără Listare10141"/>
    <w:uiPriority w:val="99"/>
    <w:semiHidden/>
    <w:unhideWhenUsed/>
    <w:qFormat/>
    <w:rsid w:val="00ea1435"/>
  </w:style>
  <w:style w:type="numbering" w:styleId="FrListare11331" w:customStyle="1">
    <w:name w:val="Fără Listare11331"/>
    <w:uiPriority w:val="99"/>
    <w:semiHidden/>
    <w:unhideWhenUsed/>
    <w:qFormat/>
    <w:rsid w:val="00ea1435"/>
  </w:style>
  <w:style w:type="numbering" w:styleId="FrListare12141" w:customStyle="1">
    <w:name w:val="Fără Listare12141"/>
    <w:uiPriority w:val="99"/>
    <w:semiHidden/>
    <w:unhideWhenUsed/>
    <w:qFormat/>
    <w:rsid w:val="00ea1435"/>
  </w:style>
  <w:style w:type="numbering" w:styleId="FrListare13141" w:customStyle="1">
    <w:name w:val="Fără Listare13141"/>
    <w:uiPriority w:val="99"/>
    <w:semiHidden/>
    <w:unhideWhenUsed/>
    <w:qFormat/>
    <w:rsid w:val="00ea1435"/>
  </w:style>
  <w:style w:type="numbering" w:styleId="FrListare14141" w:customStyle="1">
    <w:name w:val="Fără Listare14141"/>
    <w:uiPriority w:val="99"/>
    <w:semiHidden/>
    <w:unhideWhenUsed/>
    <w:qFormat/>
    <w:rsid w:val="00ea1435"/>
  </w:style>
  <w:style w:type="numbering" w:styleId="FrListare15141" w:customStyle="1">
    <w:name w:val="Fără Listare15141"/>
    <w:uiPriority w:val="99"/>
    <w:semiHidden/>
    <w:unhideWhenUsed/>
    <w:qFormat/>
    <w:rsid w:val="00ea1435"/>
  </w:style>
  <w:style w:type="numbering" w:styleId="FrListare16141" w:customStyle="1">
    <w:name w:val="Fără Listare16141"/>
    <w:semiHidden/>
    <w:qFormat/>
    <w:rsid w:val="00ea1435"/>
  </w:style>
  <w:style w:type="numbering" w:styleId="FrListare17141" w:customStyle="1">
    <w:name w:val="Fără Listare17141"/>
    <w:uiPriority w:val="99"/>
    <w:semiHidden/>
    <w:unhideWhenUsed/>
    <w:qFormat/>
    <w:rsid w:val="00ea1435"/>
  </w:style>
  <w:style w:type="numbering" w:styleId="FrListare18141" w:customStyle="1">
    <w:name w:val="Fără Listare18141"/>
    <w:uiPriority w:val="99"/>
    <w:semiHidden/>
    <w:unhideWhenUsed/>
    <w:qFormat/>
    <w:rsid w:val="00ea1435"/>
  </w:style>
  <w:style w:type="numbering" w:styleId="FrListare19141" w:customStyle="1">
    <w:name w:val="Fără Listare19141"/>
    <w:uiPriority w:val="99"/>
    <w:semiHidden/>
    <w:unhideWhenUsed/>
    <w:qFormat/>
    <w:rsid w:val="00ea1435"/>
  </w:style>
  <w:style w:type="numbering" w:styleId="FrListare20141" w:customStyle="1">
    <w:name w:val="Fără Listare20141"/>
    <w:uiPriority w:val="99"/>
    <w:semiHidden/>
    <w:unhideWhenUsed/>
    <w:qFormat/>
    <w:rsid w:val="00ea1435"/>
  </w:style>
  <w:style w:type="numbering" w:styleId="FrListare110141" w:customStyle="1">
    <w:name w:val="Fără Listare110141"/>
    <w:uiPriority w:val="99"/>
    <w:semiHidden/>
    <w:unhideWhenUsed/>
    <w:qFormat/>
    <w:rsid w:val="00ea1435"/>
  </w:style>
  <w:style w:type="numbering" w:styleId="FrListare21141" w:customStyle="1">
    <w:name w:val="Fără Listare21141"/>
    <w:semiHidden/>
    <w:qFormat/>
    <w:rsid w:val="00ea1435"/>
  </w:style>
  <w:style w:type="numbering" w:styleId="FrListare22141" w:customStyle="1">
    <w:name w:val="Fără Listare22141"/>
    <w:semiHidden/>
    <w:qFormat/>
    <w:rsid w:val="00ea1435"/>
  </w:style>
  <w:style w:type="numbering" w:styleId="FrListare23141" w:customStyle="1">
    <w:name w:val="Fără Listare23141"/>
    <w:semiHidden/>
    <w:qFormat/>
    <w:rsid w:val="00ea1435"/>
  </w:style>
  <w:style w:type="numbering" w:styleId="FrListare24131" w:customStyle="1">
    <w:name w:val="Fără Listare24131"/>
    <w:uiPriority w:val="99"/>
    <w:semiHidden/>
    <w:unhideWhenUsed/>
    <w:qFormat/>
    <w:rsid w:val="00ea1435"/>
  </w:style>
  <w:style w:type="numbering" w:styleId="FrListare25131" w:customStyle="1">
    <w:name w:val="Fără Listare25131"/>
    <w:semiHidden/>
    <w:qFormat/>
    <w:rsid w:val="00ea1435"/>
  </w:style>
  <w:style w:type="numbering" w:styleId="FrListare111141" w:customStyle="1">
    <w:name w:val="Fără Listare111141"/>
    <w:semiHidden/>
    <w:unhideWhenUsed/>
    <w:qFormat/>
    <w:rsid w:val="00ea1435"/>
  </w:style>
  <w:style w:type="numbering" w:styleId="FrListare26131" w:customStyle="1">
    <w:name w:val="Fără Listare26131"/>
    <w:uiPriority w:val="99"/>
    <w:semiHidden/>
    <w:unhideWhenUsed/>
    <w:qFormat/>
    <w:rsid w:val="00ea1435"/>
  </w:style>
  <w:style w:type="numbering" w:styleId="FrListare27131" w:customStyle="1">
    <w:name w:val="Fără Listare27131"/>
    <w:semiHidden/>
    <w:qFormat/>
    <w:rsid w:val="00ea1435"/>
  </w:style>
  <w:style w:type="numbering" w:styleId="FrListare3031" w:customStyle="1">
    <w:name w:val="Fără Listare3031"/>
    <w:uiPriority w:val="99"/>
    <w:semiHidden/>
    <w:unhideWhenUsed/>
    <w:qFormat/>
    <w:rsid w:val="00ea1435"/>
  </w:style>
  <w:style w:type="numbering" w:styleId="FrListare11431" w:customStyle="1">
    <w:name w:val="Fără Listare11431"/>
    <w:uiPriority w:val="99"/>
    <w:semiHidden/>
    <w:unhideWhenUsed/>
    <w:qFormat/>
    <w:rsid w:val="00ea1435"/>
  </w:style>
  <w:style w:type="numbering" w:styleId="FrListare21031" w:customStyle="1">
    <w:name w:val="Fără Listare21031"/>
    <w:uiPriority w:val="99"/>
    <w:semiHidden/>
    <w:unhideWhenUsed/>
    <w:qFormat/>
    <w:rsid w:val="00ea1435"/>
  </w:style>
  <w:style w:type="numbering" w:styleId="FrListare3231" w:customStyle="1">
    <w:name w:val="Fără Listare3231"/>
    <w:semiHidden/>
    <w:qFormat/>
    <w:rsid w:val="00ea1435"/>
  </w:style>
  <w:style w:type="numbering" w:styleId="FrListare4231" w:customStyle="1">
    <w:name w:val="Fără Listare4231"/>
    <w:semiHidden/>
    <w:qFormat/>
    <w:rsid w:val="00ea1435"/>
  </w:style>
  <w:style w:type="numbering" w:styleId="FrListare5231" w:customStyle="1">
    <w:name w:val="Fără Listare5231"/>
    <w:uiPriority w:val="99"/>
    <w:semiHidden/>
    <w:unhideWhenUsed/>
    <w:qFormat/>
    <w:rsid w:val="00ea1435"/>
  </w:style>
  <w:style w:type="numbering" w:styleId="FrListare6231" w:customStyle="1">
    <w:name w:val="Fără Listare6231"/>
    <w:uiPriority w:val="99"/>
    <w:semiHidden/>
    <w:unhideWhenUsed/>
    <w:qFormat/>
    <w:rsid w:val="00ea1435"/>
  </w:style>
  <w:style w:type="numbering" w:styleId="FrListare7231" w:customStyle="1">
    <w:name w:val="Fără Listare7231"/>
    <w:uiPriority w:val="99"/>
    <w:semiHidden/>
    <w:unhideWhenUsed/>
    <w:qFormat/>
    <w:rsid w:val="00ea1435"/>
  </w:style>
  <w:style w:type="numbering" w:styleId="FrListare8231" w:customStyle="1">
    <w:name w:val="Fără Listare8231"/>
    <w:semiHidden/>
    <w:qFormat/>
    <w:rsid w:val="00ea1435"/>
  </w:style>
  <w:style w:type="numbering" w:styleId="FrListare9231" w:customStyle="1">
    <w:name w:val="Fără Listare9231"/>
    <w:uiPriority w:val="99"/>
    <w:semiHidden/>
    <w:unhideWhenUsed/>
    <w:qFormat/>
    <w:rsid w:val="00ea1435"/>
  </w:style>
  <w:style w:type="numbering" w:styleId="FrListare10231" w:customStyle="1">
    <w:name w:val="Fără Listare10231"/>
    <w:uiPriority w:val="99"/>
    <w:semiHidden/>
    <w:unhideWhenUsed/>
    <w:qFormat/>
    <w:rsid w:val="00ea1435"/>
  </w:style>
  <w:style w:type="numbering" w:styleId="FrListare11531" w:customStyle="1">
    <w:name w:val="Fără Listare11531"/>
    <w:uiPriority w:val="99"/>
    <w:semiHidden/>
    <w:unhideWhenUsed/>
    <w:qFormat/>
    <w:rsid w:val="00ea1435"/>
  </w:style>
  <w:style w:type="numbering" w:styleId="FrListare12231" w:customStyle="1">
    <w:name w:val="Fără Listare12231"/>
    <w:uiPriority w:val="99"/>
    <w:semiHidden/>
    <w:unhideWhenUsed/>
    <w:qFormat/>
    <w:rsid w:val="00ea1435"/>
  </w:style>
  <w:style w:type="numbering" w:styleId="FrListare13231" w:customStyle="1">
    <w:name w:val="Fără Listare13231"/>
    <w:uiPriority w:val="99"/>
    <w:semiHidden/>
    <w:unhideWhenUsed/>
    <w:qFormat/>
    <w:rsid w:val="00ea1435"/>
  </w:style>
  <w:style w:type="numbering" w:styleId="FrListare14231" w:customStyle="1">
    <w:name w:val="Fără Listare14231"/>
    <w:uiPriority w:val="99"/>
    <w:semiHidden/>
    <w:unhideWhenUsed/>
    <w:qFormat/>
    <w:rsid w:val="00ea1435"/>
  </w:style>
  <w:style w:type="numbering" w:styleId="FrListare15231" w:customStyle="1">
    <w:name w:val="Fără Listare15231"/>
    <w:uiPriority w:val="99"/>
    <w:semiHidden/>
    <w:unhideWhenUsed/>
    <w:qFormat/>
    <w:rsid w:val="00ea1435"/>
  </w:style>
  <w:style w:type="numbering" w:styleId="FrListare16231" w:customStyle="1">
    <w:name w:val="Fără Listare16231"/>
    <w:semiHidden/>
    <w:qFormat/>
    <w:rsid w:val="00ea1435"/>
  </w:style>
  <w:style w:type="numbering" w:styleId="FrListare17231" w:customStyle="1">
    <w:name w:val="Fără Listare17231"/>
    <w:uiPriority w:val="99"/>
    <w:semiHidden/>
    <w:unhideWhenUsed/>
    <w:qFormat/>
    <w:rsid w:val="00ea1435"/>
  </w:style>
  <w:style w:type="numbering" w:styleId="FrListare18231" w:customStyle="1">
    <w:name w:val="Fără Listare18231"/>
    <w:uiPriority w:val="99"/>
    <w:semiHidden/>
    <w:unhideWhenUsed/>
    <w:qFormat/>
    <w:rsid w:val="00ea1435"/>
  </w:style>
  <w:style w:type="numbering" w:styleId="FrListare19231" w:customStyle="1">
    <w:name w:val="Fără Listare19231"/>
    <w:uiPriority w:val="99"/>
    <w:semiHidden/>
    <w:unhideWhenUsed/>
    <w:qFormat/>
    <w:rsid w:val="00ea1435"/>
  </w:style>
  <w:style w:type="numbering" w:styleId="FrListare20231" w:customStyle="1">
    <w:name w:val="Fără Listare20231"/>
    <w:uiPriority w:val="99"/>
    <w:semiHidden/>
    <w:unhideWhenUsed/>
    <w:qFormat/>
    <w:rsid w:val="00ea1435"/>
  </w:style>
  <w:style w:type="numbering" w:styleId="FrListare110231" w:customStyle="1">
    <w:name w:val="Fără Listare110231"/>
    <w:uiPriority w:val="99"/>
    <w:semiHidden/>
    <w:unhideWhenUsed/>
    <w:qFormat/>
    <w:rsid w:val="00ea1435"/>
  </w:style>
  <w:style w:type="numbering" w:styleId="FrListare21231" w:customStyle="1">
    <w:name w:val="Fără Listare21231"/>
    <w:semiHidden/>
    <w:qFormat/>
    <w:rsid w:val="00ea1435"/>
  </w:style>
  <w:style w:type="numbering" w:styleId="FrListare22231" w:customStyle="1">
    <w:name w:val="Fără Listare22231"/>
    <w:semiHidden/>
    <w:qFormat/>
    <w:rsid w:val="00ea1435"/>
  </w:style>
  <w:style w:type="numbering" w:styleId="FrListare23231" w:customStyle="1">
    <w:name w:val="Fără Listare23231"/>
    <w:semiHidden/>
    <w:qFormat/>
    <w:rsid w:val="00ea1435"/>
  </w:style>
  <w:style w:type="numbering" w:styleId="FrListare24231" w:customStyle="1">
    <w:name w:val="Fără Listare24231"/>
    <w:uiPriority w:val="99"/>
    <w:semiHidden/>
    <w:unhideWhenUsed/>
    <w:qFormat/>
    <w:rsid w:val="00ea1435"/>
  </w:style>
  <w:style w:type="numbering" w:styleId="FrListare25231" w:customStyle="1">
    <w:name w:val="Fără Listare25231"/>
    <w:semiHidden/>
    <w:qFormat/>
    <w:rsid w:val="00ea1435"/>
  </w:style>
  <w:style w:type="numbering" w:styleId="FrListare111231" w:customStyle="1">
    <w:name w:val="Fără Listare111231"/>
    <w:semiHidden/>
    <w:unhideWhenUsed/>
    <w:qFormat/>
    <w:rsid w:val="00ea1435"/>
  </w:style>
  <w:style w:type="numbering" w:styleId="FrListare26231" w:customStyle="1">
    <w:name w:val="Fără Listare26231"/>
    <w:uiPriority w:val="99"/>
    <w:semiHidden/>
    <w:unhideWhenUsed/>
    <w:qFormat/>
    <w:rsid w:val="00ea1435"/>
  </w:style>
  <w:style w:type="numbering" w:styleId="FrListare27231" w:customStyle="1">
    <w:name w:val="Fără Listare27231"/>
    <w:semiHidden/>
    <w:qFormat/>
    <w:rsid w:val="00ea1435"/>
  </w:style>
  <w:style w:type="numbering" w:styleId="FrListare3331" w:customStyle="1">
    <w:name w:val="Fără Listare3331"/>
    <w:uiPriority w:val="99"/>
    <w:semiHidden/>
    <w:unhideWhenUsed/>
    <w:qFormat/>
    <w:rsid w:val="00ea1435"/>
  </w:style>
  <w:style w:type="numbering" w:styleId="FrListare11631" w:customStyle="1">
    <w:name w:val="Fără Listare11631"/>
    <w:semiHidden/>
    <w:qFormat/>
    <w:rsid w:val="00ea1435"/>
  </w:style>
  <w:style w:type="numbering" w:styleId="FrListare3431" w:customStyle="1">
    <w:name w:val="Fără Listare3431"/>
    <w:uiPriority w:val="99"/>
    <w:semiHidden/>
    <w:unhideWhenUsed/>
    <w:qFormat/>
    <w:rsid w:val="00ea1435"/>
  </w:style>
  <w:style w:type="numbering" w:styleId="FrListare3531" w:customStyle="1">
    <w:name w:val="Fără Listare3531"/>
    <w:semiHidden/>
    <w:qFormat/>
    <w:rsid w:val="00ea1435"/>
  </w:style>
  <w:style w:type="numbering" w:styleId="FrListare3631" w:customStyle="1">
    <w:name w:val="Fără Listare3631"/>
    <w:semiHidden/>
    <w:qFormat/>
    <w:rsid w:val="00ea1435"/>
  </w:style>
  <w:style w:type="numbering" w:styleId="FrListare3731" w:customStyle="1">
    <w:name w:val="Fără Listare3731"/>
    <w:semiHidden/>
    <w:unhideWhenUsed/>
    <w:qFormat/>
    <w:rsid w:val="00ea1435"/>
  </w:style>
  <w:style w:type="numbering" w:styleId="FrListare3831" w:customStyle="1">
    <w:name w:val="Fără Listare3831"/>
    <w:semiHidden/>
    <w:qFormat/>
    <w:rsid w:val="00ea1435"/>
  </w:style>
  <w:style w:type="numbering" w:styleId="FrListare3931" w:customStyle="1">
    <w:name w:val="Fără Listare3931"/>
    <w:uiPriority w:val="99"/>
    <w:semiHidden/>
    <w:unhideWhenUsed/>
    <w:qFormat/>
    <w:rsid w:val="00ea1435"/>
  </w:style>
  <w:style w:type="numbering" w:styleId="FrListare4031" w:customStyle="1">
    <w:name w:val="Fără Listare4031"/>
    <w:uiPriority w:val="99"/>
    <w:semiHidden/>
    <w:unhideWhenUsed/>
    <w:qFormat/>
    <w:rsid w:val="00ea1435"/>
  </w:style>
  <w:style w:type="numbering" w:styleId="FrListare4331" w:customStyle="1">
    <w:name w:val="Fără Listare4331"/>
    <w:uiPriority w:val="99"/>
    <w:semiHidden/>
    <w:unhideWhenUsed/>
    <w:qFormat/>
    <w:rsid w:val="00ea1435"/>
  </w:style>
  <w:style w:type="numbering" w:styleId="FrListare4431" w:customStyle="1">
    <w:name w:val="Fără Listare4431"/>
    <w:uiPriority w:val="99"/>
    <w:semiHidden/>
    <w:unhideWhenUsed/>
    <w:qFormat/>
    <w:rsid w:val="00ea1435"/>
  </w:style>
  <w:style w:type="numbering" w:styleId="FrListare4531" w:customStyle="1">
    <w:name w:val="Fără Listare4531"/>
    <w:uiPriority w:val="99"/>
    <w:semiHidden/>
    <w:unhideWhenUsed/>
    <w:qFormat/>
    <w:rsid w:val="00ea1435"/>
  </w:style>
  <w:style w:type="numbering" w:styleId="FrListare4631" w:customStyle="1">
    <w:name w:val="Fără Listare4631"/>
    <w:uiPriority w:val="99"/>
    <w:semiHidden/>
    <w:unhideWhenUsed/>
    <w:qFormat/>
    <w:rsid w:val="00ea1435"/>
  </w:style>
  <w:style w:type="numbering" w:styleId="FrListare4731" w:customStyle="1">
    <w:name w:val="Fără Listare4731"/>
    <w:uiPriority w:val="99"/>
    <w:semiHidden/>
    <w:unhideWhenUsed/>
    <w:qFormat/>
    <w:rsid w:val="00ea1435"/>
  </w:style>
  <w:style w:type="numbering" w:styleId="FrListare4831" w:customStyle="1">
    <w:name w:val="Fără Listare4831"/>
    <w:uiPriority w:val="99"/>
    <w:semiHidden/>
    <w:unhideWhenUsed/>
    <w:qFormat/>
    <w:rsid w:val="00ea1435"/>
  </w:style>
  <w:style w:type="numbering" w:styleId="FrListare4931" w:customStyle="1">
    <w:name w:val="Fără Listare4931"/>
    <w:uiPriority w:val="99"/>
    <w:semiHidden/>
    <w:unhideWhenUsed/>
    <w:qFormat/>
    <w:rsid w:val="00ea1435"/>
  </w:style>
  <w:style w:type="numbering" w:styleId="FrListare5031" w:customStyle="1">
    <w:name w:val="Fără Listare5031"/>
    <w:uiPriority w:val="99"/>
    <w:semiHidden/>
    <w:unhideWhenUsed/>
    <w:qFormat/>
    <w:rsid w:val="00ea1435"/>
  </w:style>
  <w:style w:type="numbering" w:styleId="FrListare5331" w:customStyle="1">
    <w:name w:val="Fără Listare5331"/>
    <w:semiHidden/>
    <w:unhideWhenUsed/>
    <w:qFormat/>
    <w:rsid w:val="00ea1435"/>
  </w:style>
  <w:style w:type="numbering" w:styleId="FrListare5431" w:customStyle="1">
    <w:name w:val="Fără Listare5431"/>
    <w:uiPriority w:val="99"/>
    <w:semiHidden/>
    <w:unhideWhenUsed/>
    <w:qFormat/>
    <w:rsid w:val="00ea1435"/>
  </w:style>
  <w:style w:type="numbering" w:styleId="FrListare5531" w:customStyle="1">
    <w:name w:val="Fără Listare5531"/>
    <w:uiPriority w:val="99"/>
    <w:semiHidden/>
    <w:unhideWhenUsed/>
    <w:qFormat/>
    <w:rsid w:val="00ea1435"/>
  </w:style>
  <w:style w:type="numbering" w:styleId="FrListare5631" w:customStyle="1">
    <w:name w:val="Fără Listare5631"/>
    <w:uiPriority w:val="99"/>
    <w:semiHidden/>
    <w:unhideWhenUsed/>
    <w:qFormat/>
    <w:rsid w:val="00ea1435"/>
  </w:style>
  <w:style w:type="numbering" w:styleId="FrListare5731" w:customStyle="1">
    <w:name w:val="Fără Listare5731"/>
    <w:uiPriority w:val="99"/>
    <w:semiHidden/>
    <w:unhideWhenUsed/>
    <w:qFormat/>
    <w:rsid w:val="00ea1435"/>
  </w:style>
  <w:style w:type="numbering" w:styleId="FrListare5831" w:customStyle="1">
    <w:name w:val="Fără Listare5831"/>
    <w:semiHidden/>
    <w:unhideWhenUsed/>
    <w:qFormat/>
    <w:rsid w:val="00ea1435"/>
  </w:style>
  <w:style w:type="numbering" w:styleId="FrListare5931" w:customStyle="1">
    <w:name w:val="Fără Listare5931"/>
    <w:uiPriority w:val="99"/>
    <w:semiHidden/>
    <w:unhideWhenUsed/>
    <w:qFormat/>
    <w:rsid w:val="00ea1435"/>
  </w:style>
  <w:style w:type="numbering" w:styleId="FrListare11731" w:customStyle="1">
    <w:name w:val="Fără Listare11731"/>
    <w:uiPriority w:val="99"/>
    <w:semiHidden/>
    <w:qFormat/>
    <w:rsid w:val="00ea1435"/>
  </w:style>
  <w:style w:type="numbering" w:styleId="FrListare11831" w:customStyle="1">
    <w:name w:val="Fără Listare11831"/>
    <w:uiPriority w:val="99"/>
    <w:semiHidden/>
    <w:qFormat/>
    <w:rsid w:val="00ea1435"/>
  </w:style>
  <w:style w:type="numbering" w:styleId="FrListare21331" w:customStyle="1">
    <w:name w:val="Fără Listare21331"/>
    <w:uiPriority w:val="99"/>
    <w:semiHidden/>
    <w:unhideWhenUsed/>
    <w:qFormat/>
    <w:rsid w:val="00ea1435"/>
  </w:style>
  <w:style w:type="numbering" w:styleId="FrListare31031" w:customStyle="1">
    <w:name w:val="Fără Listare31031"/>
    <w:semiHidden/>
    <w:unhideWhenUsed/>
    <w:qFormat/>
    <w:rsid w:val="00ea1435"/>
  </w:style>
  <w:style w:type="numbering" w:styleId="FrListare41031" w:customStyle="1">
    <w:name w:val="Fără Listare41031"/>
    <w:semiHidden/>
    <w:unhideWhenUsed/>
    <w:qFormat/>
    <w:rsid w:val="00ea1435"/>
  </w:style>
  <w:style w:type="numbering" w:styleId="FrListare51031" w:customStyle="1">
    <w:name w:val="Fără Listare51031"/>
    <w:uiPriority w:val="99"/>
    <w:semiHidden/>
    <w:unhideWhenUsed/>
    <w:qFormat/>
    <w:rsid w:val="00ea1435"/>
  </w:style>
  <w:style w:type="numbering" w:styleId="FrListare6331" w:customStyle="1">
    <w:name w:val="Fără Listare6331"/>
    <w:uiPriority w:val="99"/>
    <w:semiHidden/>
    <w:unhideWhenUsed/>
    <w:qFormat/>
    <w:rsid w:val="00ea1435"/>
  </w:style>
  <w:style w:type="numbering" w:styleId="FrListare7331" w:customStyle="1">
    <w:name w:val="Fără Listare7331"/>
    <w:uiPriority w:val="99"/>
    <w:semiHidden/>
    <w:unhideWhenUsed/>
    <w:qFormat/>
    <w:rsid w:val="00ea1435"/>
  </w:style>
  <w:style w:type="numbering" w:styleId="FrListare8331" w:customStyle="1">
    <w:name w:val="Fără Listare8331"/>
    <w:semiHidden/>
    <w:qFormat/>
    <w:rsid w:val="00ea1435"/>
  </w:style>
  <w:style w:type="numbering" w:styleId="FrListare9331" w:customStyle="1">
    <w:name w:val="Fără Listare9331"/>
    <w:uiPriority w:val="99"/>
    <w:semiHidden/>
    <w:unhideWhenUsed/>
    <w:qFormat/>
    <w:rsid w:val="00ea1435"/>
  </w:style>
  <w:style w:type="numbering" w:styleId="FrListare10331" w:customStyle="1">
    <w:name w:val="Fără Listare10331"/>
    <w:uiPriority w:val="99"/>
    <w:semiHidden/>
    <w:unhideWhenUsed/>
    <w:qFormat/>
    <w:rsid w:val="00ea1435"/>
  </w:style>
  <w:style w:type="numbering" w:styleId="FrListare111331" w:customStyle="1">
    <w:name w:val="Fără Listare111331"/>
    <w:uiPriority w:val="99"/>
    <w:semiHidden/>
    <w:unhideWhenUsed/>
    <w:qFormat/>
    <w:rsid w:val="00ea1435"/>
  </w:style>
  <w:style w:type="numbering" w:styleId="FrListare12331" w:customStyle="1">
    <w:name w:val="Fără Listare12331"/>
    <w:uiPriority w:val="99"/>
    <w:semiHidden/>
    <w:unhideWhenUsed/>
    <w:qFormat/>
    <w:rsid w:val="00ea1435"/>
  </w:style>
  <w:style w:type="numbering" w:styleId="FrListare13331" w:customStyle="1">
    <w:name w:val="Fără Listare13331"/>
    <w:uiPriority w:val="99"/>
    <w:semiHidden/>
    <w:unhideWhenUsed/>
    <w:qFormat/>
    <w:rsid w:val="00ea1435"/>
  </w:style>
  <w:style w:type="numbering" w:styleId="FrListare14331" w:customStyle="1">
    <w:name w:val="Fără Listare14331"/>
    <w:uiPriority w:val="99"/>
    <w:semiHidden/>
    <w:unhideWhenUsed/>
    <w:qFormat/>
    <w:rsid w:val="00ea1435"/>
  </w:style>
  <w:style w:type="numbering" w:styleId="FrListare15331" w:customStyle="1">
    <w:name w:val="Fără Listare15331"/>
    <w:uiPriority w:val="99"/>
    <w:semiHidden/>
    <w:unhideWhenUsed/>
    <w:qFormat/>
    <w:rsid w:val="00ea1435"/>
  </w:style>
  <w:style w:type="numbering" w:styleId="FrListare16331" w:customStyle="1">
    <w:name w:val="Fără Listare16331"/>
    <w:semiHidden/>
    <w:qFormat/>
    <w:rsid w:val="00ea1435"/>
  </w:style>
  <w:style w:type="numbering" w:styleId="FrListare17331" w:customStyle="1">
    <w:name w:val="Fără Listare17331"/>
    <w:uiPriority w:val="99"/>
    <w:semiHidden/>
    <w:unhideWhenUsed/>
    <w:qFormat/>
    <w:rsid w:val="00ea1435"/>
  </w:style>
  <w:style w:type="numbering" w:styleId="FrListare18331" w:customStyle="1">
    <w:name w:val="Fără Listare18331"/>
    <w:uiPriority w:val="99"/>
    <w:semiHidden/>
    <w:unhideWhenUsed/>
    <w:qFormat/>
    <w:rsid w:val="00ea1435"/>
  </w:style>
  <w:style w:type="numbering" w:styleId="FrListare19331" w:customStyle="1">
    <w:name w:val="Fără Listare19331"/>
    <w:uiPriority w:val="99"/>
    <w:semiHidden/>
    <w:unhideWhenUsed/>
    <w:qFormat/>
    <w:rsid w:val="00ea1435"/>
  </w:style>
  <w:style w:type="numbering" w:styleId="FrListare20331" w:customStyle="1">
    <w:name w:val="Fără Listare20331"/>
    <w:uiPriority w:val="99"/>
    <w:semiHidden/>
    <w:unhideWhenUsed/>
    <w:qFormat/>
    <w:rsid w:val="00ea1435"/>
  </w:style>
  <w:style w:type="numbering" w:styleId="FrListare110331" w:customStyle="1">
    <w:name w:val="Fără Listare110331"/>
    <w:uiPriority w:val="99"/>
    <w:semiHidden/>
    <w:unhideWhenUsed/>
    <w:qFormat/>
    <w:rsid w:val="00ea1435"/>
  </w:style>
  <w:style w:type="numbering" w:styleId="FrListare21431" w:customStyle="1">
    <w:name w:val="Fără Listare21431"/>
    <w:uiPriority w:val="99"/>
    <w:semiHidden/>
    <w:unhideWhenUsed/>
    <w:qFormat/>
    <w:rsid w:val="00ea1435"/>
  </w:style>
  <w:style w:type="numbering" w:styleId="FrListare22331" w:customStyle="1">
    <w:name w:val="Fără Listare22331"/>
    <w:uiPriority w:val="99"/>
    <w:semiHidden/>
    <w:unhideWhenUsed/>
    <w:qFormat/>
    <w:rsid w:val="00ea1435"/>
  </w:style>
  <w:style w:type="numbering" w:styleId="FrListare23331" w:customStyle="1">
    <w:name w:val="Fără Listare23331"/>
    <w:uiPriority w:val="99"/>
    <w:semiHidden/>
    <w:unhideWhenUsed/>
    <w:qFormat/>
    <w:rsid w:val="00ea1435"/>
  </w:style>
  <w:style w:type="numbering" w:styleId="FrListare24331" w:customStyle="1">
    <w:name w:val="Fără Listare24331"/>
    <w:semiHidden/>
    <w:qFormat/>
    <w:rsid w:val="00ea1435"/>
  </w:style>
  <w:style w:type="numbering" w:styleId="FrListare1111141" w:customStyle="1">
    <w:name w:val="Fără Listare1111141"/>
    <w:uiPriority w:val="99"/>
    <w:semiHidden/>
    <w:qFormat/>
    <w:rsid w:val="00ea1435"/>
  </w:style>
  <w:style w:type="numbering" w:styleId="FrListare112131" w:customStyle="1">
    <w:name w:val="Fără Listare112131"/>
    <w:uiPriority w:val="99"/>
    <w:semiHidden/>
    <w:qFormat/>
    <w:rsid w:val="00ea1435"/>
  </w:style>
  <w:style w:type="numbering" w:styleId="FrListare25331" w:customStyle="1">
    <w:name w:val="Fără Listare25331"/>
    <w:uiPriority w:val="99"/>
    <w:semiHidden/>
    <w:unhideWhenUsed/>
    <w:qFormat/>
    <w:rsid w:val="00ea1435"/>
  </w:style>
  <w:style w:type="numbering" w:styleId="FrListare31131" w:customStyle="1">
    <w:name w:val="Fără Listare31131"/>
    <w:semiHidden/>
    <w:unhideWhenUsed/>
    <w:qFormat/>
    <w:rsid w:val="00ea1435"/>
  </w:style>
  <w:style w:type="numbering" w:styleId="FrListare41131" w:customStyle="1">
    <w:name w:val="Fără Listare41131"/>
    <w:semiHidden/>
    <w:unhideWhenUsed/>
    <w:qFormat/>
    <w:rsid w:val="00ea1435"/>
  </w:style>
  <w:style w:type="numbering" w:styleId="FrListare51131" w:customStyle="1">
    <w:name w:val="Fără Listare51131"/>
    <w:uiPriority w:val="99"/>
    <w:semiHidden/>
    <w:unhideWhenUsed/>
    <w:qFormat/>
    <w:rsid w:val="00ea1435"/>
  </w:style>
  <w:style w:type="numbering" w:styleId="FrListare61131" w:customStyle="1">
    <w:name w:val="Fără Listare61131"/>
    <w:uiPriority w:val="99"/>
    <w:semiHidden/>
    <w:unhideWhenUsed/>
    <w:qFormat/>
    <w:rsid w:val="00ea1435"/>
  </w:style>
  <w:style w:type="numbering" w:styleId="FrListare71131" w:customStyle="1">
    <w:name w:val="Fără Listare71131"/>
    <w:uiPriority w:val="99"/>
    <w:semiHidden/>
    <w:unhideWhenUsed/>
    <w:qFormat/>
    <w:rsid w:val="00ea1435"/>
  </w:style>
  <w:style w:type="numbering" w:styleId="FrListare81131" w:customStyle="1">
    <w:name w:val="Fără Listare81131"/>
    <w:semiHidden/>
    <w:qFormat/>
    <w:rsid w:val="00ea1435"/>
  </w:style>
  <w:style w:type="numbering" w:styleId="FrListare91131" w:customStyle="1">
    <w:name w:val="Fără Listare91131"/>
    <w:uiPriority w:val="99"/>
    <w:semiHidden/>
    <w:unhideWhenUsed/>
    <w:qFormat/>
    <w:rsid w:val="00ea1435"/>
  </w:style>
  <w:style w:type="numbering" w:styleId="FrListare101131" w:customStyle="1">
    <w:name w:val="Fără Listare101131"/>
    <w:uiPriority w:val="99"/>
    <w:semiHidden/>
    <w:unhideWhenUsed/>
    <w:qFormat/>
    <w:rsid w:val="00ea1435"/>
  </w:style>
  <w:style w:type="numbering" w:styleId="FrListare11111131" w:customStyle="1">
    <w:name w:val="Fără Listare11111131"/>
    <w:uiPriority w:val="99"/>
    <w:semiHidden/>
    <w:unhideWhenUsed/>
    <w:qFormat/>
    <w:rsid w:val="00ea1435"/>
  </w:style>
  <w:style w:type="numbering" w:styleId="FrListare121131" w:customStyle="1">
    <w:name w:val="Fără Listare121131"/>
    <w:uiPriority w:val="99"/>
    <w:semiHidden/>
    <w:unhideWhenUsed/>
    <w:qFormat/>
    <w:rsid w:val="00ea1435"/>
  </w:style>
  <w:style w:type="numbering" w:styleId="FrListare131131" w:customStyle="1">
    <w:name w:val="Fără Listare131131"/>
    <w:uiPriority w:val="99"/>
    <w:semiHidden/>
    <w:unhideWhenUsed/>
    <w:qFormat/>
    <w:rsid w:val="00ea1435"/>
  </w:style>
  <w:style w:type="numbering" w:styleId="FrListare141131" w:customStyle="1">
    <w:name w:val="Fără Listare141131"/>
    <w:uiPriority w:val="99"/>
    <w:semiHidden/>
    <w:unhideWhenUsed/>
    <w:qFormat/>
    <w:rsid w:val="00ea1435"/>
  </w:style>
  <w:style w:type="numbering" w:styleId="FrListare151131" w:customStyle="1">
    <w:name w:val="Fără Listare151131"/>
    <w:uiPriority w:val="99"/>
    <w:semiHidden/>
    <w:unhideWhenUsed/>
    <w:qFormat/>
    <w:rsid w:val="00ea1435"/>
  </w:style>
  <w:style w:type="numbering" w:styleId="FrListare161131" w:customStyle="1">
    <w:name w:val="Fără Listare161131"/>
    <w:semiHidden/>
    <w:qFormat/>
    <w:rsid w:val="00ea1435"/>
  </w:style>
  <w:style w:type="numbering" w:styleId="FrListare171131" w:customStyle="1">
    <w:name w:val="Fără Listare171131"/>
    <w:uiPriority w:val="99"/>
    <w:semiHidden/>
    <w:unhideWhenUsed/>
    <w:qFormat/>
    <w:rsid w:val="00ea1435"/>
  </w:style>
  <w:style w:type="numbering" w:styleId="FrListare181131" w:customStyle="1">
    <w:name w:val="Fără Listare181131"/>
    <w:uiPriority w:val="99"/>
    <w:semiHidden/>
    <w:unhideWhenUsed/>
    <w:qFormat/>
    <w:rsid w:val="00ea1435"/>
  </w:style>
  <w:style w:type="numbering" w:styleId="FrListare191131" w:customStyle="1">
    <w:name w:val="Fără Listare191131"/>
    <w:uiPriority w:val="99"/>
    <w:semiHidden/>
    <w:unhideWhenUsed/>
    <w:qFormat/>
    <w:rsid w:val="00ea1435"/>
  </w:style>
  <w:style w:type="numbering" w:styleId="FrListare201131" w:customStyle="1">
    <w:name w:val="Fără Listare201131"/>
    <w:uiPriority w:val="99"/>
    <w:semiHidden/>
    <w:unhideWhenUsed/>
    <w:qFormat/>
    <w:rsid w:val="00ea1435"/>
  </w:style>
  <w:style w:type="numbering" w:styleId="FrListare1101131" w:customStyle="1">
    <w:name w:val="Fără Listare1101131"/>
    <w:uiPriority w:val="99"/>
    <w:semiHidden/>
    <w:unhideWhenUsed/>
    <w:qFormat/>
    <w:rsid w:val="00ea1435"/>
  </w:style>
  <w:style w:type="numbering" w:styleId="FrListare211131" w:customStyle="1">
    <w:name w:val="Fără Listare211131"/>
    <w:uiPriority w:val="99"/>
    <w:semiHidden/>
    <w:unhideWhenUsed/>
    <w:qFormat/>
    <w:rsid w:val="00ea1435"/>
  </w:style>
  <w:style w:type="numbering" w:styleId="FrListare221131" w:customStyle="1">
    <w:name w:val="Fără Listare221131"/>
    <w:uiPriority w:val="99"/>
    <w:semiHidden/>
    <w:unhideWhenUsed/>
    <w:qFormat/>
    <w:rsid w:val="00ea1435"/>
  </w:style>
  <w:style w:type="numbering" w:styleId="FrListare231131" w:customStyle="1">
    <w:name w:val="Fără Listare231131"/>
    <w:uiPriority w:val="99"/>
    <w:semiHidden/>
    <w:unhideWhenUsed/>
    <w:qFormat/>
    <w:rsid w:val="00ea1435"/>
  </w:style>
  <w:style w:type="numbering" w:styleId="FrListare26331" w:customStyle="1">
    <w:name w:val="Fără Listare26331"/>
    <w:uiPriority w:val="99"/>
    <w:semiHidden/>
    <w:unhideWhenUsed/>
    <w:qFormat/>
    <w:rsid w:val="00ea1435"/>
  </w:style>
  <w:style w:type="numbering" w:styleId="FrListare6031" w:customStyle="1">
    <w:name w:val="Fără Listare6031"/>
    <w:uiPriority w:val="99"/>
    <w:semiHidden/>
    <w:unhideWhenUsed/>
    <w:qFormat/>
    <w:rsid w:val="00ea1435"/>
  </w:style>
  <w:style w:type="numbering" w:styleId="FrListare6431" w:customStyle="1">
    <w:name w:val="Fără Listare6431"/>
    <w:uiPriority w:val="99"/>
    <w:semiHidden/>
    <w:unhideWhenUsed/>
    <w:qFormat/>
    <w:rsid w:val="00ea1435"/>
  </w:style>
  <w:style w:type="numbering" w:styleId="FrListare6531" w:customStyle="1">
    <w:name w:val="Fără Listare6531"/>
    <w:uiPriority w:val="99"/>
    <w:semiHidden/>
    <w:unhideWhenUsed/>
    <w:qFormat/>
    <w:rsid w:val="00ea1435"/>
  </w:style>
  <w:style w:type="numbering" w:styleId="FrListare6631" w:customStyle="1">
    <w:name w:val="Fără Listare6631"/>
    <w:uiPriority w:val="99"/>
    <w:semiHidden/>
    <w:unhideWhenUsed/>
    <w:qFormat/>
    <w:rsid w:val="00ea1435"/>
  </w:style>
  <w:style w:type="numbering" w:styleId="FrListare6731" w:customStyle="1">
    <w:name w:val="Fără Listare6731"/>
    <w:uiPriority w:val="99"/>
    <w:semiHidden/>
    <w:qFormat/>
    <w:rsid w:val="00ea1435"/>
  </w:style>
  <w:style w:type="numbering" w:styleId="FrListare6831" w:customStyle="1">
    <w:name w:val="Fără Listare6831"/>
    <w:uiPriority w:val="99"/>
    <w:semiHidden/>
    <w:unhideWhenUsed/>
    <w:qFormat/>
    <w:rsid w:val="00ea1435"/>
  </w:style>
  <w:style w:type="numbering" w:styleId="FrListare6921" w:customStyle="1">
    <w:name w:val="Fără Listare6921"/>
    <w:uiPriority w:val="99"/>
    <w:semiHidden/>
    <w:qFormat/>
    <w:rsid w:val="00ea1435"/>
  </w:style>
  <w:style w:type="numbering" w:styleId="FrListare11921" w:customStyle="1">
    <w:name w:val="Fără Listare11921"/>
    <w:uiPriority w:val="99"/>
    <w:semiHidden/>
    <w:unhideWhenUsed/>
    <w:qFormat/>
    <w:rsid w:val="00ea1435"/>
  </w:style>
  <w:style w:type="numbering" w:styleId="FrListare111021" w:customStyle="1">
    <w:name w:val="Fără Listare111021"/>
    <w:uiPriority w:val="99"/>
    <w:semiHidden/>
    <w:qFormat/>
    <w:rsid w:val="00ea1435"/>
  </w:style>
  <w:style w:type="numbering" w:styleId="FrListare21521" w:customStyle="1">
    <w:name w:val="Fără Listare21521"/>
    <w:uiPriority w:val="99"/>
    <w:semiHidden/>
    <w:unhideWhenUsed/>
    <w:qFormat/>
    <w:rsid w:val="00ea1435"/>
  </w:style>
  <w:style w:type="numbering" w:styleId="FrListare31221" w:customStyle="1">
    <w:name w:val="Fără Listare31221"/>
    <w:semiHidden/>
    <w:unhideWhenUsed/>
    <w:qFormat/>
    <w:rsid w:val="00ea1435"/>
  </w:style>
  <w:style w:type="numbering" w:styleId="FrListare41221" w:customStyle="1">
    <w:name w:val="Fără Listare41221"/>
    <w:semiHidden/>
    <w:unhideWhenUsed/>
    <w:qFormat/>
    <w:rsid w:val="00ea1435"/>
  </w:style>
  <w:style w:type="numbering" w:styleId="FrListare51221" w:customStyle="1">
    <w:name w:val="Fără Listare51221"/>
    <w:uiPriority w:val="99"/>
    <w:semiHidden/>
    <w:unhideWhenUsed/>
    <w:qFormat/>
    <w:rsid w:val="00ea1435"/>
  </w:style>
  <w:style w:type="numbering" w:styleId="FrListare61021" w:customStyle="1">
    <w:name w:val="Fără Listare61021"/>
    <w:uiPriority w:val="99"/>
    <w:semiHidden/>
    <w:unhideWhenUsed/>
    <w:qFormat/>
    <w:rsid w:val="00ea1435"/>
  </w:style>
  <w:style w:type="numbering" w:styleId="FrListare7421" w:customStyle="1">
    <w:name w:val="Fără Listare7421"/>
    <w:uiPriority w:val="99"/>
    <w:semiHidden/>
    <w:unhideWhenUsed/>
    <w:qFormat/>
    <w:rsid w:val="00ea1435"/>
  </w:style>
  <w:style w:type="numbering" w:styleId="FrListare8421" w:customStyle="1">
    <w:name w:val="Fără Listare8421"/>
    <w:semiHidden/>
    <w:qFormat/>
    <w:rsid w:val="00ea1435"/>
  </w:style>
  <w:style w:type="numbering" w:styleId="FrListare9421" w:customStyle="1">
    <w:name w:val="Fără Listare9421"/>
    <w:uiPriority w:val="99"/>
    <w:semiHidden/>
    <w:unhideWhenUsed/>
    <w:qFormat/>
    <w:rsid w:val="00ea1435"/>
  </w:style>
  <w:style w:type="numbering" w:styleId="FrListare10421" w:customStyle="1">
    <w:name w:val="Fără Listare10421"/>
    <w:uiPriority w:val="99"/>
    <w:semiHidden/>
    <w:unhideWhenUsed/>
    <w:qFormat/>
    <w:rsid w:val="00ea1435"/>
  </w:style>
  <w:style w:type="numbering" w:styleId="FrListare111421" w:customStyle="1">
    <w:name w:val="Fără Listare111421"/>
    <w:uiPriority w:val="99"/>
    <w:semiHidden/>
    <w:unhideWhenUsed/>
    <w:qFormat/>
    <w:rsid w:val="00ea1435"/>
  </w:style>
  <w:style w:type="numbering" w:styleId="FrListare12421" w:customStyle="1">
    <w:name w:val="Fără Listare12421"/>
    <w:uiPriority w:val="99"/>
    <w:semiHidden/>
    <w:unhideWhenUsed/>
    <w:qFormat/>
    <w:rsid w:val="00ea1435"/>
  </w:style>
  <w:style w:type="numbering" w:styleId="FrListare13421" w:customStyle="1">
    <w:name w:val="Fără Listare13421"/>
    <w:uiPriority w:val="99"/>
    <w:semiHidden/>
    <w:unhideWhenUsed/>
    <w:qFormat/>
    <w:rsid w:val="00ea1435"/>
  </w:style>
  <w:style w:type="numbering" w:styleId="FrListare14421" w:customStyle="1">
    <w:name w:val="Fără Listare14421"/>
    <w:uiPriority w:val="99"/>
    <w:semiHidden/>
    <w:unhideWhenUsed/>
    <w:qFormat/>
    <w:rsid w:val="00ea1435"/>
  </w:style>
  <w:style w:type="numbering" w:styleId="FrListare15421" w:customStyle="1">
    <w:name w:val="Fără Listare15421"/>
    <w:uiPriority w:val="99"/>
    <w:semiHidden/>
    <w:unhideWhenUsed/>
    <w:qFormat/>
    <w:rsid w:val="00ea1435"/>
  </w:style>
  <w:style w:type="numbering" w:styleId="FrListare16421" w:customStyle="1">
    <w:name w:val="Fără Listare16421"/>
    <w:semiHidden/>
    <w:qFormat/>
    <w:rsid w:val="00ea1435"/>
  </w:style>
  <w:style w:type="numbering" w:styleId="FrListare17421" w:customStyle="1">
    <w:name w:val="Fără Listare17421"/>
    <w:uiPriority w:val="99"/>
    <w:semiHidden/>
    <w:unhideWhenUsed/>
    <w:qFormat/>
    <w:rsid w:val="00ea1435"/>
  </w:style>
  <w:style w:type="numbering" w:styleId="FrListare18421" w:customStyle="1">
    <w:name w:val="Fără Listare18421"/>
    <w:uiPriority w:val="99"/>
    <w:semiHidden/>
    <w:unhideWhenUsed/>
    <w:qFormat/>
    <w:rsid w:val="00ea1435"/>
  </w:style>
  <w:style w:type="numbering" w:styleId="FrListare19421" w:customStyle="1">
    <w:name w:val="Fără Listare19421"/>
    <w:uiPriority w:val="99"/>
    <w:semiHidden/>
    <w:unhideWhenUsed/>
    <w:qFormat/>
    <w:rsid w:val="00ea1435"/>
  </w:style>
  <w:style w:type="numbering" w:styleId="FrListare20421" w:customStyle="1">
    <w:name w:val="Fără Listare20421"/>
    <w:uiPriority w:val="99"/>
    <w:semiHidden/>
    <w:unhideWhenUsed/>
    <w:qFormat/>
    <w:rsid w:val="00ea1435"/>
  </w:style>
  <w:style w:type="numbering" w:styleId="FrListare110421" w:customStyle="1">
    <w:name w:val="Fără Listare110421"/>
    <w:uiPriority w:val="99"/>
    <w:semiHidden/>
    <w:unhideWhenUsed/>
    <w:qFormat/>
    <w:rsid w:val="00ea1435"/>
  </w:style>
  <w:style w:type="numbering" w:styleId="FrListare21621" w:customStyle="1">
    <w:name w:val="Fără Listare21621"/>
    <w:uiPriority w:val="99"/>
    <w:semiHidden/>
    <w:unhideWhenUsed/>
    <w:qFormat/>
    <w:rsid w:val="00ea1435"/>
  </w:style>
  <w:style w:type="numbering" w:styleId="FrListare22421" w:customStyle="1">
    <w:name w:val="Fără Listare22421"/>
    <w:uiPriority w:val="99"/>
    <w:semiHidden/>
    <w:unhideWhenUsed/>
    <w:qFormat/>
    <w:rsid w:val="00ea1435"/>
  </w:style>
  <w:style w:type="numbering" w:styleId="FrListare23421" w:customStyle="1">
    <w:name w:val="Fără Listare23421"/>
    <w:uiPriority w:val="99"/>
    <w:semiHidden/>
    <w:unhideWhenUsed/>
    <w:qFormat/>
    <w:rsid w:val="00ea1435"/>
  </w:style>
  <w:style w:type="numbering" w:styleId="FrListare24421" w:customStyle="1">
    <w:name w:val="Fără Listare24421"/>
    <w:semiHidden/>
    <w:qFormat/>
    <w:rsid w:val="00ea1435"/>
  </w:style>
  <w:style w:type="numbering" w:styleId="FrListare1111231" w:customStyle="1">
    <w:name w:val="Fără Listare1111231"/>
    <w:uiPriority w:val="99"/>
    <w:semiHidden/>
    <w:qFormat/>
    <w:rsid w:val="00ea1435"/>
  </w:style>
  <w:style w:type="numbering" w:styleId="FrListare112221" w:customStyle="1">
    <w:name w:val="Fără Listare112221"/>
    <w:uiPriority w:val="99"/>
    <w:semiHidden/>
    <w:qFormat/>
    <w:rsid w:val="00ea1435"/>
  </w:style>
  <w:style w:type="numbering" w:styleId="FrListare25421" w:customStyle="1">
    <w:name w:val="Fără Listare25421"/>
    <w:uiPriority w:val="99"/>
    <w:semiHidden/>
    <w:unhideWhenUsed/>
    <w:qFormat/>
    <w:rsid w:val="00ea1435"/>
  </w:style>
  <w:style w:type="numbering" w:styleId="FrListare31321" w:customStyle="1">
    <w:name w:val="Fără Listare31321"/>
    <w:semiHidden/>
    <w:unhideWhenUsed/>
    <w:qFormat/>
    <w:rsid w:val="00ea1435"/>
  </w:style>
  <w:style w:type="numbering" w:styleId="FrListare41321" w:customStyle="1">
    <w:name w:val="Fără Listare41321"/>
    <w:semiHidden/>
    <w:unhideWhenUsed/>
    <w:qFormat/>
    <w:rsid w:val="00ea1435"/>
  </w:style>
  <w:style w:type="numbering" w:styleId="FrListare51321" w:customStyle="1">
    <w:name w:val="Fără Listare51321"/>
    <w:uiPriority w:val="99"/>
    <w:semiHidden/>
    <w:unhideWhenUsed/>
    <w:qFormat/>
    <w:rsid w:val="00ea1435"/>
  </w:style>
  <w:style w:type="numbering" w:styleId="FrListare61221" w:customStyle="1">
    <w:name w:val="Fără Listare61221"/>
    <w:uiPriority w:val="99"/>
    <w:semiHidden/>
    <w:unhideWhenUsed/>
    <w:qFormat/>
    <w:rsid w:val="00ea1435"/>
  </w:style>
  <w:style w:type="numbering" w:styleId="FrListare71221" w:customStyle="1">
    <w:name w:val="Fără Listare71221"/>
    <w:uiPriority w:val="99"/>
    <w:semiHidden/>
    <w:unhideWhenUsed/>
    <w:qFormat/>
    <w:rsid w:val="00ea1435"/>
  </w:style>
  <w:style w:type="numbering" w:styleId="FrListare81221" w:customStyle="1">
    <w:name w:val="Fără Listare81221"/>
    <w:semiHidden/>
    <w:qFormat/>
    <w:rsid w:val="00ea1435"/>
  </w:style>
  <w:style w:type="numbering" w:styleId="FrListare91221" w:customStyle="1">
    <w:name w:val="Fără Listare91221"/>
    <w:uiPriority w:val="99"/>
    <w:semiHidden/>
    <w:unhideWhenUsed/>
    <w:qFormat/>
    <w:rsid w:val="00ea1435"/>
  </w:style>
  <w:style w:type="numbering" w:styleId="FrListare101221" w:customStyle="1">
    <w:name w:val="Fără Listare101221"/>
    <w:uiPriority w:val="99"/>
    <w:semiHidden/>
    <w:unhideWhenUsed/>
    <w:qFormat/>
    <w:rsid w:val="00ea1435"/>
  </w:style>
  <w:style w:type="numbering" w:styleId="FrListare11111221" w:customStyle="1">
    <w:name w:val="Fără Listare11111221"/>
    <w:uiPriority w:val="99"/>
    <w:semiHidden/>
    <w:unhideWhenUsed/>
    <w:qFormat/>
    <w:rsid w:val="00ea1435"/>
  </w:style>
  <w:style w:type="numbering" w:styleId="FrListare121221" w:customStyle="1">
    <w:name w:val="Fără Listare121221"/>
    <w:uiPriority w:val="99"/>
    <w:semiHidden/>
    <w:unhideWhenUsed/>
    <w:qFormat/>
    <w:rsid w:val="00ea1435"/>
  </w:style>
  <w:style w:type="numbering" w:styleId="FrListare131221" w:customStyle="1">
    <w:name w:val="Fără Listare131221"/>
    <w:uiPriority w:val="99"/>
    <w:semiHidden/>
    <w:unhideWhenUsed/>
    <w:qFormat/>
    <w:rsid w:val="00ea1435"/>
  </w:style>
  <w:style w:type="numbering" w:styleId="FrListare141221" w:customStyle="1">
    <w:name w:val="Fără Listare141221"/>
    <w:uiPriority w:val="99"/>
    <w:semiHidden/>
    <w:unhideWhenUsed/>
    <w:qFormat/>
    <w:rsid w:val="00ea1435"/>
  </w:style>
  <w:style w:type="numbering" w:styleId="FrListare151221" w:customStyle="1">
    <w:name w:val="Fără Listare151221"/>
    <w:uiPriority w:val="99"/>
    <w:semiHidden/>
    <w:unhideWhenUsed/>
    <w:qFormat/>
    <w:rsid w:val="00ea1435"/>
  </w:style>
  <w:style w:type="numbering" w:styleId="FrListare161221" w:customStyle="1">
    <w:name w:val="Fără Listare161221"/>
    <w:semiHidden/>
    <w:qFormat/>
    <w:rsid w:val="00ea1435"/>
  </w:style>
  <w:style w:type="numbering" w:styleId="FrListare171221" w:customStyle="1">
    <w:name w:val="Fără Listare171221"/>
    <w:uiPriority w:val="99"/>
    <w:semiHidden/>
    <w:unhideWhenUsed/>
    <w:qFormat/>
    <w:rsid w:val="00ea1435"/>
  </w:style>
  <w:style w:type="numbering" w:styleId="FrListare181221" w:customStyle="1">
    <w:name w:val="Fără Listare181221"/>
    <w:uiPriority w:val="99"/>
    <w:semiHidden/>
    <w:unhideWhenUsed/>
    <w:qFormat/>
    <w:rsid w:val="00ea1435"/>
  </w:style>
  <w:style w:type="numbering" w:styleId="FrListare191221" w:customStyle="1">
    <w:name w:val="Fără Listare191221"/>
    <w:uiPriority w:val="99"/>
    <w:semiHidden/>
    <w:unhideWhenUsed/>
    <w:qFormat/>
    <w:rsid w:val="00ea1435"/>
  </w:style>
  <w:style w:type="numbering" w:styleId="FrListare201221" w:customStyle="1">
    <w:name w:val="Fără Listare201221"/>
    <w:uiPriority w:val="99"/>
    <w:semiHidden/>
    <w:unhideWhenUsed/>
    <w:qFormat/>
    <w:rsid w:val="00ea1435"/>
  </w:style>
  <w:style w:type="numbering" w:styleId="FrListare1101221" w:customStyle="1">
    <w:name w:val="Fără Listare1101221"/>
    <w:uiPriority w:val="99"/>
    <w:semiHidden/>
    <w:unhideWhenUsed/>
    <w:qFormat/>
    <w:rsid w:val="00ea1435"/>
  </w:style>
  <w:style w:type="numbering" w:styleId="FrListare211221" w:customStyle="1">
    <w:name w:val="Fără Listare211221"/>
    <w:uiPriority w:val="99"/>
    <w:semiHidden/>
    <w:unhideWhenUsed/>
    <w:qFormat/>
    <w:rsid w:val="00ea1435"/>
  </w:style>
  <w:style w:type="numbering" w:styleId="FrListare221221" w:customStyle="1">
    <w:name w:val="Fără Listare221221"/>
    <w:uiPriority w:val="99"/>
    <w:semiHidden/>
    <w:unhideWhenUsed/>
    <w:qFormat/>
    <w:rsid w:val="00ea1435"/>
  </w:style>
  <w:style w:type="numbering" w:styleId="FrListare231221" w:customStyle="1">
    <w:name w:val="Fără Listare231221"/>
    <w:uiPriority w:val="99"/>
    <w:semiHidden/>
    <w:unhideWhenUsed/>
    <w:qFormat/>
    <w:rsid w:val="00ea1435"/>
  </w:style>
  <w:style w:type="numbering" w:styleId="FrListare26421" w:customStyle="1">
    <w:name w:val="Fără Listare26421"/>
    <w:uiPriority w:val="99"/>
    <w:semiHidden/>
    <w:unhideWhenUsed/>
    <w:qFormat/>
    <w:rsid w:val="00ea1435"/>
  </w:style>
  <w:style w:type="numbering" w:styleId="FrListare27321" w:customStyle="1">
    <w:name w:val="Fără Listare27321"/>
    <w:uiPriority w:val="99"/>
    <w:semiHidden/>
    <w:unhideWhenUsed/>
    <w:qFormat/>
    <w:rsid w:val="00ea1435"/>
  </w:style>
  <w:style w:type="numbering" w:styleId="FrListare113131" w:customStyle="1">
    <w:name w:val="Fără Listare113131"/>
    <w:uiPriority w:val="99"/>
    <w:semiHidden/>
    <w:unhideWhenUsed/>
    <w:qFormat/>
    <w:rsid w:val="00ea1435"/>
  </w:style>
  <w:style w:type="numbering" w:styleId="FrListare28131" w:customStyle="1">
    <w:name w:val="Fără Listare28131"/>
    <w:uiPriority w:val="99"/>
    <w:semiHidden/>
    <w:unhideWhenUsed/>
    <w:qFormat/>
    <w:rsid w:val="00ea1435"/>
  </w:style>
  <w:style w:type="numbering" w:styleId="FrListare32131" w:customStyle="1">
    <w:name w:val="Fără Listare32131"/>
    <w:semiHidden/>
    <w:qFormat/>
    <w:rsid w:val="00ea1435"/>
  </w:style>
  <w:style w:type="numbering" w:styleId="FrListare42131" w:customStyle="1">
    <w:name w:val="Fără Listare42131"/>
    <w:semiHidden/>
    <w:qFormat/>
    <w:rsid w:val="00ea1435"/>
  </w:style>
  <w:style w:type="numbering" w:styleId="FrListare52131" w:customStyle="1">
    <w:name w:val="Fără Listare52131"/>
    <w:uiPriority w:val="99"/>
    <w:semiHidden/>
    <w:unhideWhenUsed/>
    <w:qFormat/>
    <w:rsid w:val="00ea1435"/>
  </w:style>
  <w:style w:type="numbering" w:styleId="FrListare62131" w:customStyle="1">
    <w:name w:val="Fără Listare62131"/>
    <w:uiPriority w:val="99"/>
    <w:semiHidden/>
    <w:unhideWhenUsed/>
    <w:qFormat/>
    <w:rsid w:val="00ea1435"/>
  </w:style>
  <w:style w:type="numbering" w:styleId="FrListare72131" w:customStyle="1">
    <w:name w:val="Fără Listare72131"/>
    <w:uiPriority w:val="99"/>
    <w:semiHidden/>
    <w:unhideWhenUsed/>
    <w:qFormat/>
    <w:rsid w:val="00ea1435"/>
  </w:style>
  <w:style w:type="numbering" w:styleId="FrListare82131" w:customStyle="1">
    <w:name w:val="Fără Listare82131"/>
    <w:semiHidden/>
    <w:qFormat/>
    <w:rsid w:val="00ea1435"/>
  </w:style>
  <w:style w:type="numbering" w:styleId="FrListare92131" w:customStyle="1">
    <w:name w:val="Fără Listare92131"/>
    <w:uiPriority w:val="99"/>
    <w:semiHidden/>
    <w:unhideWhenUsed/>
    <w:qFormat/>
    <w:rsid w:val="00ea1435"/>
  </w:style>
  <w:style w:type="numbering" w:styleId="FrListare102131" w:customStyle="1">
    <w:name w:val="Fără Listare102131"/>
    <w:uiPriority w:val="99"/>
    <w:semiHidden/>
    <w:unhideWhenUsed/>
    <w:qFormat/>
    <w:rsid w:val="00ea1435"/>
  </w:style>
  <w:style w:type="numbering" w:styleId="FrListare114131" w:customStyle="1">
    <w:name w:val="Fără Listare114131"/>
    <w:uiPriority w:val="99"/>
    <w:semiHidden/>
    <w:unhideWhenUsed/>
    <w:qFormat/>
    <w:rsid w:val="00ea1435"/>
  </w:style>
  <w:style w:type="numbering" w:styleId="FrListare122131" w:customStyle="1">
    <w:name w:val="Fără Listare122131"/>
    <w:uiPriority w:val="99"/>
    <w:semiHidden/>
    <w:unhideWhenUsed/>
    <w:qFormat/>
    <w:rsid w:val="00ea1435"/>
  </w:style>
  <w:style w:type="numbering" w:styleId="FrListare132131" w:customStyle="1">
    <w:name w:val="Fără Listare132131"/>
    <w:uiPriority w:val="99"/>
    <w:semiHidden/>
    <w:unhideWhenUsed/>
    <w:qFormat/>
    <w:rsid w:val="00ea1435"/>
  </w:style>
  <w:style w:type="numbering" w:styleId="FrListare142131" w:customStyle="1">
    <w:name w:val="Fără Listare142131"/>
    <w:uiPriority w:val="99"/>
    <w:semiHidden/>
    <w:unhideWhenUsed/>
    <w:qFormat/>
    <w:rsid w:val="00ea1435"/>
  </w:style>
  <w:style w:type="numbering" w:styleId="FrListare152131" w:customStyle="1">
    <w:name w:val="Fără Listare152131"/>
    <w:uiPriority w:val="99"/>
    <w:semiHidden/>
    <w:unhideWhenUsed/>
    <w:qFormat/>
    <w:rsid w:val="00ea1435"/>
  </w:style>
  <w:style w:type="numbering" w:styleId="FrListare162131" w:customStyle="1">
    <w:name w:val="Fără Listare162131"/>
    <w:semiHidden/>
    <w:qFormat/>
    <w:rsid w:val="00ea1435"/>
  </w:style>
  <w:style w:type="numbering" w:styleId="FrListare172131" w:customStyle="1">
    <w:name w:val="Fără Listare172131"/>
    <w:uiPriority w:val="99"/>
    <w:semiHidden/>
    <w:unhideWhenUsed/>
    <w:qFormat/>
    <w:rsid w:val="00ea1435"/>
  </w:style>
  <w:style w:type="numbering" w:styleId="FrListare182131" w:customStyle="1">
    <w:name w:val="Fără Listare182131"/>
    <w:uiPriority w:val="99"/>
    <w:semiHidden/>
    <w:unhideWhenUsed/>
    <w:qFormat/>
    <w:rsid w:val="00ea1435"/>
  </w:style>
  <w:style w:type="numbering" w:styleId="FrListare192131" w:customStyle="1">
    <w:name w:val="Fără Listare192131"/>
    <w:uiPriority w:val="99"/>
    <w:semiHidden/>
    <w:unhideWhenUsed/>
    <w:qFormat/>
    <w:rsid w:val="00ea1435"/>
  </w:style>
  <w:style w:type="numbering" w:styleId="FrListare202131" w:customStyle="1">
    <w:name w:val="Fără Listare202131"/>
    <w:uiPriority w:val="99"/>
    <w:semiHidden/>
    <w:unhideWhenUsed/>
    <w:qFormat/>
    <w:rsid w:val="00ea1435"/>
  </w:style>
  <w:style w:type="numbering" w:styleId="FrListare1102131" w:customStyle="1">
    <w:name w:val="Fără Listare1102131"/>
    <w:uiPriority w:val="99"/>
    <w:semiHidden/>
    <w:unhideWhenUsed/>
    <w:qFormat/>
    <w:rsid w:val="00ea1435"/>
  </w:style>
  <w:style w:type="numbering" w:styleId="FrListare212131" w:customStyle="1">
    <w:name w:val="Fără Listare212131"/>
    <w:semiHidden/>
    <w:qFormat/>
    <w:rsid w:val="00ea1435"/>
  </w:style>
  <w:style w:type="numbering" w:styleId="FrListare222131" w:customStyle="1">
    <w:name w:val="Fără Listare222131"/>
    <w:semiHidden/>
    <w:qFormat/>
    <w:rsid w:val="00ea1435"/>
  </w:style>
  <w:style w:type="numbering" w:styleId="FrListare232131" w:customStyle="1">
    <w:name w:val="Fără Listare232131"/>
    <w:semiHidden/>
    <w:qFormat/>
    <w:rsid w:val="00ea1435"/>
  </w:style>
  <w:style w:type="numbering" w:styleId="FrListare241131" w:customStyle="1">
    <w:name w:val="Fără Listare241131"/>
    <w:uiPriority w:val="99"/>
    <w:semiHidden/>
    <w:unhideWhenUsed/>
    <w:qFormat/>
    <w:rsid w:val="00ea1435"/>
  </w:style>
  <w:style w:type="numbering" w:styleId="FrListare251131" w:customStyle="1">
    <w:name w:val="Fără Listare251131"/>
    <w:semiHidden/>
    <w:qFormat/>
    <w:rsid w:val="00ea1435"/>
  </w:style>
  <w:style w:type="numbering" w:styleId="FrListare1112131" w:customStyle="1">
    <w:name w:val="Fără Listare1112131"/>
    <w:semiHidden/>
    <w:unhideWhenUsed/>
    <w:qFormat/>
    <w:rsid w:val="00ea1435"/>
  </w:style>
  <w:style w:type="numbering" w:styleId="FrListare261131" w:customStyle="1">
    <w:name w:val="Fără Listare261131"/>
    <w:uiPriority w:val="99"/>
    <w:semiHidden/>
    <w:unhideWhenUsed/>
    <w:qFormat/>
    <w:rsid w:val="00ea1435"/>
  </w:style>
  <w:style w:type="numbering" w:styleId="FrListare271131" w:customStyle="1">
    <w:name w:val="Fără Listare271131"/>
    <w:semiHidden/>
    <w:qFormat/>
    <w:rsid w:val="00ea1435"/>
  </w:style>
  <w:style w:type="numbering" w:styleId="FrListare281121" w:customStyle="1">
    <w:name w:val="Fără Listare281121"/>
    <w:uiPriority w:val="99"/>
    <w:semiHidden/>
    <w:unhideWhenUsed/>
    <w:qFormat/>
    <w:rsid w:val="00ea1435"/>
  </w:style>
  <w:style w:type="numbering" w:styleId="FrListare1121131" w:customStyle="1">
    <w:name w:val="Fără Listare1121131"/>
    <w:uiPriority w:val="99"/>
    <w:semiHidden/>
    <w:unhideWhenUsed/>
    <w:qFormat/>
    <w:rsid w:val="00ea1435"/>
  </w:style>
  <w:style w:type="numbering" w:styleId="FrListare29121" w:customStyle="1">
    <w:name w:val="Fără Listare29121"/>
    <w:uiPriority w:val="99"/>
    <w:semiHidden/>
    <w:unhideWhenUsed/>
    <w:qFormat/>
    <w:rsid w:val="00ea1435"/>
  </w:style>
  <w:style w:type="numbering" w:styleId="FrListare311131" w:customStyle="1">
    <w:name w:val="Fără Listare311131"/>
    <w:semiHidden/>
    <w:qFormat/>
    <w:rsid w:val="00ea1435"/>
  </w:style>
  <w:style w:type="numbering" w:styleId="FrListare411131" w:customStyle="1">
    <w:name w:val="Fără Listare411131"/>
    <w:semiHidden/>
    <w:qFormat/>
    <w:rsid w:val="00ea1435"/>
  </w:style>
  <w:style w:type="numbering" w:styleId="FrListare511131" w:customStyle="1">
    <w:name w:val="Fără Listare511131"/>
    <w:uiPriority w:val="99"/>
    <w:semiHidden/>
    <w:unhideWhenUsed/>
    <w:qFormat/>
    <w:rsid w:val="00ea1435"/>
  </w:style>
  <w:style w:type="numbering" w:styleId="FrListare611131" w:customStyle="1">
    <w:name w:val="Fără Listare611131"/>
    <w:uiPriority w:val="99"/>
    <w:semiHidden/>
    <w:unhideWhenUsed/>
    <w:qFormat/>
    <w:rsid w:val="00ea1435"/>
  </w:style>
  <w:style w:type="numbering" w:styleId="FrListare711131" w:customStyle="1">
    <w:name w:val="Fără Listare711131"/>
    <w:uiPriority w:val="99"/>
    <w:semiHidden/>
    <w:unhideWhenUsed/>
    <w:qFormat/>
    <w:rsid w:val="00ea1435"/>
  </w:style>
  <w:style w:type="numbering" w:styleId="FrListare811131" w:customStyle="1">
    <w:name w:val="Fără Listare811131"/>
    <w:semiHidden/>
    <w:qFormat/>
    <w:rsid w:val="00ea1435"/>
  </w:style>
  <w:style w:type="numbering" w:styleId="FrListare911131" w:customStyle="1">
    <w:name w:val="Fără Listare911131"/>
    <w:uiPriority w:val="99"/>
    <w:semiHidden/>
    <w:unhideWhenUsed/>
    <w:qFormat/>
    <w:rsid w:val="00ea1435"/>
  </w:style>
  <w:style w:type="numbering" w:styleId="FrListare1011131" w:customStyle="1">
    <w:name w:val="Fără Listare1011131"/>
    <w:uiPriority w:val="99"/>
    <w:semiHidden/>
    <w:unhideWhenUsed/>
    <w:qFormat/>
    <w:rsid w:val="00ea1435"/>
  </w:style>
  <w:style w:type="numbering" w:styleId="FrListare1131121" w:customStyle="1">
    <w:name w:val="Fără Listare1131121"/>
    <w:uiPriority w:val="99"/>
    <w:semiHidden/>
    <w:unhideWhenUsed/>
    <w:qFormat/>
    <w:rsid w:val="00ea1435"/>
  </w:style>
  <w:style w:type="numbering" w:styleId="FrListare1211131" w:customStyle="1">
    <w:name w:val="Fără Listare1211131"/>
    <w:uiPriority w:val="99"/>
    <w:semiHidden/>
    <w:unhideWhenUsed/>
    <w:qFormat/>
    <w:rsid w:val="00ea1435"/>
  </w:style>
  <w:style w:type="numbering" w:styleId="FrListare1311131" w:customStyle="1">
    <w:name w:val="Fără Listare1311131"/>
    <w:uiPriority w:val="99"/>
    <w:semiHidden/>
    <w:unhideWhenUsed/>
    <w:qFormat/>
    <w:rsid w:val="00ea1435"/>
  </w:style>
  <w:style w:type="numbering" w:styleId="FrListare1411131" w:customStyle="1">
    <w:name w:val="Fără Listare1411131"/>
    <w:uiPriority w:val="99"/>
    <w:semiHidden/>
    <w:unhideWhenUsed/>
    <w:qFormat/>
    <w:rsid w:val="00ea1435"/>
  </w:style>
  <w:style w:type="numbering" w:styleId="FrListare1511131" w:customStyle="1">
    <w:name w:val="Fără Listare1511131"/>
    <w:uiPriority w:val="99"/>
    <w:semiHidden/>
    <w:unhideWhenUsed/>
    <w:qFormat/>
    <w:rsid w:val="00ea1435"/>
  </w:style>
  <w:style w:type="numbering" w:styleId="FrListare1611131" w:customStyle="1">
    <w:name w:val="Fără Listare1611131"/>
    <w:semiHidden/>
    <w:qFormat/>
    <w:rsid w:val="00ea1435"/>
  </w:style>
  <w:style w:type="numbering" w:styleId="FrListare1711131" w:customStyle="1">
    <w:name w:val="Fără Listare1711131"/>
    <w:uiPriority w:val="99"/>
    <w:semiHidden/>
    <w:unhideWhenUsed/>
    <w:qFormat/>
    <w:rsid w:val="00ea1435"/>
  </w:style>
  <w:style w:type="numbering" w:styleId="FrListare1811131" w:customStyle="1">
    <w:name w:val="Fără Listare1811131"/>
    <w:uiPriority w:val="99"/>
    <w:semiHidden/>
    <w:unhideWhenUsed/>
    <w:qFormat/>
    <w:rsid w:val="00ea1435"/>
  </w:style>
  <w:style w:type="numbering" w:styleId="FrListare1911131" w:customStyle="1">
    <w:name w:val="Fără Listare1911131"/>
    <w:uiPriority w:val="99"/>
    <w:semiHidden/>
    <w:unhideWhenUsed/>
    <w:qFormat/>
    <w:rsid w:val="00ea1435"/>
  </w:style>
  <w:style w:type="numbering" w:styleId="FrListare2011131" w:customStyle="1">
    <w:name w:val="Fără Listare2011131"/>
    <w:uiPriority w:val="99"/>
    <w:semiHidden/>
    <w:unhideWhenUsed/>
    <w:qFormat/>
    <w:rsid w:val="00ea1435"/>
  </w:style>
  <w:style w:type="numbering" w:styleId="FrListare11011131" w:customStyle="1">
    <w:name w:val="Fără Listare11011131"/>
    <w:uiPriority w:val="99"/>
    <w:semiHidden/>
    <w:unhideWhenUsed/>
    <w:qFormat/>
    <w:rsid w:val="00ea1435"/>
  </w:style>
  <w:style w:type="numbering" w:styleId="FrListare2111131" w:customStyle="1">
    <w:name w:val="Fără Listare2111131"/>
    <w:semiHidden/>
    <w:qFormat/>
    <w:rsid w:val="00ea1435"/>
  </w:style>
  <w:style w:type="numbering" w:styleId="FrListare2211131" w:customStyle="1">
    <w:name w:val="Fără Listare2211131"/>
    <w:semiHidden/>
    <w:qFormat/>
    <w:rsid w:val="00ea1435"/>
  </w:style>
  <w:style w:type="numbering" w:styleId="FrListare2311131" w:customStyle="1">
    <w:name w:val="Fără Listare2311131"/>
    <w:semiHidden/>
    <w:qFormat/>
    <w:rsid w:val="00ea1435"/>
  </w:style>
  <w:style w:type="numbering" w:styleId="FrListare2411131" w:customStyle="1">
    <w:name w:val="Fără Listare2411131"/>
    <w:uiPriority w:val="99"/>
    <w:semiHidden/>
    <w:unhideWhenUsed/>
    <w:qFormat/>
    <w:rsid w:val="00ea1435"/>
  </w:style>
  <w:style w:type="numbering" w:styleId="FrListare2511131" w:customStyle="1">
    <w:name w:val="Fără Listare2511131"/>
    <w:semiHidden/>
    <w:qFormat/>
    <w:rsid w:val="00ea1435"/>
  </w:style>
  <w:style w:type="numbering" w:styleId="FrListare11112121" w:customStyle="1">
    <w:name w:val="Fără Listare11112121"/>
    <w:semiHidden/>
    <w:unhideWhenUsed/>
    <w:qFormat/>
    <w:rsid w:val="00ea1435"/>
  </w:style>
  <w:style w:type="numbering" w:styleId="FrListare2611121" w:customStyle="1">
    <w:name w:val="Fără Listare2611121"/>
    <w:uiPriority w:val="99"/>
    <w:semiHidden/>
    <w:unhideWhenUsed/>
    <w:qFormat/>
    <w:rsid w:val="00ea1435"/>
  </w:style>
  <w:style w:type="numbering" w:styleId="FrListare2711121" w:customStyle="1">
    <w:name w:val="Fără Listare2711121"/>
    <w:semiHidden/>
    <w:qFormat/>
    <w:rsid w:val="00ea1435"/>
  </w:style>
  <w:style w:type="numbering" w:styleId="FrListare30121" w:customStyle="1">
    <w:name w:val="Fără Listare30121"/>
    <w:uiPriority w:val="99"/>
    <w:semiHidden/>
    <w:unhideWhenUsed/>
    <w:qFormat/>
    <w:rsid w:val="00ea1435"/>
  </w:style>
  <w:style w:type="numbering" w:styleId="FrListare1141121" w:customStyle="1">
    <w:name w:val="Fără Listare1141121"/>
    <w:uiPriority w:val="99"/>
    <w:semiHidden/>
    <w:unhideWhenUsed/>
    <w:qFormat/>
    <w:rsid w:val="00ea1435"/>
  </w:style>
  <w:style w:type="numbering" w:styleId="FrListare210121" w:customStyle="1">
    <w:name w:val="Fără Listare210121"/>
    <w:uiPriority w:val="99"/>
    <w:semiHidden/>
    <w:unhideWhenUsed/>
    <w:qFormat/>
    <w:rsid w:val="00ea1435"/>
  </w:style>
  <w:style w:type="numbering" w:styleId="FrListare321131" w:customStyle="1">
    <w:name w:val="Fără Listare321131"/>
    <w:semiHidden/>
    <w:qFormat/>
    <w:rsid w:val="00ea1435"/>
  </w:style>
  <w:style w:type="numbering" w:styleId="FrListare421131" w:customStyle="1">
    <w:name w:val="Fără Listare421131"/>
    <w:semiHidden/>
    <w:qFormat/>
    <w:rsid w:val="00ea1435"/>
  </w:style>
  <w:style w:type="numbering" w:styleId="FrListare521131" w:customStyle="1">
    <w:name w:val="Fără Listare521131"/>
    <w:uiPriority w:val="99"/>
    <w:semiHidden/>
    <w:unhideWhenUsed/>
    <w:qFormat/>
    <w:rsid w:val="00ea1435"/>
  </w:style>
  <w:style w:type="numbering" w:styleId="FrListare621121" w:customStyle="1">
    <w:name w:val="Fără Listare621121"/>
    <w:uiPriority w:val="99"/>
    <w:semiHidden/>
    <w:unhideWhenUsed/>
    <w:qFormat/>
    <w:rsid w:val="00ea1435"/>
  </w:style>
  <w:style w:type="numbering" w:styleId="FrListare721121" w:customStyle="1">
    <w:name w:val="Fără Listare721121"/>
    <w:uiPriority w:val="99"/>
    <w:semiHidden/>
    <w:unhideWhenUsed/>
    <w:qFormat/>
    <w:rsid w:val="00ea1435"/>
  </w:style>
  <w:style w:type="numbering" w:styleId="FrListare821121" w:customStyle="1">
    <w:name w:val="Fără Listare821121"/>
    <w:semiHidden/>
    <w:qFormat/>
    <w:rsid w:val="00ea1435"/>
  </w:style>
  <w:style w:type="numbering" w:styleId="FrListare921121" w:customStyle="1">
    <w:name w:val="Fără Listare921121"/>
    <w:uiPriority w:val="99"/>
    <w:semiHidden/>
    <w:unhideWhenUsed/>
    <w:qFormat/>
    <w:rsid w:val="00ea1435"/>
  </w:style>
  <w:style w:type="numbering" w:styleId="FrListare1021121" w:customStyle="1">
    <w:name w:val="Fără Listare1021121"/>
    <w:uiPriority w:val="99"/>
    <w:semiHidden/>
    <w:unhideWhenUsed/>
    <w:qFormat/>
    <w:rsid w:val="00ea1435"/>
  </w:style>
  <w:style w:type="numbering" w:styleId="FrListare115121" w:customStyle="1">
    <w:name w:val="Fără Listare115121"/>
    <w:uiPriority w:val="99"/>
    <w:semiHidden/>
    <w:unhideWhenUsed/>
    <w:qFormat/>
    <w:rsid w:val="00ea1435"/>
  </w:style>
  <w:style w:type="numbering" w:styleId="FrListare1221121" w:customStyle="1">
    <w:name w:val="Fără Listare1221121"/>
    <w:uiPriority w:val="99"/>
    <w:semiHidden/>
    <w:unhideWhenUsed/>
    <w:qFormat/>
    <w:rsid w:val="00ea1435"/>
  </w:style>
  <w:style w:type="numbering" w:styleId="FrListare1321121" w:customStyle="1">
    <w:name w:val="Fără Listare1321121"/>
    <w:uiPriority w:val="99"/>
    <w:semiHidden/>
    <w:unhideWhenUsed/>
    <w:qFormat/>
    <w:rsid w:val="00ea1435"/>
  </w:style>
  <w:style w:type="numbering" w:styleId="FrListare1421121" w:customStyle="1">
    <w:name w:val="Fără Listare1421121"/>
    <w:uiPriority w:val="99"/>
    <w:semiHidden/>
    <w:unhideWhenUsed/>
    <w:qFormat/>
    <w:rsid w:val="00ea1435"/>
  </w:style>
  <w:style w:type="numbering" w:styleId="FrListare1521121" w:customStyle="1">
    <w:name w:val="Fără Listare1521121"/>
    <w:uiPriority w:val="99"/>
    <w:semiHidden/>
    <w:unhideWhenUsed/>
    <w:qFormat/>
    <w:rsid w:val="00ea1435"/>
  </w:style>
  <w:style w:type="numbering" w:styleId="FrListare1621121" w:customStyle="1">
    <w:name w:val="Fără Listare1621121"/>
    <w:semiHidden/>
    <w:qFormat/>
    <w:rsid w:val="00ea1435"/>
  </w:style>
  <w:style w:type="numbering" w:styleId="FrListare1721121" w:customStyle="1">
    <w:name w:val="Fără Listare1721121"/>
    <w:uiPriority w:val="99"/>
    <w:semiHidden/>
    <w:unhideWhenUsed/>
    <w:qFormat/>
    <w:rsid w:val="00ea1435"/>
  </w:style>
  <w:style w:type="numbering" w:styleId="FrListare1821121" w:customStyle="1">
    <w:name w:val="Fără Listare1821121"/>
    <w:uiPriority w:val="99"/>
    <w:semiHidden/>
    <w:unhideWhenUsed/>
    <w:qFormat/>
    <w:rsid w:val="00ea1435"/>
  </w:style>
  <w:style w:type="numbering" w:styleId="FrListare1921121" w:customStyle="1">
    <w:name w:val="Fără Listare1921121"/>
    <w:uiPriority w:val="99"/>
    <w:semiHidden/>
    <w:unhideWhenUsed/>
    <w:qFormat/>
    <w:rsid w:val="00ea1435"/>
  </w:style>
  <w:style w:type="numbering" w:styleId="FrListare2021121" w:customStyle="1">
    <w:name w:val="Fără Listare2021121"/>
    <w:uiPriority w:val="99"/>
    <w:semiHidden/>
    <w:unhideWhenUsed/>
    <w:qFormat/>
    <w:rsid w:val="00ea1435"/>
  </w:style>
  <w:style w:type="numbering" w:styleId="FrListare11021121" w:customStyle="1">
    <w:name w:val="Fără Listare11021121"/>
    <w:uiPriority w:val="99"/>
    <w:semiHidden/>
    <w:unhideWhenUsed/>
    <w:qFormat/>
    <w:rsid w:val="00ea1435"/>
  </w:style>
  <w:style w:type="numbering" w:styleId="FrListare2121121" w:customStyle="1">
    <w:name w:val="Fără Listare2121121"/>
    <w:semiHidden/>
    <w:qFormat/>
    <w:rsid w:val="00ea1435"/>
  </w:style>
  <w:style w:type="numbering" w:styleId="FrListare2221121" w:customStyle="1">
    <w:name w:val="Fără Listare2221121"/>
    <w:semiHidden/>
    <w:qFormat/>
    <w:rsid w:val="00ea1435"/>
  </w:style>
  <w:style w:type="numbering" w:styleId="FrListare2321121" w:customStyle="1">
    <w:name w:val="Fără Listare2321121"/>
    <w:semiHidden/>
    <w:qFormat/>
    <w:rsid w:val="00ea1435"/>
  </w:style>
  <w:style w:type="numbering" w:styleId="FrListare242121" w:customStyle="1">
    <w:name w:val="Fără Listare242121"/>
    <w:uiPriority w:val="99"/>
    <w:semiHidden/>
    <w:unhideWhenUsed/>
    <w:qFormat/>
    <w:rsid w:val="00ea1435"/>
  </w:style>
  <w:style w:type="numbering" w:styleId="FrListare252121" w:customStyle="1">
    <w:name w:val="Fără Listare252121"/>
    <w:semiHidden/>
    <w:qFormat/>
    <w:rsid w:val="00ea1435"/>
  </w:style>
  <w:style w:type="numbering" w:styleId="FrListare11121121" w:customStyle="1">
    <w:name w:val="Fără Listare11121121"/>
    <w:semiHidden/>
    <w:unhideWhenUsed/>
    <w:qFormat/>
    <w:rsid w:val="00ea1435"/>
  </w:style>
  <w:style w:type="numbering" w:styleId="FrListare262121" w:customStyle="1">
    <w:name w:val="Fără Listare262121"/>
    <w:uiPriority w:val="99"/>
    <w:semiHidden/>
    <w:unhideWhenUsed/>
    <w:qFormat/>
    <w:rsid w:val="00ea1435"/>
  </w:style>
  <w:style w:type="numbering" w:styleId="FrListare272121" w:customStyle="1">
    <w:name w:val="Fără Listare272121"/>
    <w:semiHidden/>
    <w:qFormat/>
    <w:rsid w:val="00ea1435"/>
  </w:style>
  <w:style w:type="numbering" w:styleId="FrListare33131" w:customStyle="1">
    <w:name w:val="Fără Listare33131"/>
    <w:uiPriority w:val="99"/>
    <w:semiHidden/>
    <w:unhideWhenUsed/>
    <w:qFormat/>
    <w:rsid w:val="00ea1435"/>
  </w:style>
  <w:style w:type="numbering" w:styleId="FrListare116121" w:customStyle="1">
    <w:name w:val="Fără Listare116121"/>
    <w:semiHidden/>
    <w:qFormat/>
    <w:rsid w:val="00ea1435"/>
  </w:style>
  <w:style w:type="numbering" w:styleId="FrListare34131" w:customStyle="1">
    <w:name w:val="Fără Listare34131"/>
    <w:uiPriority w:val="99"/>
    <w:semiHidden/>
    <w:unhideWhenUsed/>
    <w:qFormat/>
    <w:rsid w:val="00ea1435"/>
  </w:style>
  <w:style w:type="numbering" w:styleId="FrListare35121" w:customStyle="1">
    <w:name w:val="Fără Listare35121"/>
    <w:semiHidden/>
    <w:qFormat/>
    <w:rsid w:val="00ea1435"/>
  </w:style>
  <w:style w:type="numbering" w:styleId="FrListare36121" w:customStyle="1">
    <w:name w:val="Fără Listare36121"/>
    <w:semiHidden/>
    <w:qFormat/>
    <w:rsid w:val="00ea1435"/>
  </w:style>
  <w:style w:type="numbering" w:styleId="FrListare37121" w:customStyle="1">
    <w:name w:val="Fără Listare37121"/>
    <w:semiHidden/>
    <w:unhideWhenUsed/>
    <w:qFormat/>
    <w:rsid w:val="00ea1435"/>
  </w:style>
  <w:style w:type="numbering" w:styleId="FrListare38121" w:customStyle="1">
    <w:name w:val="Fără Listare38121"/>
    <w:semiHidden/>
    <w:qFormat/>
    <w:rsid w:val="00ea1435"/>
  </w:style>
  <w:style w:type="numbering" w:styleId="FrListare39121" w:customStyle="1">
    <w:name w:val="Fără Listare39121"/>
    <w:uiPriority w:val="99"/>
    <w:semiHidden/>
    <w:unhideWhenUsed/>
    <w:qFormat/>
    <w:rsid w:val="00ea1435"/>
  </w:style>
  <w:style w:type="numbering" w:styleId="FrListare40121" w:customStyle="1">
    <w:name w:val="Fără Listare40121"/>
    <w:uiPriority w:val="99"/>
    <w:semiHidden/>
    <w:unhideWhenUsed/>
    <w:qFormat/>
    <w:rsid w:val="00ea1435"/>
  </w:style>
  <w:style w:type="numbering" w:styleId="FrListare43121" w:customStyle="1">
    <w:name w:val="Fără Listare43121"/>
    <w:uiPriority w:val="99"/>
    <w:semiHidden/>
    <w:unhideWhenUsed/>
    <w:qFormat/>
    <w:rsid w:val="00ea1435"/>
  </w:style>
  <w:style w:type="numbering" w:styleId="FrListare44121" w:customStyle="1">
    <w:name w:val="Fără Listare44121"/>
    <w:uiPriority w:val="99"/>
    <w:semiHidden/>
    <w:unhideWhenUsed/>
    <w:qFormat/>
    <w:rsid w:val="00ea1435"/>
  </w:style>
  <w:style w:type="numbering" w:styleId="FrListare45121" w:customStyle="1">
    <w:name w:val="Fără Listare45121"/>
    <w:uiPriority w:val="99"/>
    <w:semiHidden/>
    <w:unhideWhenUsed/>
    <w:qFormat/>
    <w:rsid w:val="00ea1435"/>
  </w:style>
  <w:style w:type="numbering" w:styleId="FrListare46121" w:customStyle="1">
    <w:name w:val="Fără Listare46121"/>
    <w:uiPriority w:val="99"/>
    <w:semiHidden/>
    <w:unhideWhenUsed/>
    <w:qFormat/>
    <w:rsid w:val="00ea1435"/>
  </w:style>
  <w:style w:type="numbering" w:styleId="FrListare47121" w:customStyle="1">
    <w:name w:val="Fără Listare47121"/>
    <w:uiPriority w:val="99"/>
    <w:semiHidden/>
    <w:unhideWhenUsed/>
    <w:qFormat/>
    <w:rsid w:val="00ea1435"/>
  </w:style>
  <w:style w:type="numbering" w:styleId="FrListare48121" w:customStyle="1">
    <w:name w:val="Fără Listare48121"/>
    <w:uiPriority w:val="99"/>
    <w:semiHidden/>
    <w:unhideWhenUsed/>
    <w:qFormat/>
    <w:rsid w:val="00ea1435"/>
  </w:style>
  <w:style w:type="numbering" w:styleId="FrListare49121" w:customStyle="1">
    <w:name w:val="Fără Listare49121"/>
    <w:uiPriority w:val="99"/>
    <w:semiHidden/>
    <w:unhideWhenUsed/>
    <w:qFormat/>
    <w:rsid w:val="00ea1435"/>
  </w:style>
  <w:style w:type="numbering" w:styleId="FrListare50121" w:customStyle="1">
    <w:name w:val="Fără Listare50121"/>
    <w:uiPriority w:val="99"/>
    <w:semiHidden/>
    <w:unhideWhenUsed/>
    <w:qFormat/>
    <w:rsid w:val="00ea1435"/>
  </w:style>
  <w:style w:type="numbering" w:styleId="FrListare53121" w:customStyle="1">
    <w:name w:val="Fără Listare53121"/>
    <w:semiHidden/>
    <w:unhideWhenUsed/>
    <w:qFormat/>
    <w:rsid w:val="00ea1435"/>
  </w:style>
  <w:style w:type="numbering" w:styleId="FrListare54121" w:customStyle="1">
    <w:name w:val="Fără Listare54121"/>
    <w:uiPriority w:val="99"/>
    <w:semiHidden/>
    <w:unhideWhenUsed/>
    <w:qFormat/>
    <w:rsid w:val="00ea1435"/>
  </w:style>
  <w:style w:type="numbering" w:styleId="FrListare55121" w:customStyle="1">
    <w:name w:val="Fără Listare55121"/>
    <w:uiPriority w:val="99"/>
    <w:semiHidden/>
    <w:unhideWhenUsed/>
    <w:qFormat/>
    <w:rsid w:val="00ea1435"/>
  </w:style>
  <w:style w:type="numbering" w:styleId="FrListare56121" w:customStyle="1">
    <w:name w:val="Fără Listare56121"/>
    <w:uiPriority w:val="99"/>
    <w:semiHidden/>
    <w:unhideWhenUsed/>
    <w:qFormat/>
    <w:rsid w:val="00ea1435"/>
  </w:style>
  <w:style w:type="numbering" w:styleId="FrListare57121" w:customStyle="1">
    <w:name w:val="Fără Listare57121"/>
    <w:uiPriority w:val="99"/>
    <w:semiHidden/>
    <w:unhideWhenUsed/>
    <w:qFormat/>
    <w:rsid w:val="00ea1435"/>
  </w:style>
  <w:style w:type="numbering" w:styleId="FrListare58121" w:customStyle="1">
    <w:name w:val="Fără Listare58121"/>
    <w:semiHidden/>
    <w:unhideWhenUsed/>
    <w:qFormat/>
    <w:rsid w:val="00ea1435"/>
  </w:style>
  <w:style w:type="numbering" w:styleId="FrListare59121" w:customStyle="1">
    <w:name w:val="Fără Listare59121"/>
    <w:uiPriority w:val="99"/>
    <w:semiHidden/>
    <w:unhideWhenUsed/>
    <w:qFormat/>
    <w:rsid w:val="00ea1435"/>
  </w:style>
  <w:style w:type="numbering" w:styleId="FrListare60121" w:customStyle="1">
    <w:name w:val="Fără Listare60121"/>
    <w:uiPriority w:val="99"/>
    <w:semiHidden/>
    <w:unhideWhenUsed/>
    <w:qFormat/>
    <w:rsid w:val="00ea1435"/>
  </w:style>
  <w:style w:type="numbering" w:styleId="FrListare63121" w:customStyle="1">
    <w:name w:val="Fără Listare63121"/>
    <w:uiPriority w:val="99"/>
    <w:semiHidden/>
    <w:unhideWhenUsed/>
    <w:qFormat/>
    <w:rsid w:val="00ea1435"/>
  </w:style>
  <w:style w:type="numbering" w:styleId="FrListare64121" w:customStyle="1">
    <w:name w:val="Fără Listare64121"/>
    <w:uiPriority w:val="99"/>
    <w:semiHidden/>
    <w:unhideWhenUsed/>
    <w:qFormat/>
    <w:rsid w:val="00ea1435"/>
  </w:style>
  <w:style w:type="numbering" w:styleId="FrListare65121" w:customStyle="1">
    <w:name w:val="Fără Listare65121"/>
    <w:uiPriority w:val="99"/>
    <w:semiHidden/>
    <w:unhideWhenUsed/>
    <w:qFormat/>
    <w:rsid w:val="00ea1435"/>
  </w:style>
  <w:style w:type="numbering" w:styleId="FrListare66121" w:customStyle="1">
    <w:name w:val="Fără Listare66121"/>
    <w:uiPriority w:val="99"/>
    <w:semiHidden/>
    <w:unhideWhenUsed/>
    <w:qFormat/>
    <w:rsid w:val="00ea1435"/>
  </w:style>
  <w:style w:type="numbering" w:styleId="FrListare67121" w:customStyle="1">
    <w:name w:val="Fără Listare67121"/>
    <w:uiPriority w:val="99"/>
    <w:semiHidden/>
    <w:qFormat/>
    <w:rsid w:val="00ea1435"/>
  </w:style>
  <w:style w:type="numbering" w:styleId="FrListare117121" w:customStyle="1">
    <w:name w:val="Fără Listare117121"/>
    <w:uiPriority w:val="99"/>
    <w:semiHidden/>
    <w:unhideWhenUsed/>
    <w:qFormat/>
    <w:rsid w:val="00ea1435"/>
  </w:style>
  <w:style w:type="numbering" w:styleId="FrListare118121" w:customStyle="1">
    <w:name w:val="Fără Listare118121"/>
    <w:uiPriority w:val="99"/>
    <w:semiHidden/>
    <w:qFormat/>
    <w:rsid w:val="00ea1435"/>
  </w:style>
  <w:style w:type="numbering" w:styleId="FrListare213121" w:customStyle="1">
    <w:name w:val="Fără Listare213121"/>
    <w:uiPriority w:val="99"/>
    <w:semiHidden/>
    <w:unhideWhenUsed/>
    <w:qFormat/>
    <w:rsid w:val="00ea1435"/>
  </w:style>
  <w:style w:type="numbering" w:styleId="FrListare310121" w:customStyle="1">
    <w:name w:val="Fără Listare310121"/>
    <w:semiHidden/>
    <w:unhideWhenUsed/>
    <w:qFormat/>
    <w:rsid w:val="00ea1435"/>
  </w:style>
  <w:style w:type="numbering" w:styleId="FrListare410121" w:customStyle="1">
    <w:name w:val="Fără Listare410121"/>
    <w:semiHidden/>
    <w:unhideWhenUsed/>
    <w:qFormat/>
    <w:rsid w:val="00ea1435"/>
  </w:style>
  <w:style w:type="numbering" w:styleId="FrListare510121" w:customStyle="1">
    <w:name w:val="Fără Listare510121"/>
    <w:uiPriority w:val="99"/>
    <w:semiHidden/>
    <w:unhideWhenUsed/>
    <w:qFormat/>
    <w:rsid w:val="00ea1435"/>
  </w:style>
  <w:style w:type="numbering" w:styleId="FrListare68121" w:customStyle="1">
    <w:name w:val="Fără Listare68121"/>
    <w:uiPriority w:val="99"/>
    <w:semiHidden/>
    <w:unhideWhenUsed/>
    <w:qFormat/>
    <w:rsid w:val="00ea1435"/>
  </w:style>
  <w:style w:type="numbering" w:styleId="FrListare73121" w:customStyle="1">
    <w:name w:val="Fără Listare73121"/>
    <w:uiPriority w:val="99"/>
    <w:semiHidden/>
    <w:unhideWhenUsed/>
    <w:qFormat/>
    <w:rsid w:val="00ea1435"/>
  </w:style>
  <w:style w:type="numbering" w:styleId="FrListare83121" w:customStyle="1">
    <w:name w:val="Fără Listare83121"/>
    <w:semiHidden/>
    <w:qFormat/>
    <w:rsid w:val="00ea1435"/>
  </w:style>
  <w:style w:type="numbering" w:styleId="FrListare93121" w:customStyle="1">
    <w:name w:val="Fără Listare93121"/>
    <w:uiPriority w:val="99"/>
    <w:semiHidden/>
    <w:unhideWhenUsed/>
    <w:qFormat/>
    <w:rsid w:val="00ea1435"/>
  </w:style>
  <w:style w:type="numbering" w:styleId="FrListare103121" w:customStyle="1">
    <w:name w:val="Fără Listare103121"/>
    <w:uiPriority w:val="99"/>
    <w:semiHidden/>
    <w:unhideWhenUsed/>
    <w:qFormat/>
    <w:rsid w:val="00ea1435"/>
  </w:style>
  <w:style w:type="numbering" w:styleId="FrListare1113121" w:customStyle="1">
    <w:name w:val="Fără Listare1113121"/>
    <w:uiPriority w:val="99"/>
    <w:semiHidden/>
    <w:unhideWhenUsed/>
    <w:qFormat/>
    <w:rsid w:val="00ea1435"/>
  </w:style>
  <w:style w:type="numbering" w:styleId="FrListare123121" w:customStyle="1">
    <w:name w:val="Fără Listare123121"/>
    <w:uiPriority w:val="99"/>
    <w:semiHidden/>
    <w:unhideWhenUsed/>
    <w:qFormat/>
    <w:rsid w:val="00ea1435"/>
  </w:style>
  <w:style w:type="numbering" w:styleId="FrListare133121" w:customStyle="1">
    <w:name w:val="Fără Listare133121"/>
    <w:uiPriority w:val="99"/>
    <w:semiHidden/>
    <w:unhideWhenUsed/>
    <w:qFormat/>
    <w:rsid w:val="00ea1435"/>
  </w:style>
  <w:style w:type="numbering" w:styleId="FrListare143121" w:customStyle="1">
    <w:name w:val="Fără Listare143121"/>
    <w:uiPriority w:val="99"/>
    <w:semiHidden/>
    <w:unhideWhenUsed/>
    <w:qFormat/>
    <w:rsid w:val="00ea1435"/>
  </w:style>
  <w:style w:type="numbering" w:styleId="FrListare153121" w:customStyle="1">
    <w:name w:val="Fără Listare153121"/>
    <w:uiPriority w:val="99"/>
    <w:semiHidden/>
    <w:unhideWhenUsed/>
    <w:qFormat/>
    <w:rsid w:val="00ea1435"/>
  </w:style>
  <w:style w:type="numbering" w:styleId="FrListare163121" w:customStyle="1">
    <w:name w:val="Fără Listare163121"/>
    <w:semiHidden/>
    <w:qFormat/>
    <w:rsid w:val="00ea1435"/>
  </w:style>
  <w:style w:type="numbering" w:styleId="FrListare173121" w:customStyle="1">
    <w:name w:val="Fără Listare173121"/>
    <w:uiPriority w:val="99"/>
    <w:semiHidden/>
    <w:unhideWhenUsed/>
    <w:qFormat/>
    <w:rsid w:val="00ea1435"/>
  </w:style>
  <w:style w:type="numbering" w:styleId="FrListare183121" w:customStyle="1">
    <w:name w:val="Fără Listare183121"/>
    <w:uiPriority w:val="99"/>
    <w:semiHidden/>
    <w:unhideWhenUsed/>
    <w:qFormat/>
    <w:rsid w:val="00ea1435"/>
  </w:style>
  <w:style w:type="numbering" w:styleId="FrListare193121" w:customStyle="1">
    <w:name w:val="Fără Listare193121"/>
    <w:uiPriority w:val="99"/>
    <w:semiHidden/>
    <w:unhideWhenUsed/>
    <w:qFormat/>
    <w:rsid w:val="00ea1435"/>
  </w:style>
  <w:style w:type="numbering" w:styleId="FrListare203121" w:customStyle="1">
    <w:name w:val="Fără Listare203121"/>
    <w:uiPriority w:val="99"/>
    <w:semiHidden/>
    <w:unhideWhenUsed/>
    <w:qFormat/>
    <w:rsid w:val="00ea1435"/>
  </w:style>
  <w:style w:type="numbering" w:styleId="FrListare1103121" w:customStyle="1">
    <w:name w:val="Fără Listare1103121"/>
    <w:uiPriority w:val="99"/>
    <w:semiHidden/>
    <w:unhideWhenUsed/>
    <w:qFormat/>
    <w:rsid w:val="00ea1435"/>
  </w:style>
  <w:style w:type="numbering" w:styleId="FrListare214121" w:customStyle="1">
    <w:name w:val="Fără Listare214121"/>
    <w:uiPriority w:val="99"/>
    <w:semiHidden/>
    <w:unhideWhenUsed/>
    <w:qFormat/>
    <w:rsid w:val="00ea1435"/>
  </w:style>
  <w:style w:type="numbering" w:styleId="FrListare223121" w:customStyle="1">
    <w:name w:val="Fără Listare223121"/>
    <w:uiPriority w:val="99"/>
    <w:semiHidden/>
    <w:unhideWhenUsed/>
    <w:qFormat/>
    <w:rsid w:val="00ea1435"/>
  </w:style>
  <w:style w:type="numbering" w:styleId="FrListare233121" w:customStyle="1">
    <w:name w:val="Fără Listare233121"/>
    <w:uiPriority w:val="99"/>
    <w:semiHidden/>
    <w:unhideWhenUsed/>
    <w:qFormat/>
    <w:rsid w:val="00ea1435"/>
  </w:style>
  <w:style w:type="numbering" w:styleId="FrListare243121" w:customStyle="1">
    <w:name w:val="Fără Listare243121"/>
    <w:semiHidden/>
    <w:qFormat/>
    <w:rsid w:val="00ea1435"/>
  </w:style>
  <w:style w:type="numbering" w:styleId="FrListare111111131" w:customStyle="1">
    <w:name w:val="Fără Listare111111131"/>
    <w:uiPriority w:val="99"/>
    <w:semiHidden/>
    <w:qFormat/>
    <w:rsid w:val="00ea1435"/>
  </w:style>
  <w:style w:type="numbering" w:styleId="FrListare11211131" w:customStyle="1">
    <w:name w:val="Fără Listare11211131"/>
    <w:uiPriority w:val="99"/>
    <w:semiHidden/>
    <w:qFormat/>
    <w:rsid w:val="00ea1435"/>
  </w:style>
  <w:style w:type="numbering" w:styleId="FrListare253121" w:customStyle="1">
    <w:name w:val="Fără Listare253121"/>
    <w:uiPriority w:val="99"/>
    <w:semiHidden/>
    <w:unhideWhenUsed/>
    <w:qFormat/>
    <w:rsid w:val="00ea1435"/>
  </w:style>
  <w:style w:type="numbering" w:styleId="FrListare3111131" w:customStyle="1">
    <w:name w:val="Fără Listare3111131"/>
    <w:semiHidden/>
    <w:unhideWhenUsed/>
    <w:qFormat/>
    <w:rsid w:val="00ea1435"/>
  </w:style>
  <w:style w:type="numbering" w:styleId="FrListare4111131" w:customStyle="1">
    <w:name w:val="Fără Listare4111131"/>
    <w:semiHidden/>
    <w:unhideWhenUsed/>
    <w:qFormat/>
    <w:rsid w:val="00ea1435"/>
  </w:style>
  <w:style w:type="numbering" w:styleId="FrListare5111131" w:customStyle="1">
    <w:name w:val="Fără Listare5111131"/>
    <w:uiPriority w:val="99"/>
    <w:semiHidden/>
    <w:unhideWhenUsed/>
    <w:qFormat/>
    <w:rsid w:val="00ea1435"/>
  </w:style>
  <w:style w:type="numbering" w:styleId="FrListare6111131" w:customStyle="1">
    <w:name w:val="Fără Listare6111131"/>
    <w:uiPriority w:val="99"/>
    <w:semiHidden/>
    <w:unhideWhenUsed/>
    <w:qFormat/>
    <w:rsid w:val="00ea1435"/>
  </w:style>
  <w:style w:type="numbering" w:styleId="FrListare7111131" w:customStyle="1">
    <w:name w:val="Fără Listare7111131"/>
    <w:uiPriority w:val="99"/>
    <w:semiHidden/>
    <w:unhideWhenUsed/>
    <w:qFormat/>
    <w:rsid w:val="00ea1435"/>
  </w:style>
  <w:style w:type="numbering" w:styleId="FrListare8111131" w:customStyle="1">
    <w:name w:val="Fără Listare8111131"/>
    <w:semiHidden/>
    <w:qFormat/>
    <w:rsid w:val="00ea1435"/>
  </w:style>
  <w:style w:type="numbering" w:styleId="FrListare9111131" w:customStyle="1">
    <w:name w:val="Fără Listare9111131"/>
    <w:uiPriority w:val="99"/>
    <w:semiHidden/>
    <w:unhideWhenUsed/>
    <w:qFormat/>
    <w:rsid w:val="00ea1435"/>
  </w:style>
  <w:style w:type="numbering" w:styleId="FrListare10111131" w:customStyle="1">
    <w:name w:val="Fără Listare10111131"/>
    <w:uiPriority w:val="99"/>
    <w:semiHidden/>
    <w:unhideWhenUsed/>
    <w:qFormat/>
    <w:rsid w:val="00ea1435"/>
  </w:style>
  <w:style w:type="numbering" w:styleId="FrListare1111111131" w:customStyle="1">
    <w:name w:val="Fără Listare1111111131"/>
    <w:uiPriority w:val="99"/>
    <w:semiHidden/>
    <w:unhideWhenUsed/>
    <w:qFormat/>
    <w:rsid w:val="00ea1435"/>
  </w:style>
  <w:style w:type="numbering" w:styleId="FrListare12111131" w:customStyle="1">
    <w:name w:val="Fără Listare12111131"/>
    <w:uiPriority w:val="99"/>
    <w:semiHidden/>
    <w:unhideWhenUsed/>
    <w:qFormat/>
    <w:rsid w:val="00ea1435"/>
  </w:style>
  <w:style w:type="numbering" w:styleId="FrListare13111131" w:customStyle="1">
    <w:name w:val="Fără Listare13111131"/>
    <w:uiPriority w:val="99"/>
    <w:semiHidden/>
    <w:unhideWhenUsed/>
    <w:qFormat/>
    <w:rsid w:val="00ea1435"/>
  </w:style>
  <w:style w:type="numbering" w:styleId="FrListare14111131" w:customStyle="1">
    <w:name w:val="Fără Listare14111131"/>
    <w:uiPriority w:val="99"/>
    <w:semiHidden/>
    <w:unhideWhenUsed/>
    <w:qFormat/>
    <w:rsid w:val="00ea1435"/>
  </w:style>
  <w:style w:type="numbering" w:styleId="FrListare15111131" w:customStyle="1">
    <w:name w:val="Fără Listare15111131"/>
    <w:uiPriority w:val="99"/>
    <w:semiHidden/>
    <w:unhideWhenUsed/>
    <w:qFormat/>
    <w:rsid w:val="00ea1435"/>
  </w:style>
  <w:style w:type="numbering" w:styleId="FrListare16111131" w:customStyle="1">
    <w:name w:val="Fără Listare16111131"/>
    <w:semiHidden/>
    <w:qFormat/>
    <w:rsid w:val="00ea1435"/>
  </w:style>
  <w:style w:type="numbering" w:styleId="FrListare17111131" w:customStyle="1">
    <w:name w:val="Fără Listare17111131"/>
    <w:uiPriority w:val="99"/>
    <w:semiHidden/>
    <w:unhideWhenUsed/>
    <w:qFormat/>
    <w:rsid w:val="00ea1435"/>
  </w:style>
  <w:style w:type="numbering" w:styleId="FrListare18111131" w:customStyle="1">
    <w:name w:val="Fără Listare18111131"/>
    <w:uiPriority w:val="99"/>
    <w:semiHidden/>
    <w:unhideWhenUsed/>
    <w:qFormat/>
    <w:rsid w:val="00ea1435"/>
  </w:style>
  <w:style w:type="numbering" w:styleId="FrListare19111131" w:customStyle="1">
    <w:name w:val="Fără Listare19111131"/>
    <w:uiPriority w:val="99"/>
    <w:semiHidden/>
    <w:unhideWhenUsed/>
    <w:qFormat/>
    <w:rsid w:val="00ea1435"/>
  </w:style>
  <w:style w:type="numbering" w:styleId="FrListare20111131" w:customStyle="1">
    <w:name w:val="Fără Listare20111131"/>
    <w:uiPriority w:val="99"/>
    <w:semiHidden/>
    <w:unhideWhenUsed/>
    <w:qFormat/>
    <w:rsid w:val="00ea1435"/>
  </w:style>
  <w:style w:type="numbering" w:styleId="FrListare110111131" w:customStyle="1">
    <w:name w:val="Fără Listare110111131"/>
    <w:uiPriority w:val="99"/>
    <w:semiHidden/>
    <w:unhideWhenUsed/>
    <w:qFormat/>
    <w:rsid w:val="00ea1435"/>
  </w:style>
  <w:style w:type="numbering" w:styleId="FrListare21111131" w:customStyle="1">
    <w:name w:val="Fără Listare21111131"/>
    <w:uiPriority w:val="99"/>
    <w:semiHidden/>
    <w:unhideWhenUsed/>
    <w:qFormat/>
    <w:rsid w:val="00ea1435"/>
  </w:style>
  <w:style w:type="numbering" w:styleId="FrListare22111131" w:customStyle="1">
    <w:name w:val="Fără Listare22111131"/>
    <w:uiPriority w:val="99"/>
    <w:semiHidden/>
    <w:unhideWhenUsed/>
    <w:qFormat/>
    <w:rsid w:val="00ea1435"/>
  </w:style>
  <w:style w:type="numbering" w:styleId="FrListare23111131" w:customStyle="1">
    <w:name w:val="Fără Listare23111131"/>
    <w:uiPriority w:val="99"/>
    <w:semiHidden/>
    <w:unhideWhenUsed/>
    <w:qFormat/>
    <w:rsid w:val="00ea1435"/>
  </w:style>
  <w:style w:type="numbering" w:styleId="FrListare263121" w:customStyle="1">
    <w:name w:val="Fără Listare263121"/>
    <w:uiPriority w:val="99"/>
    <w:semiHidden/>
    <w:unhideWhenUsed/>
    <w:qFormat/>
    <w:rsid w:val="00ea1435"/>
  </w:style>
  <w:style w:type="numbering" w:styleId="FrListare7021" w:customStyle="1">
    <w:name w:val="Fără Listare7021"/>
    <w:uiPriority w:val="99"/>
    <w:semiHidden/>
    <w:unhideWhenUsed/>
    <w:qFormat/>
    <w:rsid w:val="00ea1435"/>
  </w:style>
  <w:style w:type="numbering" w:styleId="FrListare7521" w:customStyle="1">
    <w:name w:val="Fără Listare7521"/>
    <w:uiPriority w:val="99"/>
    <w:semiHidden/>
    <w:unhideWhenUsed/>
    <w:qFormat/>
    <w:rsid w:val="00ea1435"/>
  </w:style>
  <w:style w:type="numbering" w:styleId="FrListare7611" w:customStyle="1">
    <w:name w:val="Fără Listare7611"/>
    <w:semiHidden/>
    <w:qFormat/>
    <w:rsid w:val="00ea1435"/>
  </w:style>
  <w:style w:type="numbering" w:styleId="NoList51" w:customStyle="1">
    <w:name w:val="No List51"/>
    <w:uiPriority w:val="99"/>
    <w:semiHidden/>
    <w:unhideWhenUsed/>
    <w:qFormat/>
    <w:rsid w:val="00ea1435"/>
  </w:style>
  <w:style w:type="numbering" w:styleId="NoList7" w:customStyle="1">
    <w:name w:val="No List7"/>
    <w:uiPriority w:val="99"/>
    <w:semiHidden/>
    <w:unhideWhenUsed/>
    <w:qFormat/>
    <w:rsid w:val="00ea1435"/>
  </w:style>
  <w:style w:type="numbering" w:styleId="NoList13" w:customStyle="1">
    <w:name w:val="No List13"/>
    <w:semiHidden/>
    <w:unhideWhenUsed/>
    <w:qFormat/>
    <w:rsid w:val="00ea1435"/>
  </w:style>
  <w:style w:type="numbering" w:styleId="NoList23" w:customStyle="1">
    <w:name w:val="No List23"/>
    <w:uiPriority w:val="99"/>
    <w:semiHidden/>
    <w:unhideWhenUsed/>
    <w:qFormat/>
    <w:rsid w:val="00ea1435"/>
  </w:style>
  <w:style w:type="numbering" w:styleId="NoList33" w:customStyle="1">
    <w:name w:val="No List33"/>
    <w:uiPriority w:val="99"/>
    <w:semiHidden/>
    <w:unhideWhenUsed/>
    <w:qFormat/>
    <w:rsid w:val="00ea1435"/>
  </w:style>
  <w:style w:type="numbering" w:styleId="NoList42" w:customStyle="1">
    <w:name w:val="No List42"/>
    <w:semiHidden/>
    <w:unhideWhenUsed/>
    <w:qFormat/>
    <w:rsid w:val="00ea1435"/>
  </w:style>
  <w:style w:type="numbering" w:styleId="NoList112" w:customStyle="1">
    <w:name w:val="No List112"/>
    <w:uiPriority w:val="99"/>
    <w:semiHidden/>
    <w:unhideWhenUsed/>
    <w:qFormat/>
    <w:rsid w:val="00ea1435"/>
  </w:style>
  <w:style w:type="numbering" w:styleId="NoList212" w:customStyle="1">
    <w:name w:val="No List212"/>
    <w:uiPriority w:val="99"/>
    <w:semiHidden/>
    <w:unhideWhenUsed/>
    <w:qFormat/>
    <w:rsid w:val="00ea1435"/>
  </w:style>
  <w:style w:type="numbering" w:styleId="NoList312" w:customStyle="1">
    <w:name w:val="No List312"/>
    <w:uiPriority w:val="99"/>
    <w:semiHidden/>
    <w:unhideWhenUsed/>
    <w:qFormat/>
    <w:rsid w:val="00ea1435"/>
  </w:style>
  <w:style w:type="numbering" w:styleId="FrListare130" w:customStyle="1">
    <w:name w:val="Fără Listare130"/>
    <w:uiPriority w:val="99"/>
    <w:semiHidden/>
    <w:qFormat/>
    <w:rsid w:val="00ea1435"/>
  </w:style>
  <w:style w:type="numbering" w:styleId="FrListare1120" w:customStyle="1">
    <w:name w:val="Fără Listare1120"/>
    <w:uiPriority w:val="99"/>
    <w:semiHidden/>
    <w:qFormat/>
    <w:rsid w:val="00ea1435"/>
  </w:style>
  <w:style w:type="numbering" w:styleId="FrListare228" w:customStyle="1">
    <w:name w:val="Fără Listare228"/>
    <w:uiPriority w:val="99"/>
    <w:semiHidden/>
    <w:unhideWhenUsed/>
    <w:qFormat/>
    <w:rsid w:val="00ea1435"/>
  </w:style>
  <w:style w:type="numbering" w:styleId="FrListare1210" w:customStyle="1">
    <w:name w:val="Fără Listare1210"/>
    <w:uiPriority w:val="99"/>
    <w:semiHidden/>
    <w:qFormat/>
    <w:rsid w:val="00ea1435"/>
  </w:style>
  <w:style w:type="numbering" w:styleId="FrListare320" w:customStyle="1">
    <w:name w:val="Fără Listare320"/>
    <w:semiHidden/>
    <w:qFormat/>
    <w:rsid w:val="00ea1435"/>
  </w:style>
  <w:style w:type="numbering" w:styleId="FrListare138" w:customStyle="1">
    <w:name w:val="Fără Listare138"/>
    <w:uiPriority w:val="99"/>
    <w:semiHidden/>
    <w:qFormat/>
    <w:rsid w:val="00ea1435"/>
  </w:style>
  <w:style w:type="numbering" w:styleId="FrListare2117" w:customStyle="1">
    <w:name w:val="Fără Listare2117"/>
    <w:uiPriority w:val="99"/>
    <w:semiHidden/>
    <w:unhideWhenUsed/>
    <w:qFormat/>
    <w:rsid w:val="00ea1435"/>
  </w:style>
  <w:style w:type="numbering" w:styleId="FrListare3110" w:customStyle="1">
    <w:name w:val="Fără Listare3110"/>
    <w:uiPriority w:val="99"/>
    <w:semiHidden/>
    <w:unhideWhenUsed/>
    <w:qFormat/>
    <w:rsid w:val="00ea1435"/>
  </w:style>
  <w:style w:type="numbering" w:styleId="FrListare420" w:customStyle="1">
    <w:name w:val="Fără Listare420"/>
    <w:semiHidden/>
    <w:qFormat/>
    <w:rsid w:val="00ea1435"/>
  </w:style>
  <w:style w:type="numbering" w:styleId="FrListare148" w:customStyle="1">
    <w:name w:val="Fără Listare148"/>
    <w:uiPriority w:val="99"/>
    <w:semiHidden/>
    <w:qFormat/>
    <w:rsid w:val="00ea1435"/>
  </w:style>
  <w:style w:type="numbering" w:styleId="FrListare229" w:customStyle="1">
    <w:name w:val="Fără Listare229"/>
    <w:uiPriority w:val="99"/>
    <w:semiHidden/>
    <w:unhideWhenUsed/>
    <w:qFormat/>
    <w:rsid w:val="00ea1435"/>
  </w:style>
  <w:style w:type="numbering" w:styleId="FrListare325" w:customStyle="1">
    <w:name w:val="Fără Listare325"/>
    <w:uiPriority w:val="99"/>
    <w:semiHidden/>
    <w:unhideWhenUsed/>
    <w:qFormat/>
    <w:rsid w:val="00ea1435"/>
  </w:style>
  <w:style w:type="numbering" w:styleId="FrListare520" w:customStyle="1">
    <w:name w:val="Fără Listare520"/>
    <w:uiPriority w:val="99"/>
    <w:semiHidden/>
    <w:qFormat/>
    <w:rsid w:val="00ea1435"/>
  </w:style>
  <w:style w:type="numbering" w:styleId="FrListare158" w:customStyle="1">
    <w:name w:val="Fără Listare158"/>
    <w:uiPriority w:val="99"/>
    <w:semiHidden/>
    <w:unhideWhenUsed/>
    <w:qFormat/>
    <w:rsid w:val="00ea1435"/>
  </w:style>
  <w:style w:type="numbering" w:styleId="FrListare238" w:customStyle="1">
    <w:name w:val="Fără Listare238"/>
    <w:uiPriority w:val="99"/>
    <w:semiHidden/>
    <w:unhideWhenUsed/>
    <w:qFormat/>
    <w:rsid w:val="00ea1435"/>
  </w:style>
  <w:style w:type="numbering" w:styleId="FrListare335" w:customStyle="1">
    <w:name w:val="Fără Listare335"/>
    <w:semiHidden/>
    <w:qFormat/>
    <w:rsid w:val="00ea1435"/>
  </w:style>
  <w:style w:type="numbering" w:styleId="FrListare4110" w:customStyle="1">
    <w:name w:val="Fără Listare4110"/>
    <w:semiHidden/>
    <w:qFormat/>
    <w:rsid w:val="00ea1435"/>
  </w:style>
  <w:style w:type="numbering" w:styleId="FrListare5110" w:customStyle="1">
    <w:name w:val="Fără Listare5110"/>
    <w:uiPriority w:val="99"/>
    <w:semiHidden/>
    <w:unhideWhenUsed/>
    <w:qFormat/>
    <w:rsid w:val="00ea1435"/>
  </w:style>
  <w:style w:type="numbering" w:styleId="FrListare619" w:customStyle="1">
    <w:name w:val="Fără Listare619"/>
    <w:uiPriority w:val="99"/>
    <w:semiHidden/>
    <w:unhideWhenUsed/>
    <w:qFormat/>
    <w:rsid w:val="00ea1435"/>
  </w:style>
  <w:style w:type="numbering" w:styleId="FrListare716" w:customStyle="1">
    <w:name w:val="Fără Listare716"/>
    <w:uiPriority w:val="99"/>
    <w:semiHidden/>
    <w:unhideWhenUsed/>
    <w:qFormat/>
    <w:rsid w:val="00ea1435"/>
  </w:style>
  <w:style w:type="numbering" w:styleId="FrListare88" w:customStyle="1">
    <w:name w:val="Fără Listare88"/>
    <w:semiHidden/>
    <w:qFormat/>
    <w:rsid w:val="00ea1435"/>
  </w:style>
  <w:style w:type="numbering" w:styleId="FrListare98" w:customStyle="1">
    <w:name w:val="Fără Listare98"/>
    <w:uiPriority w:val="99"/>
    <w:semiHidden/>
    <w:unhideWhenUsed/>
    <w:qFormat/>
    <w:rsid w:val="00ea1435"/>
  </w:style>
  <w:style w:type="numbering" w:styleId="FrListare108" w:customStyle="1">
    <w:name w:val="Fără Listare108"/>
    <w:uiPriority w:val="99"/>
    <w:semiHidden/>
    <w:unhideWhenUsed/>
    <w:qFormat/>
    <w:rsid w:val="00ea1435"/>
  </w:style>
  <w:style w:type="numbering" w:styleId="FrListare168" w:customStyle="1">
    <w:name w:val="Fără Listare168"/>
    <w:semiHidden/>
    <w:qFormat/>
    <w:rsid w:val="00ea1435"/>
  </w:style>
  <w:style w:type="numbering" w:styleId="FrListare178" w:customStyle="1">
    <w:name w:val="Fără Listare178"/>
    <w:uiPriority w:val="99"/>
    <w:semiHidden/>
    <w:unhideWhenUsed/>
    <w:qFormat/>
    <w:rsid w:val="00ea1435"/>
  </w:style>
  <w:style w:type="numbering" w:styleId="FrListare188" w:customStyle="1">
    <w:name w:val="Fără Listare188"/>
    <w:uiPriority w:val="99"/>
    <w:semiHidden/>
    <w:unhideWhenUsed/>
    <w:qFormat/>
    <w:rsid w:val="00ea1435"/>
  </w:style>
  <w:style w:type="numbering" w:styleId="FrListare198" w:customStyle="1">
    <w:name w:val="Fără Listare198"/>
    <w:uiPriority w:val="99"/>
    <w:semiHidden/>
    <w:unhideWhenUsed/>
    <w:qFormat/>
    <w:rsid w:val="00ea1435"/>
  </w:style>
  <w:style w:type="numbering" w:styleId="FrListare208" w:customStyle="1">
    <w:name w:val="Fără Listare208"/>
    <w:uiPriority w:val="99"/>
    <w:semiHidden/>
    <w:unhideWhenUsed/>
    <w:qFormat/>
    <w:rsid w:val="00ea1435"/>
  </w:style>
  <w:style w:type="numbering" w:styleId="FrListare1108" w:customStyle="1">
    <w:name w:val="Fără Listare1108"/>
    <w:uiPriority w:val="99"/>
    <w:semiHidden/>
    <w:unhideWhenUsed/>
    <w:qFormat/>
    <w:rsid w:val="00ea1435"/>
  </w:style>
  <w:style w:type="numbering" w:styleId="FrListare248" w:customStyle="1">
    <w:name w:val="Fără Listare248"/>
    <w:uiPriority w:val="99"/>
    <w:semiHidden/>
    <w:unhideWhenUsed/>
    <w:qFormat/>
    <w:rsid w:val="00ea1435"/>
  </w:style>
  <w:style w:type="numbering" w:styleId="FrListare11116" w:customStyle="1">
    <w:name w:val="Fără Listare11116"/>
    <w:uiPriority w:val="99"/>
    <w:semiHidden/>
    <w:unhideWhenUsed/>
    <w:qFormat/>
    <w:rsid w:val="00ea1435"/>
  </w:style>
  <w:style w:type="numbering" w:styleId="FrListare258" w:customStyle="1">
    <w:name w:val="Fără Listare258"/>
    <w:uiPriority w:val="99"/>
    <w:semiHidden/>
    <w:unhideWhenUsed/>
    <w:qFormat/>
    <w:rsid w:val="00ea1435"/>
  </w:style>
  <w:style w:type="numbering" w:styleId="FrListare345" w:customStyle="1">
    <w:name w:val="Fără Listare345"/>
    <w:semiHidden/>
    <w:qFormat/>
    <w:rsid w:val="00ea1435"/>
  </w:style>
  <w:style w:type="numbering" w:styleId="FrListare425" w:customStyle="1">
    <w:name w:val="Fără Listare425"/>
    <w:semiHidden/>
    <w:qFormat/>
    <w:rsid w:val="00ea1435"/>
  </w:style>
  <w:style w:type="numbering" w:styleId="FrListare525" w:customStyle="1">
    <w:name w:val="Fără Listare525"/>
    <w:uiPriority w:val="99"/>
    <w:semiHidden/>
    <w:unhideWhenUsed/>
    <w:qFormat/>
    <w:rsid w:val="00ea1435"/>
  </w:style>
  <w:style w:type="numbering" w:styleId="FrListare6110" w:customStyle="1">
    <w:name w:val="Fără Listare6110"/>
    <w:uiPriority w:val="99"/>
    <w:semiHidden/>
    <w:unhideWhenUsed/>
    <w:qFormat/>
    <w:rsid w:val="00ea14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ea143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PlainTable31">
    <w:name w:val="Plain Table 31"/>
    <w:basedOn w:val="TableNormal"/>
    <w:uiPriority w:val="43"/>
    <w:rsid w:val="00ea1435"/>
    <w:pPr>
      <w:spacing w:after="0" w:line="240" w:lineRule="auto"/>
    </w:pPr>
    <w:rPr>
      <w:lang w:val="ro-RO"/>
    </w:r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4">
    <w:name w:val="Table Grid4"/>
    <w:basedOn w:val="TableNormal"/>
    <w:uiPriority w:val="59"/>
    <w:rsid w:val="00ea1435"/>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
    <w:name w:val="Grilă Tabel1"/>
    <w:basedOn w:val="TableNormal"/>
    <w:uiPriority w:val="5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uiPriority w:val="39"/>
    <w:rsid w:val="00ea1435"/>
    <w:pPr>
      <w:spacing w:after="0" w:line="240" w:lineRule="auto"/>
    </w:pPr>
    <w:rPr>
      <w:lang w:eastAsia="ro-RO"/>
      <w:sz w:val="20"/>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LightList-Accent61">
    <w:name w:val="Light List - Accent 61"/>
    <w:uiPriority w:val="99"/>
    <w:rsid w:val="00ea1435"/>
    <w:pPr>
      <w:spacing w:after="0" w:line="240" w:lineRule="auto"/>
    </w:pPr>
    <w:rPr>
      <w:lang w:eastAsia="ro-RO"/>
      <w:sz w:val="20"/>
      <w:szCs w:val="20"/>
    </w:rPr>
    <w:tblPr>
      <w:tblStyleRowBandSize w:val="1"/>
      <w:tblStyleColBandSize w:val="1"/>
      <w:tblInd w:w="0" w:type="dxa"/>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style>
  <w:style w:type="table" w:styleId="TableList7">
    <w:name w:val="Table List 7"/>
    <w:basedOn w:val="TableNormal"/>
    <w:uiPriority w:val="99"/>
    <w:semiHidden/>
    <w:rsid w:val="00ea1435"/>
    <w:pPr>
      <w:spacing w:after="0" w:line="240" w:lineRule="auto"/>
    </w:pPr>
    <w:rPr>
      <w:sz w:val="20"/>
      <w:szCs w:val="20"/>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rPr/>
      <w:tblPr/>
      <w:tcPr>
        <w:tcBorders>
          <w:tl2br w:val="none" w:color="auto" w:sz="0" w:space="0"/>
          <w:tr2bl w:val="none" w:color="auto" w:sz="0" w:space="0"/>
        </w:tcBorders>
        <w:shd w:val="pct25" w:color="FFFF00" w:fill="FFFFFF"/>
      </w:tcPr>
    </w:tblStylePr>
  </w:style>
  <w:style w:type="table" w:customStyle="1" w:styleId="LightShading-Accent11">
    <w:name w:val="Light Shading - Accent 11"/>
    <w:uiPriority w:val="99"/>
    <w:rsid w:val="00ea1435"/>
    <w:pPr>
      <w:spacing w:after="0" w:line="240" w:lineRule="auto"/>
    </w:pPr>
    <w:rPr>
      <w:color w:val="365F91"/>
      <w:sz w:val="20"/>
      <w:szCs w:val="20"/>
    </w:rPr>
    <w:tblPr>
      <w:tblStyleRowBandSize w:val="1"/>
      <w:tblStyleColBandSize w:val="1"/>
      <w:tblInd w:w="0" w:type="dxa"/>
      <w:tblBorders>
        <w:top w:val="single" w:color="4F81BD" w:sz="8" w:space="0"/>
        <w:bottom w:val="single" w:color="4F81BD" w:sz="8" w:space="0"/>
      </w:tblBorders>
      <w:tblCellMar>
        <w:top w:w="0" w:type="dxa"/>
        <w:left w:w="108" w:type="dxa"/>
        <w:bottom w:w="0" w:type="dxa"/>
        <w:right w:w="108" w:type="dxa"/>
      </w:tblCellMar>
    </w:tblPr>
  </w:style>
  <w:style w:type="table" w:customStyle="1" w:styleId="TableGrid11">
    <w:name w:val="Table Grid11"/>
    <w:uiPriority w:val="99"/>
    <w:rsid w:val="00ea1435"/>
    <w:pPr>
      <w:spacing w:after="0" w:line="240" w:lineRule="auto"/>
    </w:pPr>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LightList-Accent11">
    <w:name w:val="Light List - Accent 11"/>
    <w:uiPriority w:val="99"/>
    <w:rsid w:val="00ea1435"/>
    <w:pPr>
      <w:spacing w:after="0" w:line="240" w:lineRule="auto"/>
    </w:pPr>
    <w:rPr>
      <w:sz w:val="20"/>
      <w:szCs w:val="20"/>
    </w:rPr>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table" w:customStyle="1" w:styleId="TableGrid2">
    <w:name w:val="Table Grid2"/>
    <w:uiPriority w:val="99"/>
    <w:rsid w:val="00ea1435"/>
    <w:pPr>
      <w:spacing w:after="0" w:line="240" w:lineRule="auto"/>
    </w:pPr>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Stil1">
    <w:name w:val="Stil1"/>
    <w:uiPriority w:val="99"/>
    <w:qFormat/>
    <w:rsid w:val="00ea1435"/>
    <w:pPr>
      <w:spacing w:after="0" w:line="240" w:lineRule="auto"/>
    </w:pPr>
    <w:rPr>
      <w:lang w:eastAsia="ro-RO"/>
      <w:sz w:val="20"/>
      <w:szCs w:val="20"/>
    </w:rPr>
    <w:tblPr>
      <w:tblInd w:w="0" w:type="dxa"/>
      <w:tblCellMar>
        <w:top w:w="0" w:type="dxa"/>
        <w:left w:w="108" w:type="dxa"/>
        <w:bottom w:w="0" w:type="dxa"/>
        <w:right w:w="108" w:type="dxa"/>
      </w:tblCellMar>
    </w:tblPr>
  </w:style>
  <w:style w:type="table" w:styleId="LightList-Accent6">
    <w:name w:val="Light List Accent 6"/>
    <w:basedOn w:val="TableNormal"/>
    <w:uiPriority w:val="99"/>
    <w:rsid w:val="00ea1435"/>
    <w:pPr>
      <w:spacing w:after="0" w:line="240" w:lineRule="auto"/>
    </w:pPr>
    <w:rPr>
      <w:sz w:val="20"/>
      <w:szCs w:val="20"/>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Pr/>
    </w:tblStylePr>
    <w:tblStylePr w:type="lastCol">
      <w:rPr>
        <w:b/>
        <w:bCs/>
      </w:rPr>
      <w:tblPr/>
    </w:tblStylePr>
    <w:tblStylePr w:type="band1Vert">
      <w:rPr/>
      <w:tblPr/>
      <w:tcPr>
        <w:tcBorders>
          <w:top w:val="single" w:color="F79646" w:sz="8" w:space="0"/>
          <w:left w:val="single" w:color="F79646" w:sz="8" w:space="0"/>
          <w:bottom w:val="single" w:color="F79646" w:sz="8" w:space="0"/>
          <w:right w:val="single" w:color="F79646" w:sz="8" w:space="0"/>
        </w:tcBorders>
      </w:tcPr>
    </w:tblStylePr>
    <w:tblStylePr w:type="band1Horz">
      <w:rPr/>
      <w:tblPr/>
      <w:tcPr>
        <w:tcBorders>
          <w:top w:val="single" w:color="F79646" w:sz="8" w:space="0"/>
          <w:left w:val="single" w:color="F79646" w:sz="8" w:space="0"/>
          <w:bottom w:val="single" w:color="F79646" w:sz="8" w:space="0"/>
          <w:right w:val="single" w:color="F79646" w:sz="8" w:space="0"/>
        </w:tcBorders>
      </w:tcPr>
    </w:tblStylePr>
  </w:style>
  <w:style w:type="table" w:customStyle="1" w:styleId="LightShading-Accent111">
    <w:name w:val="Light Shading - Accent 111"/>
    <w:uiPriority w:val="99"/>
    <w:rsid w:val="00ea1435"/>
    <w:pPr>
      <w:spacing w:after="0" w:line="240" w:lineRule="auto"/>
    </w:pPr>
    <w:rPr>
      <w:lang w:eastAsia="ro-RO"/>
      <w:color w:val="979772"/>
      <w:sz w:val="20"/>
      <w:szCs w:val="20"/>
    </w:rPr>
    <w:tblPr>
      <w:tblStyleRowBandSize w:val="1"/>
      <w:tblStyleColBandSize w:val="1"/>
      <w:tblInd w:w="0" w:type="dxa"/>
      <w:tblBorders>
        <w:top w:val="single" w:color="BDBDA6" w:sz="8" w:space="0"/>
        <w:bottom w:val="single" w:color="BDBDA6" w:sz="8" w:space="0"/>
      </w:tblBorders>
      <w:tblCellMar>
        <w:top w:w="0" w:type="dxa"/>
        <w:left w:w="108" w:type="dxa"/>
        <w:bottom w:w="0" w:type="dxa"/>
        <w:right w:w="108" w:type="dxa"/>
      </w:tblCellMar>
    </w:tblPr>
  </w:style>
  <w:style w:type="table" w:customStyle="1" w:styleId="LightShading-Accent12">
    <w:name w:val="Light Shading - Accent 12"/>
    <w:uiPriority w:val="99"/>
    <w:rsid w:val="00ea1435"/>
    <w:pPr>
      <w:spacing w:after="0" w:line="240" w:lineRule="auto"/>
    </w:pPr>
    <w:rPr>
      <w:lang w:eastAsia="ro-RO"/>
      <w:color w:val="979772"/>
      <w:sz w:val="20"/>
      <w:szCs w:val="20"/>
    </w:rPr>
    <w:tblPr>
      <w:tblStyleRowBandSize w:val="1"/>
      <w:tblStyleColBandSize w:val="1"/>
      <w:tblInd w:w="0" w:type="dxa"/>
      <w:tblBorders>
        <w:top w:val="single" w:color="BDBDA6" w:sz="8" w:space="0"/>
        <w:bottom w:val="single" w:color="BDBDA6" w:sz="8" w:space="0"/>
      </w:tblBorders>
      <w:tblCellMar>
        <w:top w:w="0" w:type="dxa"/>
        <w:left w:w="108" w:type="dxa"/>
        <w:bottom w:w="0" w:type="dxa"/>
        <w:right w:w="108" w:type="dxa"/>
      </w:tblCellMar>
    </w:tblPr>
  </w:style>
  <w:style w:type="table" w:customStyle="1" w:styleId="MediumGrid3-Accent11">
    <w:name w:val="Medium Grid 3 - Accent 11"/>
    <w:uiPriority w:val="99"/>
    <w:rsid w:val="00ea1435"/>
    <w:pPr>
      <w:spacing w:after="0" w:line="240" w:lineRule="auto"/>
    </w:pPr>
    <w:rPr>
      <w:sz w:val="20"/>
      <w:szCs w:val="20"/>
    </w:rPr>
    <w:tblPr>
      <w:tblStyleRowBandSize w:val="1"/>
      <w:tblStyleColBandSize w:val="1"/>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EEEE8"/>
    </w:tcPr>
  </w:style>
  <w:style w:type="table" w:customStyle="1" w:styleId="TableGrid3">
    <w:name w:val="Table Grid3"/>
    <w:uiPriority w:val="99"/>
    <w:rsid w:val="00ea1435"/>
    <w:pPr>
      <w:spacing w:after="0" w:line="240" w:lineRule="auto"/>
    </w:pPr>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MediumGrid3-Accent1">
    <w:name w:val="Medium Grid 3 Accent 1"/>
    <w:basedOn w:val="TableNormal"/>
    <w:uiPriority w:val="99"/>
    <w:rsid w:val="00ea1435"/>
    <w:pPr>
      <w:spacing w:after="0" w:line="240" w:lineRule="auto"/>
    </w:pPr>
    <w:rPr>
      <w:sz w:val="20"/>
      <w:szCs w:val="20"/>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color w:val="FFFFFF"/>
      </w:rPr>
      <w:tblPr/>
      <w:tcPr>
        <w:tcBorders>
          <w:top w:val="nil"/>
          <w:left w:val="single" w:color="FFFFFF" w:sz="24" w:space="0"/>
          <w:bottom w:val="nil"/>
          <w:right w:val="nil"/>
          <w:insideH w:val="nil"/>
          <w:insideV w:val="nil"/>
        </w:tcBorders>
        <w:shd w:val="clear" w:color="auto" w:fill="4F81BD"/>
      </w:tcPr>
    </w:tblStylePr>
    <w:tblStylePr w:type="band1Vert">
      <w:rPr/>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rPr/>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TableGrid10">
    <w:name w:val="Table Grid 1"/>
    <w:basedOn w:val="TableNormal"/>
    <w:uiPriority w:val="99"/>
    <w:rsid w:val="00ea1435"/>
    <w:pPr>
      <w:spacing w:after="0" w:line="240" w:lineRule="auto"/>
    </w:pPr>
    <w:rPr>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styleId="TableGrid5">
    <w:name w:val="Table Grid 5"/>
    <w:basedOn w:val="TableNormal"/>
    <w:uiPriority w:val="99"/>
    <w:rsid w:val="00ea1435"/>
    <w:pPr>
      <w:spacing w:after="0" w:line="240" w:lineRule="auto"/>
    </w:pPr>
    <w:rPr>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rPr/>
      <w:tblPr/>
      <w:tcPr>
        <w:tcBorders>
          <w:tl2br w:val="single" w:color="000000" w:sz="6" w:space="0"/>
          <w:tr2bl w:val="none" w:color="auto" w:sz="0" w:space="0"/>
        </w:tcBorders>
      </w:tcPr>
    </w:tblStylePr>
  </w:style>
  <w:style w:type="table" w:styleId="TableElegant">
    <w:name w:val="Table Elegant"/>
    <w:basedOn w:val="TableNormal"/>
    <w:uiPriority w:val="99"/>
    <w:rsid w:val="00ea1435"/>
    <w:pPr>
      <w:spacing w:after="0" w:line="240" w:lineRule="auto"/>
    </w:pPr>
    <w:rPr>
      <w:lang w:eastAsia="ro-RO"/>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one" w:color="auto" w:sz="0" w:space="0"/>
          <w:tr2bl w:val="none" w:color="auto" w:sz="0" w:space="0"/>
        </w:tcBorders>
      </w:tcPr>
    </w:tblStylePr>
  </w:style>
  <w:style w:type="table" w:styleId="LightShading-Accent3">
    <w:name w:val="Light Shading Accent 3"/>
    <w:basedOn w:val="TableNormal"/>
    <w:uiPriority w:val="99"/>
    <w:rsid w:val="00ea1435"/>
    <w:pPr>
      <w:spacing w:after="0" w:line="240" w:lineRule="auto"/>
    </w:pPr>
    <w:rPr>
      <w:color w:val="76923C"/>
      <w:sz w:val="20"/>
      <w:szCs w:val="20"/>
    </w:rPr>
    <w:tblPr>
      <w:tblStyleRowBandSize w:val="1"/>
      <w:tblStyleColBandSize w:val="1"/>
      <w:tblBorders>
        <w:top w:val="single" w:color="9BBB59" w:sz="8" w:space="0"/>
        <w:bottom w:val="single" w:color="9BBB59" w:sz="8" w:space="0"/>
      </w:tblBorders>
    </w:tblPr>
    <w:tblStylePr w:type="firstRow">
      <w:pPr>
        <w:spacing w:before="0" w:after="0"/>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pPr>
      <w:rPr>
        <w:b/>
        <w:bCs/>
      </w:rPr>
      <w:tblPr/>
      <w:tcPr>
        <w:tcBorders>
          <w:top w:val="single" w:color="9BBB59" w:sz="8" w:space="0"/>
          <w:left w:val="nil"/>
          <w:bottom w:val="single" w:color="9BBB59"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E6EED5"/>
      </w:tcPr>
    </w:tblStylePr>
    <w:tblStylePr w:type="band1Horz">
      <w:rPr/>
      <w:tblPr/>
      <w:tcPr>
        <w:tcBorders>
          <w:left w:val="nil"/>
          <w:right w:val="nil"/>
          <w:insideH w:val="nil"/>
          <w:insideV w:val="nil"/>
        </w:tcBorders>
        <w:shd w:val="clear" w:color="auto" w:fill="E6EED5"/>
      </w:tcPr>
    </w:tblStylePr>
  </w:style>
  <w:style w:type="table" w:styleId="MediumShading1-Accent3">
    <w:name w:val="Medium Shading 1 Accent 3"/>
    <w:basedOn w:val="TableNormal"/>
    <w:uiPriority w:val="99"/>
    <w:rsid w:val="00ea1435"/>
    <w:pPr>
      <w:spacing w:after="0" w:line="240" w:lineRule="auto"/>
    </w:pPr>
    <w:rPr>
      <w:sz w:val="20"/>
      <w:szCs w:val="20"/>
    </w:rPr>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Pr/>
    </w:tblStylePr>
    <w:tblStylePr w:type="lastCol">
      <w:rPr>
        <w:b/>
        <w:bCs/>
      </w:rPr>
      <w:tblPr/>
    </w:tblStylePr>
    <w:tblStylePr w:type="band1Vert">
      <w:rPr/>
      <w:tblPr/>
      <w:tcPr>
        <w:shd w:val="clear" w:color="auto" w:fill="E6EED5"/>
      </w:tcPr>
    </w:tblStylePr>
    <w:tblStylePr w:type="band1Horz">
      <w:rPr/>
      <w:tblPr/>
      <w:tcPr>
        <w:tcBorders>
          <w:insideH w:val="nil"/>
          <w:insideV w:val="nil"/>
        </w:tcBorders>
        <w:shd w:val="clear" w:color="auto" w:fill="E6EED5"/>
      </w:tcPr>
    </w:tblStylePr>
    <w:tblStylePr w:type="band2Horz">
      <w:rPr/>
      <w:tblPr/>
      <w:tcPr>
        <w:tcBorders>
          <w:insideH w:val="nil"/>
          <w:insideV w:val="nil"/>
        </w:tcBorders>
      </w:tcPr>
    </w:tblStylePr>
  </w:style>
  <w:style w:type="table" w:styleId="MediumList1-Accent2">
    <w:name w:val="Medium List 1 Accent 2"/>
    <w:basedOn w:val="TableNormal"/>
    <w:uiPriority w:val="99"/>
    <w:rsid w:val="00ea1435"/>
    <w:pPr>
      <w:spacing w:after="0" w:line="240" w:lineRule="auto"/>
    </w:pPr>
    <w:rPr>
      <w:color w:val="000000"/>
      <w:sz w:val="20"/>
      <w:szCs w:val="20"/>
    </w:rPr>
    <w:tblPr>
      <w:tblStyleRowBandSize w:val="1"/>
      <w:tblStyleColBandSize w:val="1"/>
      <w:tblBorders>
        <w:top w:val="single" w:color="C0504D" w:sz="8" w:space="0"/>
        <w:bottom w:val="single" w:color="C0504D" w:sz="8" w:space="0"/>
      </w:tblBorders>
    </w:tblPr>
    <w:tblStylePr w:type="firstRow">
      <w:rPr/>
      <w:tblPr/>
      <w:tcPr>
        <w:tcBorders>
          <w:top w:val="nil"/>
          <w:bottom w:val="single" w:color="C0504D" w:sz="8" w:space="0"/>
        </w:tcBorders>
      </w:tcPr>
    </w:tblStylePr>
    <w:tblStylePr w:type="lastRow">
      <w:rPr>
        <w:b/>
        <w:bCs/>
        <w:color w:val="1F497D"/>
      </w:rPr>
      <w:tblPr/>
      <w:tcPr>
        <w:tcBorders>
          <w:top w:val="single" w:color="C0504D" w:sz="8" w:space="0"/>
          <w:bottom w:val="single" w:color="C0504D" w:sz="8" w:space="0"/>
        </w:tcBorders>
      </w:tcPr>
    </w:tblStylePr>
    <w:tblStylePr w:type="firstCol">
      <w:rPr>
        <w:b/>
        <w:bCs/>
      </w:rPr>
      <w:tblPr/>
    </w:tblStylePr>
    <w:tblStylePr w:type="lastCol">
      <w:rPr>
        <w:b/>
        <w:bCs/>
      </w:rPr>
      <w:tblPr/>
      <w:tcPr>
        <w:tcBorders>
          <w:top w:val="single" w:color="C0504D" w:sz="8" w:space="0"/>
          <w:bottom w:val="single" w:color="C0504D" w:sz="8" w:space="0"/>
        </w:tcBorders>
      </w:tcPr>
    </w:tblStylePr>
    <w:tblStylePr w:type="band1Vert">
      <w:rPr/>
      <w:tblPr/>
      <w:tcPr>
        <w:shd w:val="clear" w:color="auto" w:fill="EFD3D2"/>
      </w:tcPr>
    </w:tblStylePr>
    <w:tblStylePr w:type="band1Horz">
      <w:rPr/>
      <w:tblPr/>
      <w:tcPr>
        <w:shd w:val="clear" w:color="auto" w:fill="EFD3D2"/>
      </w:tcPr>
    </w:tblStylePr>
  </w:style>
  <w:style w:type="table" w:customStyle="1" w:styleId="TableGridLight1">
    <w:name w:val="Table Grid Light1"/>
    <w:uiPriority w:val="99"/>
    <w:rsid w:val="00ea1435"/>
    <w:pPr>
      <w:spacing w:after="0" w:line="240" w:lineRule="auto"/>
    </w:pPr>
    <w:rPr>
      <w:sz w:val="20"/>
      <w:szCs w:val="20"/>
    </w:rPr>
    <w:tblPr>
      <w:tblInd w:w="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styleId="MediumList1-Accent3">
    <w:name w:val="Medium List 1 Accent 3"/>
    <w:basedOn w:val="TableNormal"/>
    <w:uiPriority w:val="99"/>
    <w:rsid w:val="00ea1435"/>
    <w:pPr>
      <w:spacing w:after="0" w:line="240" w:lineRule="auto"/>
    </w:pPr>
    <w:rPr>
      <w:color w:val="000000"/>
      <w:sz w:val="20"/>
      <w:szCs w:val="20"/>
    </w:rPr>
    <w:tblPr>
      <w:tblStyleRowBandSize w:val="1"/>
      <w:tblStyleColBandSize w:val="1"/>
      <w:tblBorders>
        <w:top w:val="single" w:color="658B92" w:sz="8" w:space="0"/>
        <w:bottom w:val="single" w:color="658B92" w:sz="8" w:space="0"/>
      </w:tblBorders>
    </w:tblPr>
    <w:tblStylePr w:type="firstRow">
      <w:rPr/>
      <w:tblPr/>
      <w:tcPr>
        <w:tcBorders>
          <w:top w:val="nil"/>
          <w:bottom w:val="single" w:color="658B92" w:sz="8" w:space="0"/>
        </w:tcBorders>
      </w:tcPr>
    </w:tblStylePr>
    <w:tblStylePr w:type="lastRow">
      <w:rPr>
        <w:b/>
        <w:bCs/>
        <w:color w:val="1F497D"/>
      </w:rPr>
      <w:tblPr/>
      <w:tcPr>
        <w:tcBorders>
          <w:top w:val="single" w:color="658B92" w:sz="8" w:space="0"/>
          <w:bottom w:val="single" w:color="658B92" w:sz="8" w:space="0"/>
        </w:tcBorders>
      </w:tcPr>
    </w:tblStylePr>
    <w:tblStylePr w:type="firstCol">
      <w:rPr>
        <w:b/>
        <w:bCs/>
      </w:rPr>
      <w:tblPr/>
    </w:tblStylePr>
    <w:tblStylePr w:type="lastCol">
      <w:rPr>
        <w:b/>
        <w:bCs/>
      </w:rPr>
      <w:tblPr/>
      <w:tcPr>
        <w:tcBorders>
          <w:top w:val="single" w:color="658B92" w:sz="8" w:space="0"/>
          <w:bottom w:val="single" w:color="658B92" w:sz="8" w:space="0"/>
        </w:tcBorders>
      </w:tcPr>
    </w:tblStylePr>
    <w:tblStylePr w:type="band1Vert">
      <w:rPr/>
      <w:tblPr/>
      <w:tcPr>
        <w:shd w:val="clear" w:color="auto" w:fill="D8E2E4"/>
      </w:tcPr>
    </w:tblStylePr>
    <w:tblStylePr w:type="band1Horz">
      <w:rPr/>
      <w:tblPr/>
      <w:tcPr>
        <w:shd w:val="clear" w:color="auto" w:fill="D8E2E4"/>
      </w:tcPr>
    </w:tblStylePr>
  </w:style>
  <w:style w:type="table" w:customStyle="1" w:styleId="TableGrid50">
    <w:name w:val="Table Grid5"/>
    <w:basedOn w:val="TableNormal"/>
    <w:uiPriority w:val="5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MediumGrid3-Accent111">
    <w:name w:val="Medium Grid 3 - Accent 111"/>
    <w:uiPriority w:val="99"/>
    <w:rsid w:val="00ea1435"/>
    <w:pPr>
      <w:spacing w:after="0" w:line="240" w:lineRule="auto"/>
    </w:pPr>
    <w:rPr>
      <w:sz w:val="20"/>
      <w:szCs w:val="20"/>
    </w:rPr>
    <w:tblPr>
      <w:tblStyleRowBandSize w:val="1"/>
      <w:tblStyleColBandSize w:val="1"/>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EEEE8"/>
    </w:tcPr>
  </w:style>
  <w:style w:type="table" w:customStyle="1" w:styleId="MediumGrid3-Accent112">
    <w:name w:val="Medium Grid 3 - Accent 112"/>
    <w:uiPriority w:val="99"/>
    <w:rsid w:val="00ea1435"/>
    <w:pPr>
      <w:spacing w:after="0" w:line="240" w:lineRule="auto"/>
    </w:pPr>
    <w:rPr>
      <w:sz w:val="20"/>
      <w:szCs w:val="20"/>
    </w:rPr>
    <w:tblPr>
      <w:tblStyleRowBandSize w:val="1"/>
      <w:tblStyleColBandSize w:val="1"/>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EEEE8"/>
    </w:tcPr>
  </w:style>
  <w:style w:type="table" w:customStyle="1" w:styleId="TableGrid6">
    <w:name w:val="Table Grid6"/>
    <w:basedOn w:val="TableNormal"/>
    <w:uiPriority w:val="5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7">
    <w:name w:val="Table Grid7"/>
    <w:basedOn w:val="TableNormal"/>
    <w:uiPriority w:val="5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8">
    <w:name w:val="Table Grid8"/>
    <w:basedOn w:val="TableNormal"/>
    <w:uiPriority w:val="3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0">
    <w:name w:val="Table Grid 8"/>
    <w:basedOn w:val="TableNormal"/>
    <w:rsid w:val="00ea1435"/>
    <w:pPr>
      <w:spacing w:after="0" w:line="240" w:lineRule="auto"/>
    </w:pPr>
    <w:rPr>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Web1">
    <w:name w:val="Table Web 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1">
    <w:name w:val="Grilă Tabel1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2">
    <w:name w:val="Grilă Tabel2"/>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3">
    <w:name w:val="Grilă Tabel3"/>
    <w:basedOn w:val="TableNormal"/>
    <w:uiPriority w:val="5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4">
    <w:name w:val="Grilă Tabel4"/>
    <w:basedOn w:val="TableNormal"/>
    <w:rsid w:val="00ea1435"/>
    <w:pPr>
      <w:spacing w:after="0" w:line="240" w:lineRule="auto"/>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2">
    <w:name w:val="Grilă Tabel12"/>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
    <w:name w:val="Grilă Tabel5"/>
    <w:basedOn w:val="TableNormal"/>
    <w:rsid w:val="00ea1435"/>
    <w:pPr>
      <w:spacing w:after="0" w:line="240" w:lineRule="auto"/>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3">
    <w:name w:val="Grilă Tabel13"/>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1">
    <w:name w:val="Grilă Tabel4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1">
    <w:name w:val="Grilă Tabel5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4">
    <w:name w:val="Grilă Tabel14"/>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2">
    <w:name w:val="Grilă Tabel42"/>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2">
    <w:name w:val="Grilă Tabel52"/>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6">
    <w:name w:val="Grilă Tabel6"/>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7">
    <w:name w:val="Grilă Tabel7"/>
    <w:basedOn w:val="TableNormal"/>
    <w:uiPriority w:val="59"/>
    <w:rsid w:val="00ea1435"/>
    <w:pPr>
      <w:spacing w:after="0" w:line="240" w:lineRule="auto"/>
      <w:jc w:val="both"/>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1">
    <w:name w:val="Tabel Web 1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5">
    <w:name w:val="Grilă Tabel15"/>
    <w:basedOn w:val="TableNormal"/>
    <w:uiPriority w:val="59"/>
    <w:rsid w:val="00ea1435"/>
    <w:pPr>
      <w:spacing w:after="0" w:line="240" w:lineRule="auto"/>
      <w:jc w:val="both"/>
    </w:pPr>
    <w:rPr>
      <w:lang w:bidi="en-US"/>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21">
    <w:name w:val="Grilă Tabel2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31">
    <w:name w:val="Grilă Tabel3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2">
    <w:name w:val="Tabel Web 12"/>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6">
    <w:name w:val="Grilă Tabel16"/>
    <w:basedOn w:val="TableNormal"/>
    <w:uiPriority w:val="59"/>
    <w:rsid w:val="00ea1435"/>
    <w:pPr>
      <w:spacing w:after="0" w:line="240" w:lineRule="auto"/>
      <w:jc w:val="both"/>
    </w:pPr>
    <w:rPr>
      <w:lang w:bidi="en-US"/>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22">
    <w:name w:val="Grilă Tabel22"/>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32">
    <w:name w:val="Grilă Tabel32"/>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11">
    <w:name w:val="Tabel Web 11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11">
    <w:name w:val="Grilă Tabel111"/>
    <w:basedOn w:val="TableNormal"/>
    <w:uiPriority w:val="59"/>
    <w:rsid w:val="00ea1435"/>
    <w:pPr>
      <w:spacing w:after="0" w:line="240" w:lineRule="auto"/>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11">
    <w:name w:val="Grilă Tabel111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211">
    <w:name w:val="Grilă Tabel211"/>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311">
    <w:name w:val="Grilă Tabel311"/>
    <w:basedOn w:val="TableNormal"/>
    <w:uiPriority w:val="5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111">
    <w:name w:val="Tabel Web 111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2111">
    <w:name w:val="Grilă Tabel211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3111">
    <w:name w:val="Grilă Tabel311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8">
    <w:name w:val="Grilă Tabel8"/>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17">
    <w:name w:val="Grilă Tabel17"/>
    <w:basedOn w:val="TableNormal"/>
    <w:uiPriority w:val="59"/>
    <w:rsid w:val="00ea1435"/>
    <w:pPr>
      <w:spacing w:after="0" w:line="240" w:lineRule="auto"/>
      <w:jc w:val="both"/>
    </w:pPr>
    <w:rPr>
      <w:lang w:bidi="en-US"/>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8">
    <w:name w:val="Grilă Tabel18"/>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3">
    <w:name w:val="Grilă Tabel43"/>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3">
    <w:name w:val="Grilă Tabel53"/>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9">
    <w:name w:val="Grilă Tabel19"/>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4">
    <w:name w:val="Grilă Tabel44"/>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4">
    <w:name w:val="Grilă Tabel54"/>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elWeb13">
    <w:name w:val="Tabel Web 13"/>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12">
    <w:name w:val="Tabel Web 112"/>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21">
    <w:name w:val="Tabel Web 12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112">
    <w:name w:val="Tabel Web 1112"/>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211">
    <w:name w:val="Tabel Web 121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1111">
    <w:name w:val="Tabel Web 1111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11111">
    <w:name w:val="Tabel Web 11111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10">
    <w:name w:val="Grilă Tabel110"/>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5">
    <w:name w:val="Grilă Tabel45"/>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5">
    <w:name w:val="Grilă Tabel55"/>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2">
    <w:name w:val="Grilă Tabel112"/>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6">
    <w:name w:val="Grilă Tabel46"/>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6">
    <w:name w:val="Grilă Tabel56"/>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51">
    <w:name w:val="Grilă Tabel151"/>
    <w:basedOn w:val="TableNormal"/>
    <w:uiPriority w:val="59"/>
    <w:rsid w:val="00ea1435"/>
    <w:pPr>
      <w:spacing w:after="0" w:line="240" w:lineRule="auto"/>
      <w:jc w:val="both"/>
    </w:pPr>
    <w:rPr>
      <w:lang w:bidi="en-US"/>
      <w:sz w:val="20"/>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61">
    <w:name w:val="Grilă Tabel161"/>
    <w:basedOn w:val="TableNormal"/>
    <w:uiPriority w:val="59"/>
    <w:rsid w:val="00ea1435"/>
    <w:pPr>
      <w:spacing w:after="0" w:line="240" w:lineRule="auto"/>
      <w:jc w:val="both"/>
    </w:pPr>
    <w:rPr>
      <w:lang w:bidi="en-US"/>
      <w:sz w:val="20"/>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12">
    <w:name w:val="Grilă Tabel1112"/>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71">
    <w:name w:val="Grilă Tabel171"/>
    <w:basedOn w:val="TableNormal"/>
    <w:uiPriority w:val="59"/>
    <w:rsid w:val="00ea1435"/>
    <w:pPr>
      <w:spacing w:after="0" w:line="240" w:lineRule="auto"/>
      <w:jc w:val="both"/>
    </w:pPr>
    <w:rPr>
      <w:lang w:bidi="en-US"/>
      <w:sz w:val="20"/>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52">
    <w:name w:val="Grilă Tabel152"/>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3">
    <w:name w:val="Grilă Tabel113"/>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7">
    <w:name w:val="Grilă Tabel47"/>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7">
    <w:name w:val="Grilă Tabel57"/>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elWeb14">
    <w:name w:val="Tabel Web 14"/>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5">
    <w:name w:val="Tabel Web 15"/>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13">
    <w:name w:val="Tabel Web 113"/>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6">
    <w:name w:val="Tabel Web 16"/>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7">
    <w:name w:val="Tabel Web 17"/>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8">
    <w:name w:val="Tabel Web 18"/>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14">
    <w:name w:val="Grilă Tabel114"/>
    <w:basedOn w:val="TableNormal"/>
    <w:uiPriority w:val="59"/>
    <w:rsid w:val="00ea1435"/>
    <w:pPr>
      <w:spacing w:after="0" w:line="240" w:lineRule="auto"/>
      <w:jc w:val="both"/>
    </w:pPr>
    <w:rPr>
      <w:lang w:bidi="en-US"/>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5">
    <w:name w:val="Grilă Tabel115"/>
    <w:basedOn w:val="TableNormal"/>
    <w:uiPriority w:val="59"/>
    <w:rsid w:val="00ea1435"/>
    <w:pPr>
      <w:spacing w:after="0" w:line="240" w:lineRule="auto"/>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13">
    <w:name w:val="Grilă Tabel1113"/>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14">
    <w:name w:val="Tabel Web 114"/>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22">
    <w:name w:val="Tabel Web 122"/>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TabelWeb11121">
    <w:name w:val="Tabel Web 1112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1111">
    <w:name w:val="Grilă Tabel11111"/>
    <w:basedOn w:val="TableNormal"/>
    <w:uiPriority w:val="59"/>
    <w:rsid w:val="00ea1435"/>
    <w:pPr>
      <w:spacing w:after="0" w:line="240" w:lineRule="auto"/>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1111">
    <w:name w:val="Grilă Tabel11111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1112">
    <w:name w:val="Tabel Web 11112"/>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styleId="MediumGrid3-Accent5">
    <w:name w:val="Medium Grid 3 Accent 5"/>
    <w:basedOn w:val="TableNormal"/>
    <w:uiPriority w:val="69"/>
    <w:rsid w:val="00ea1435"/>
    <w:pPr>
      <w:spacing w:after="0" w:line="240" w:lineRule="auto"/>
    </w:pPr>
    <w:rPr>
      <w:sz w:val="20"/>
      <w:szCs w:val="20"/>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BACC6"/>
      </w:tcPr>
    </w:tblStylePr>
    <w:tblStylePr w:type="lastRow">
      <w:rPr>
        <w:b/>
        <w:bCs/>
        <w:i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BACC6"/>
      </w:tcPr>
    </w:tblStylePr>
    <w:tblStylePr w:type="firstCol">
      <w:rPr>
        <w:b/>
        <w:bCs/>
        <w:i w:val="0"/>
        <w:color w:val="FFFFFF"/>
      </w:rPr>
      <w:tblPr/>
      <w:tcPr>
        <w:tcBorders>
          <w:left w:val="single" w:color="FFFFFF" w:sz="8" w:space="0"/>
          <w:right w:val="single" w:color="FFFFFF" w:sz="24" w:space="0"/>
          <w:insideH w:val="nil"/>
          <w:insideV w:val="nil"/>
        </w:tcBorders>
        <w:shd w:val="clear" w:color="auto" w:fill="4BACC6"/>
      </w:tcPr>
    </w:tblStylePr>
    <w:tblStylePr w:type="lastCol">
      <w:rPr>
        <w:b/>
        <w:bCs/>
        <w:i w:val="0"/>
        <w:color w:val="FFFFFF"/>
      </w:rPr>
      <w:tblPr/>
      <w:tcPr>
        <w:tcBorders>
          <w:top w:val="nil"/>
          <w:left w:val="single" w:color="FFFFFF" w:sz="24" w:space="0"/>
          <w:bottom w:val="nil"/>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5D5E2"/>
      </w:tcPr>
    </w:tblStylePr>
  </w:style>
  <w:style w:type="table" w:styleId="ColorfulGrid-Accent5">
    <w:name w:val="Colorful Grid Accent 5"/>
    <w:basedOn w:val="TableNormal"/>
    <w:uiPriority w:val="73"/>
    <w:rsid w:val="00ea1435"/>
    <w:pPr>
      <w:spacing w:after="0" w:line="240" w:lineRule="auto"/>
    </w:pPr>
    <w:rPr>
      <w:color w:val="000000"/>
      <w:sz w:val="20"/>
      <w:szCs w:val="20"/>
    </w:rPr>
    <w:tblPr>
      <w:tblStyleRowBandSize w:val="1"/>
      <w:tblStyleColBandSize w:val="1"/>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Table3Deffects3">
    <w:name w:val="Table 3D effects 3"/>
    <w:basedOn w:val="TableNormal"/>
    <w:rsid w:val="00ea1435"/>
    <w:pPr>
      <w:spacing w:after="0" w:line="240" w:lineRule="auto"/>
    </w:pPr>
    <w:rPr>
      <w:sz w:val="20"/>
      <w:szCs w:val="20"/>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rsid w:val="00ea1435"/>
    <w:pPr>
      <w:spacing w:after="0" w:line="240" w:lineRule="auto"/>
    </w:pPr>
    <w:rPr>
      <w:sz w:val="20"/>
      <w:szCs w:val="20"/>
    </w:r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DarkList-Accent4">
    <w:name w:val="Dark List Accent 4"/>
    <w:basedOn w:val="TableNormal"/>
    <w:uiPriority w:val="70"/>
    <w:rsid w:val="00ea1435"/>
    <w:pPr>
      <w:spacing w:after="0" w:line="240" w:lineRule="auto"/>
    </w:pPr>
    <w:rPr>
      <w:color w:val="FFFFFF"/>
      <w:sz w:val="20"/>
      <w:szCs w:val="20"/>
    </w:rPr>
    <w:tblPr>
      <w:tblStyleRowBandSize w:val="1"/>
      <w:tblStyleColBandSize w:val="1"/>
    </w:tblPr>
    <w:tcPr>
      <w:shd w:val="clear" w:color="auto" w:fill="8064A2"/>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single" w:color="FFFFFF" w:sz="18" w:space="0"/>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Shading2-Accent6">
    <w:name w:val="Medium Shading 2 Accent 6"/>
    <w:basedOn w:val="TableNormal"/>
    <w:uiPriority w:val="64"/>
    <w:rsid w:val="00ea1435"/>
    <w:pPr>
      <w:spacing w:after="0" w:line="240" w:lineRule="auto"/>
    </w:pPr>
    <w:rPr>
      <w:sz w:val="20"/>
      <w:szCs w:val="20"/>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ColorfulList-Accent5">
    <w:name w:val="Colorful List Accent 5"/>
    <w:basedOn w:val="TableNormal"/>
    <w:uiPriority w:val="72"/>
    <w:rsid w:val="00ea1435"/>
    <w:pPr>
      <w:spacing w:after="0" w:line="240" w:lineRule="auto"/>
    </w:pPr>
    <w:rPr>
      <w:color w:val="000000" w:themeColor="text1"/>
      <w:sz w:val="20"/>
      <w:szCs w:val="20"/>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color="FFFFFF" w:themeColor="background1" w:sz="12" w:space="0"/>
        </w:tcBorders>
        <w:shd w:val="clear" w:color="auto" w:fill="598A38" w:themeFill="accent6" w:themeFillShade="cc"/>
      </w:tcPr>
    </w:tblStylePr>
    <w:tblStylePr w:type="lastRow">
      <w:rPr>
        <w:b/>
        <w:bCs/>
        <w:color w:val="598A38"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1">
    <w:name w:val="Colorful List Accent 1"/>
    <w:basedOn w:val="TableNormal"/>
    <w:uiPriority w:val="72"/>
    <w:rsid w:val="00ea1435"/>
    <w:pPr>
      <w:spacing w:after="0" w:line="240" w:lineRule="auto"/>
    </w:pPr>
    <w:rPr>
      <w:color w:val="000000" w:themeColor="text1"/>
      <w:sz w:val="20"/>
      <w:szCs w:val="20"/>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color="FFFFFF" w:themeColor="background1" w:sz="12" w:space="0"/>
        </w:tcBorders>
        <w:shd w:val="clear" w:color="auto" w:fill="D25F12" w:themeFill="accent2" w:themeFillShade="cc"/>
      </w:tcPr>
    </w:tblStylePr>
    <w:tblStylePr w:type="lastRow">
      <w:rPr>
        <w:b/>
        <w:bCs/>
        <w:color w:val="D25F12"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ea1435"/>
    <w:pPr>
      <w:spacing w:after="0" w:line="240" w:lineRule="auto"/>
    </w:pPr>
    <w:rPr>
      <w:sz w:val="20"/>
      <w:szCs w:val="20"/>
    </w:r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Pr/>
    </w:tblStylePr>
    <w:tblStylePr w:type="lastCol">
      <w:rPr>
        <w:b/>
        <w:bCs/>
      </w:rPr>
      <w:tbl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Accent61">
    <w:name w:val="List Table 5 Dark - Accent 61"/>
    <w:basedOn w:val="TableNormal"/>
    <w:uiPriority w:val="50"/>
    <w:rsid w:val="00ea1435"/>
    <w:pPr>
      <w:spacing w:after="0" w:line="240" w:lineRule="auto"/>
    </w:pPr>
    <w:rPr>
      <w:color w:val="FFFFFF" w:themeColor="background1"/>
      <w:sz w:val="20"/>
      <w:szCs w:val="20"/>
    </w:rPr>
    <w:tblPr>
      <w:tblStyleRowBandSize w:val="1"/>
      <w:tblStyleColBandSize w:val="1"/>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61">
    <w:name w:val="Grid Table 5 Dark - Accent 61"/>
    <w:basedOn w:val="TableNormal"/>
    <w:uiPriority w:val="50"/>
    <w:rsid w:val="00ea1435"/>
    <w:pPr>
      <w:spacing w:after="0" w:line="240" w:lineRule="auto"/>
    </w:pPr>
    <w:rPr>
      <w:sz w:val="20"/>
      <w:szCs w:val="20"/>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9">
    <w:name w:val="Table Grid9"/>
    <w:basedOn w:val="TableNormal"/>
    <w:uiPriority w:val="3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ColorfulList-Accent11">
    <w:name w:val="Colorful List - Accent 11"/>
    <w:basedOn w:val="TableNormal"/>
    <w:uiPriority w:val="72"/>
    <w:rsid w:val="00ea1435"/>
    <w:pPr>
      <w:spacing w:after="0" w:line="240" w:lineRule="auto"/>
    </w:pPr>
    <w:rPr>
      <w:color w:val="000000"/>
      <w:sz w:val="20"/>
      <w:szCs w:val="20"/>
    </w:rPr>
    <w:tblPr>
      <w:tblStyleRowBandSize w:val="1"/>
      <w:tblStyleColBandSize w:val="1"/>
    </w:tblPr>
    <w:tcPr>
      <w:shd w:val="clear" w:color="auto" w:fill="E5F3FB"/>
    </w:tcPr>
    <w:tblStylePr w:type="firstRow">
      <w:rPr>
        <w:b/>
        <w:bCs/>
        <w:color w:val="FFFFFF"/>
      </w:rPr>
      <w:tblPr/>
      <w:tcPr>
        <w:tcBorders>
          <w:bottom w:val="single" w:color="FFFFFF" w:sz="12" w:space="0"/>
        </w:tcBorders>
        <w:shd w:val="clear" w:color="auto" w:fill="28A0DB"/>
      </w:tcPr>
    </w:tblStylePr>
    <w:tblStylePr w:type="lastRow">
      <w:rPr>
        <w:b/>
        <w:bCs/>
        <w:color w:val="28A0DB"/>
      </w:rPr>
      <w:tblPr/>
      <w:tcPr>
        <w:tcBorders>
          <w:top w:val="single" w:color="000000" w:sz="12" w:space="0"/>
        </w:tcBorders>
        <w:shd w:val="clear" w:color="auto" w:fill="FFFFFF"/>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BEE2F4"/>
      </w:tcPr>
    </w:tblStylePr>
    <w:tblStylePr w:type="band1Horz">
      <w:tblPr/>
      <w:tcPr>
        <w:shd w:val="clear" w:color="auto" w:fill="CAE8F6"/>
      </w:tcPr>
    </w:tblStylePr>
  </w:style>
  <w:style w:type="table" w:customStyle="1" w:styleId="TableGrid100">
    <w:name w:val="Table Grid10"/>
    <w:basedOn w:val="TableNormal"/>
    <w:uiPriority w:val="3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ColorfulList-Accent12">
    <w:name w:val="Colorful List - Accent 12"/>
    <w:basedOn w:val="TableNormal"/>
    <w:uiPriority w:val="72"/>
    <w:rsid w:val="00ea1435"/>
    <w:pPr>
      <w:spacing w:after="0" w:line="240" w:lineRule="auto"/>
    </w:pPr>
    <w:rPr>
      <w:color w:val="000000"/>
      <w:sz w:val="20"/>
      <w:szCs w:val="20"/>
    </w:rPr>
    <w:tblPr>
      <w:tblStyleRowBandSize w:val="1"/>
      <w:tblStyleColBandSize w:val="1"/>
    </w:tblPr>
    <w:tcPr>
      <w:shd w:val="clear" w:color="auto" w:fill="E5F3FB"/>
    </w:tcPr>
    <w:tblStylePr w:type="firstRow">
      <w:rPr>
        <w:b/>
        <w:bCs/>
        <w:color w:val="FFFFFF"/>
      </w:rPr>
      <w:tblPr/>
      <w:tcPr>
        <w:tcBorders>
          <w:bottom w:val="single" w:color="FFFFFF" w:sz="12" w:space="0"/>
        </w:tcBorders>
        <w:shd w:val="clear" w:color="auto" w:fill="28A0DB"/>
      </w:tcPr>
    </w:tblStylePr>
    <w:tblStylePr w:type="lastRow">
      <w:rPr>
        <w:b/>
        <w:bCs/>
        <w:color w:val="28A0DB"/>
      </w:rPr>
      <w:tblPr/>
      <w:tcPr>
        <w:tcBorders>
          <w:top w:val="single" w:color="000000" w:sz="12" w:space="0"/>
        </w:tcBorders>
        <w:shd w:val="clear" w:color="auto" w:fill="FFFFFF"/>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BEE2F4"/>
      </w:tcPr>
    </w:tblStylePr>
    <w:tblStylePr w:type="band1Horz">
      <w:tblPr/>
      <w:tcPr>
        <w:shd w:val="clear" w:color="auto" w:fill="CAE8F6"/>
      </w:tcPr>
    </w:tblStylePr>
  </w:style>
  <w:style w:type="table" w:styleId="LightShading-Accent1">
    <w:name w:val="Light Shading Accent 1"/>
    <w:basedOn w:val="TableNormal"/>
    <w:uiPriority w:val="60"/>
    <w:rsid w:val="00ea1435"/>
    <w:pPr>
      <w:spacing w:after="0" w:line="240" w:lineRule="auto"/>
    </w:pPr>
    <w:rPr>
      <w:color w:val="2E74B5"/>
    </w:rPr>
    <w:tblPr>
      <w:tblStyleRowBandSize w:val="1"/>
      <w:tblStyleColBandSize w:val="1"/>
      <w:tblBorders>
        <w:top w:val="single" w:color="5B9BD5" w:sz="8" w:space="0"/>
        <w:bottom w:val="single" w:color="5B9BD5" w:sz="8" w:space="0"/>
      </w:tblBorders>
    </w:tblPr>
    <w:tblStylePr w:type="firstRow">
      <w:pPr>
        <w:spacing w:before="0" w:after="0" w:line="240" w:lineRule="auto"/>
      </w:pPr>
      <w:rPr>
        <w:b/>
        <w:bCs/>
      </w:rPr>
      <w:tbl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blPr/>
      <w:tcPr>
        <w:tcBorders>
          <w:top w:val="single" w:color="5B9BD5" w:sz="8" w:space="0"/>
          <w:left w:val="nil"/>
          <w:bottom w:val="single" w:color="5B9BD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Light2">
    <w:name w:val="Table Grid Light2"/>
    <w:basedOn w:val="TableNormal"/>
    <w:uiPriority w:val="40"/>
    <w:rsid w:val="00ea1435"/>
    <w:pPr>
      <w:spacing w:after="0" w:line="240" w:lineRule="auto"/>
    </w:pPr>
    <w:rPr>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GridTable1Light-Accent41">
    <w:name w:val="Grid Table 1 Light - Accent 41"/>
    <w:basedOn w:val="TableNormal"/>
    <w:uiPriority w:val="46"/>
    <w:rsid w:val="00ea1435"/>
    <w:pPr>
      <w:spacing w:after="0" w:line="240" w:lineRule="auto"/>
    </w:pPr>
    <w:rPr>
      <w:sz w:val="20"/>
      <w:szCs w:val="20"/>
    </w:rPr>
    <w:tblPr>
      <w:tblStyleRowBandSize w:val="1"/>
      <w:tblStyleColBandSize w:val="1"/>
      <w:tblBorders>
        <w:top w:val="single" w:color="FFE599" w:sz="4" w:space="0"/>
        <w:left w:val="single" w:color="FFE599" w:sz="4" w:space="0"/>
        <w:bottom w:val="single" w:color="FFE599" w:sz="4" w:space="0"/>
        <w:right w:val="single" w:color="FFE599" w:sz="4" w:space="0"/>
        <w:insideH w:val="single" w:color="FFE599" w:sz="4" w:space="0"/>
        <w:insideV w:val="single" w:color="FFE599" w:sz="4" w:space="0"/>
      </w:tblBorders>
    </w:tblPr>
    <w:tblStylePr w:type="firstRow">
      <w:rPr>
        <w:b/>
        <w:bCs/>
      </w:rPr>
      <w:tblPr/>
      <w:tcPr>
        <w:tcBorders>
          <w:bottom w:val="single" w:color="FFD966" w:sz="12" w:space="0"/>
        </w:tcBorders>
      </w:tcPr>
    </w:tblStylePr>
    <w:tblStylePr w:type="lastRow">
      <w:rPr>
        <w:b/>
        <w:bCs/>
      </w:rPr>
      <w:tblPr/>
      <w:tcPr>
        <w:tcBorders>
          <w:top w:val="double" w:color="FFD966" w:sz="2" w:space="0"/>
        </w:tcBorders>
      </w:tcPr>
    </w:tblStylePr>
    <w:tblStylePr w:type="firstCol">
      <w:rPr>
        <w:b/>
        <w:bCs/>
      </w:rPr>
      <w:tblPr/>
    </w:tblStylePr>
    <w:tblStylePr w:type="lastCol">
      <w:rPr>
        <w:b/>
        <w:bCs/>
      </w:rPr>
      <w:tblPr/>
    </w:tblStylePr>
  </w:style>
  <w:style w:type="table" w:styleId="TableGridLight">
    <w:name w:val="Grid Table Light"/>
    <w:basedOn w:val="TableNormal"/>
    <w:uiPriority w:val="40"/>
    <w:rsid w:val="00ea1435"/>
    <w:pPr>
      <w:spacing w:after="0" w:line="240" w:lineRule="auto"/>
    </w:pPr>
    <w:rPr>
      <w:sz w:val="20"/>
      <w:szCs w:val="20"/>
    </w:rPr>
    <w:tblPr>
      <w:tblInd w:w="0" w:type="nil"/>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GridTable1Light-Accent4">
    <w:name w:val="Grid Table 1 Light Accent 4"/>
    <w:basedOn w:val="TableNormal"/>
    <w:uiPriority w:val="46"/>
    <w:rsid w:val="00ea1435"/>
    <w:pPr>
      <w:spacing w:after="0" w:line="240" w:lineRule="auto"/>
    </w:pPr>
    <w:rPr>
      <w:sz w:val="20"/>
      <w:szCs w:val="20"/>
    </w:rPr>
    <w:tblPr>
      <w:tblStyleRowBandSize w:val="1"/>
      <w:tblStyleColBandSize w:val="1"/>
      <w:tblInd w:w="0" w:type="nil"/>
      <w:tblBorders>
        <w:top w:val="single" w:color="FFE599" w:sz="4" w:space="0"/>
        <w:left w:val="single" w:color="FFE599" w:sz="4" w:space="0"/>
        <w:bottom w:val="single" w:color="FFE599" w:sz="4" w:space="0"/>
        <w:right w:val="single" w:color="FFE599" w:sz="4" w:space="0"/>
        <w:insideH w:val="single" w:color="FFE599" w:sz="4" w:space="0"/>
        <w:insideV w:val="single" w:color="FFE599" w:sz="4" w:space="0"/>
      </w:tblBorders>
    </w:tblPr>
    <w:tblStylePr w:type="firstRow">
      <w:rPr>
        <w:b/>
        <w:bCs/>
      </w:rPr>
      <w:tblPr/>
      <w:tcPr>
        <w:tcBorders>
          <w:bottom w:val="single" w:color="FFD966" w:sz="12" w:space="0"/>
        </w:tcBorders>
      </w:tcPr>
    </w:tblStylePr>
    <w:tblStylePr w:type="lastRow">
      <w:rPr>
        <w:b/>
        <w:bCs/>
      </w:rPr>
      <w:tblPr/>
      <w:tcPr>
        <w:tcBorders>
          <w:top w:val="double" w:color="FFD966" w:sz="2" w:space="0"/>
        </w:tcBorders>
      </w:tcPr>
    </w:tblStylePr>
    <w:tblStylePr w:type="firstCol">
      <w:rPr>
        <w:b/>
        <w:bCs/>
      </w:rPr>
      <w:tblPr/>
    </w:tblStylePr>
    <w:tblStylePr w:type="lastCol">
      <w:rPr>
        <w:b/>
        <w:bCs/>
      </w:rPr>
      <w:tblPr/>
    </w:tblStylePr>
  </w:style>
  <w:style w:type="table" w:styleId="GridTable4-Accent6">
    <w:name w:val="Grid Table 4 Accent 6"/>
    <w:basedOn w:val="TableNormal"/>
    <w:uiPriority w:val="49"/>
    <w:rsid w:val="00ea1435"/>
    <w:pPr>
      <w:spacing w:after="0" w:line="240" w:lineRule="auto"/>
    </w:pPr>
    <w:rPr>
      <w:sz w:val="20"/>
      <w:szCs w:val="20"/>
    </w:rPr>
    <w:tblPr>
      <w:tblStyleRowBandSize w:val="1"/>
      <w:tblStyleColBandSize w:val="1"/>
      <w:tblInd w:w="0" w:type="nil"/>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Pr/>
    </w:tblStylePr>
    <w:tblStylePr w:type="lastCol">
      <w:rPr>
        <w:b/>
        <w:bCs/>
      </w:rPr>
      <w:tbl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ea1435"/>
    <w:pPr>
      <w:spacing w:after="0" w:line="240" w:lineRule="auto"/>
    </w:pPr>
    <w:rPr>
      <w:sz w:val="20"/>
      <w:szCs w:val="20"/>
    </w:rPr>
    <w:tblPr>
      <w:tblStyleRowBandSize w:val="1"/>
      <w:tblStyleColBandSize w:val="1"/>
      <w:tblInd w:w="0" w:type="nil"/>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5Dark-Accent6">
    <w:name w:val="List Table 5 Dark Accent 6"/>
    <w:basedOn w:val="TableNormal"/>
    <w:uiPriority w:val="50"/>
    <w:rsid w:val="00ea1435"/>
    <w:pPr>
      <w:spacing w:after="0" w:line="240" w:lineRule="auto"/>
    </w:pPr>
    <w:rPr>
      <w:color w:val="FFFFFF" w:themeColor="background1"/>
      <w:sz w:val="20"/>
      <w:szCs w:val="20"/>
    </w:rPr>
    <w:tblPr>
      <w:tblStyleRowBandSize w:val="1"/>
      <w:tblStyleColBandSize w:val="1"/>
      <w:tblInd w:w="0" w:type="nil"/>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41">
    <w:name w:val="Table Grid41"/>
    <w:basedOn w:val="TableNormal"/>
    <w:uiPriority w:val="59"/>
    <w:rsid w:val="00ea1435"/>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eGrid42">
    <w:name w:val="Table Grid42"/>
    <w:basedOn w:val="TableNormal"/>
    <w:uiPriority w:val="59"/>
    <w:rsid w:val="00ea1435"/>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eGrid12">
    <w:name w:val="Table Grid12"/>
    <w:basedOn w:val="TableNormal"/>
    <w:uiPriority w:val="39"/>
    <w:rsid w:val="00ea143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116">
    <w:name w:val="Grilă Tabel116"/>
    <w:basedOn w:val="TableNormal"/>
    <w:uiPriority w:val="5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61">
    <w:name w:val="Table Grid61"/>
    <w:basedOn w:val="TableNormal"/>
    <w:uiPriority w:val="5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3">
    <w:name w:val="Table Grid13"/>
    <w:basedOn w:val="TableNormal"/>
    <w:uiPriority w:val="39"/>
    <w:rsid w:val="00ea143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PlainTable311">
    <w:name w:val="Plain Table 311"/>
    <w:basedOn w:val="TableNormal"/>
    <w:uiPriority w:val="43"/>
    <w:rsid w:val="00ea1435"/>
    <w:pPr>
      <w:spacing w:after="0" w:line="240" w:lineRule="auto"/>
    </w:pPr>
    <w:rPr>
      <w:lang w:val="ro-RO"/>
    </w:r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43">
    <w:name w:val="Table Grid43"/>
    <w:basedOn w:val="TableNormal"/>
    <w:uiPriority w:val="59"/>
    <w:rsid w:val="00ea1435"/>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7">
    <w:name w:val="Grilă Tabel117"/>
    <w:basedOn w:val="TableNormal"/>
    <w:uiPriority w:val="5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4">
    <w:name w:val="Table Grid14"/>
    <w:uiPriority w:val="99"/>
    <w:rsid w:val="00ea1435"/>
    <w:pPr>
      <w:spacing w:after="0" w:line="240" w:lineRule="auto"/>
    </w:pPr>
    <w:rPr>
      <w:lang w:eastAsia="ro-RO"/>
      <w:sz w:val="20"/>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LightList-Accent611">
    <w:name w:val="Light List - Accent 611"/>
    <w:uiPriority w:val="99"/>
    <w:rsid w:val="00ea1435"/>
    <w:pPr>
      <w:spacing w:after="0" w:line="240" w:lineRule="auto"/>
    </w:pPr>
    <w:rPr>
      <w:lang w:eastAsia="ro-RO"/>
      <w:sz w:val="20"/>
      <w:szCs w:val="20"/>
    </w:rPr>
    <w:tblPr>
      <w:tblStyleRowBandSize w:val="1"/>
      <w:tblStyleColBandSize w:val="1"/>
      <w:tblInd w:w="0" w:type="dxa"/>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style>
  <w:style w:type="table" w:customStyle="1" w:styleId="TableList71">
    <w:name w:val="Table List 71"/>
    <w:basedOn w:val="TableNormal"/>
    <w:uiPriority w:val="99"/>
    <w:semiHidden/>
    <w:rsid w:val="00ea1435"/>
    <w:pPr>
      <w:spacing w:after="0" w:line="240" w:lineRule="auto"/>
    </w:pPr>
    <w:rPr>
      <w:sz w:val="20"/>
      <w:szCs w:val="20"/>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rPr/>
      <w:tblPr/>
      <w:tcPr>
        <w:tcBorders>
          <w:tl2br w:val="none" w:color="auto" w:sz="0" w:space="0"/>
          <w:tr2bl w:val="none" w:color="auto" w:sz="0" w:space="0"/>
        </w:tcBorders>
        <w:shd w:val="pct25" w:color="FFFF00" w:fill="FFFFFF"/>
      </w:tcPr>
    </w:tblStylePr>
  </w:style>
  <w:style w:type="table" w:customStyle="1" w:styleId="LightShading-Accent112">
    <w:name w:val="Light Shading - Accent 112"/>
    <w:uiPriority w:val="99"/>
    <w:rsid w:val="00ea1435"/>
    <w:pPr>
      <w:spacing w:after="0" w:line="240" w:lineRule="auto"/>
    </w:pPr>
    <w:rPr>
      <w:color w:val="365F91"/>
      <w:sz w:val="20"/>
      <w:szCs w:val="20"/>
    </w:rPr>
    <w:tblPr>
      <w:tblStyleRowBandSize w:val="1"/>
      <w:tblStyleColBandSize w:val="1"/>
      <w:tblInd w:w="0" w:type="dxa"/>
      <w:tblBorders>
        <w:top w:val="single" w:color="4F81BD" w:sz="8" w:space="0"/>
        <w:bottom w:val="single" w:color="4F81BD" w:sz="8" w:space="0"/>
      </w:tblBorders>
      <w:tblCellMar>
        <w:top w:w="0" w:type="dxa"/>
        <w:left w:w="108" w:type="dxa"/>
        <w:bottom w:w="0" w:type="dxa"/>
        <w:right w:w="108" w:type="dxa"/>
      </w:tblCellMar>
    </w:tblPr>
  </w:style>
  <w:style w:type="table" w:customStyle="1" w:styleId="TableGrid111">
    <w:name w:val="Table Grid111"/>
    <w:uiPriority w:val="99"/>
    <w:rsid w:val="00ea1435"/>
    <w:pPr>
      <w:spacing w:after="0" w:line="240" w:lineRule="auto"/>
    </w:pPr>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LightList-Accent111">
    <w:name w:val="Light List - Accent 111"/>
    <w:uiPriority w:val="99"/>
    <w:rsid w:val="00ea1435"/>
    <w:pPr>
      <w:spacing w:after="0" w:line="240" w:lineRule="auto"/>
    </w:pPr>
    <w:rPr>
      <w:sz w:val="20"/>
      <w:szCs w:val="20"/>
    </w:rPr>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table" w:customStyle="1" w:styleId="TableGrid21">
    <w:name w:val="Table Grid21"/>
    <w:uiPriority w:val="99"/>
    <w:rsid w:val="00ea1435"/>
    <w:pPr>
      <w:spacing w:after="0" w:line="240" w:lineRule="auto"/>
    </w:pPr>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Stil11">
    <w:name w:val="Stil11"/>
    <w:uiPriority w:val="99"/>
    <w:qFormat/>
    <w:rsid w:val="00ea1435"/>
    <w:pPr>
      <w:spacing w:after="0" w:line="240" w:lineRule="auto"/>
    </w:pPr>
    <w:rPr>
      <w:lang w:eastAsia="ro-RO"/>
      <w:sz w:val="20"/>
      <w:szCs w:val="20"/>
    </w:rPr>
    <w:tblPr>
      <w:tblInd w:w="0" w:type="dxa"/>
      <w:tblCellMar>
        <w:top w:w="0" w:type="dxa"/>
        <w:left w:w="108" w:type="dxa"/>
        <w:bottom w:w="0" w:type="dxa"/>
        <w:right w:w="108" w:type="dxa"/>
      </w:tblCellMar>
    </w:tblPr>
  </w:style>
  <w:style w:type="table" w:customStyle="1" w:styleId="LightList-Accent62">
    <w:name w:val="Light List - Accent 62"/>
    <w:basedOn w:val="TableNormal"/>
    <w:uiPriority w:val="99"/>
    <w:rsid w:val="00ea1435"/>
    <w:pPr>
      <w:spacing w:after="0" w:line="240" w:lineRule="auto"/>
    </w:pPr>
    <w:rPr>
      <w:sz w:val="20"/>
      <w:szCs w:val="20"/>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Pr/>
    </w:tblStylePr>
    <w:tblStylePr w:type="lastCol">
      <w:rPr>
        <w:b/>
        <w:bCs/>
      </w:rPr>
      <w:tblPr/>
    </w:tblStylePr>
    <w:tblStylePr w:type="band1Vert">
      <w:rPr/>
      <w:tblPr/>
      <w:tcPr>
        <w:tcBorders>
          <w:top w:val="single" w:color="F79646" w:sz="8" w:space="0"/>
          <w:left w:val="single" w:color="F79646" w:sz="8" w:space="0"/>
          <w:bottom w:val="single" w:color="F79646" w:sz="8" w:space="0"/>
          <w:right w:val="single" w:color="F79646" w:sz="8" w:space="0"/>
        </w:tcBorders>
      </w:tcPr>
    </w:tblStylePr>
    <w:tblStylePr w:type="band1Horz">
      <w:rPr/>
      <w:tblPr/>
      <w:tcPr>
        <w:tcBorders>
          <w:top w:val="single" w:color="F79646" w:sz="8" w:space="0"/>
          <w:left w:val="single" w:color="F79646" w:sz="8" w:space="0"/>
          <w:bottom w:val="single" w:color="F79646" w:sz="8" w:space="0"/>
          <w:right w:val="single" w:color="F79646" w:sz="8" w:space="0"/>
        </w:tcBorders>
      </w:tcPr>
    </w:tblStylePr>
  </w:style>
  <w:style w:type="table" w:customStyle="1" w:styleId="LightShading-Accent1111">
    <w:name w:val="Light Shading - Accent 1111"/>
    <w:uiPriority w:val="99"/>
    <w:rsid w:val="00ea1435"/>
    <w:pPr>
      <w:spacing w:after="0" w:line="240" w:lineRule="auto"/>
    </w:pPr>
    <w:rPr>
      <w:lang w:eastAsia="ro-RO"/>
      <w:color w:val="979772"/>
      <w:sz w:val="20"/>
      <w:szCs w:val="20"/>
    </w:rPr>
    <w:tblPr>
      <w:tblStyleRowBandSize w:val="1"/>
      <w:tblStyleColBandSize w:val="1"/>
      <w:tblInd w:w="0" w:type="dxa"/>
      <w:tblBorders>
        <w:top w:val="single" w:color="BDBDA6" w:sz="8" w:space="0"/>
        <w:bottom w:val="single" w:color="BDBDA6" w:sz="8" w:space="0"/>
      </w:tblBorders>
      <w:tblCellMar>
        <w:top w:w="0" w:type="dxa"/>
        <w:left w:w="108" w:type="dxa"/>
        <w:bottom w:w="0" w:type="dxa"/>
        <w:right w:w="108" w:type="dxa"/>
      </w:tblCellMar>
    </w:tblPr>
  </w:style>
  <w:style w:type="table" w:customStyle="1" w:styleId="LightShading-Accent121">
    <w:name w:val="Light Shading - Accent 121"/>
    <w:uiPriority w:val="99"/>
    <w:rsid w:val="00ea1435"/>
    <w:pPr>
      <w:spacing w:after="0" w:line="240" w:lineRule="auto"/>
    </w:pPr>
    <w:rPr>
      <w:lang w:eastAsia="ro-RO"/>
      <w:color w:val="979772"/>
      <w:sz w:val="20"/>
      <w:szCs w:val="20"/>
    </w:rPr>
    <w:tblPr>
      <w:tblStyleRowBandSize w:val="1"/>
      <w:tblStyleColBandSize w:val="1"/>
      <w:tblInd w:w="0" w:type="dxa"/>
      <w:tblBorders>
        <w:top w:val="single" w:color="BDBDA6" w:sz="8" w:space="0"/>
        <w:bottom w:val="single" w:color="BDBDA6" w:sz="8" w:space="0"/>
      </w:tblBorders>
      <w:tblCellMar>
        <w:top w:w="0" w:type="dxa"/>
        <w:left w:w="108" w:type="dxa"/>
        <w:bottom w:w="0" w:type="dxa"/>
        <w:right w:w="108" w:type="dxa"/>
      </w:tblCellMar>
    </w:tblPr>
  </w:style>
  <w:style w:type="table" w:customStyle="1" w:styleId="MediumGrid3-Accent113">
    <w:name w:val="Medium Grid 3 - Accent 113"/>
    <w:uiPriority w:val="99"/>
    <w:rsid w:val="00ea1435"/>
    <w:pPr>
      <w:spacing w:after="0" w:line="240" w:lineRule="auto"/>
    </w:pPr>
    <w:rPr>
      <w:sz w:val="20"/>
      <w:szCs w:val="20"/>
    </w:rPr>
    <w:tblPr>
      <w:tblStyleRowBandSize w:val="1"/>
      <w:tblStyleColBandSize w:val="1"/>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EEEE8"/>
    </w:tcPr>
  </w:style>
  <w:style w:type="table" w:customStyle="1" w:styleId="TableGrid31">
    <w:name w:val="Table Grid31"/>
    <w:uiPriority w:val="99"/>
    <w:rsid w:val="00ea1435"/>
    <w:pPr>
      <w:spacing w:after="0" w:line="240" w:lineRule="auto"/>
    </w:pPr>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MediumGrid3-Accent12">
    <w:name w:val="Medium Grid 3 - Accent 12"/>
    <w:basedOn w:val="TableNormal"/>
    <w:uiPriority w:val="99"/>
    <w:rsid w:val="00ea1435"/>
    <w:pPr>
      <w:spacing w:after="0" w:line="240" w:lineRule="auto"/>
    </w:pPr>
    <w:rPr>
      <w:sz w:val="20"/>
      <w:szCs w:val="20"/>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color w:val="FFFFFF"/>
      </w:rPr>
      <w:tblPr/>
      <w:tcPr>
        <w:tcBorders>
          <w:top w:val="nil"/>
          <w:left w:val="single" w:color="FFFFFF" w:sz="24" w:space="0"/>
          <w:bottom w:val="nil"/>
          <w:right w:val="nil"/>
          <w:insideH w:val="nil"/>
          <w:insideV w:val="nil"/>
        </w:tcBorders>
        <w:shd w:val="clear" w:color="auto" w:fill="4F81BD"/>
      </w:tcPr>
    </w:tblStylePr>
    <w:tblStylePr w:type="band1Vert">
      <w:rPr/>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rPr/>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customStyle="1" w:styleId="TableGrid110">
    <w:name w:val="Table Grid 11"/>
    <w:basedOn w:val="TableNormal"/>
    <w:uiPriority w:val="99"/>
    <w:rsid w:val="00ea1435"/>
    <w:pPr>
      <w:spacing w:after="0" w:line="240" w:lineRule="auto"/>
    </w:pPr>
    <w:rPr>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customStyle="1" w:styleId="TableGrid51">
    <w:name w:val="Table Grid 51"/>
    <w:basedOn w:val="TableNormal"/>
    <w:uiPriority w:val="99"/>
    <w:rsid w:val="00ea1435"/>
    <w:pPr>
      <w:spacing w:after="0" w:line="240" w:lineRule="auto"/>
    </w:pPr>
    <w:rPr>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rPr/>
      <w:tblPr/>
      <w:tcPr>
        <w:tcBorders>
          <w:tl2br w:val="single" w:color="000000" w:sz="6" w:space="0"/>
          <w:tr2bl w:val="none" w:color="auto" w:sz="0" w:space="0"/>
        </w:tcBorders>
      </w:tcPr>
    </w:tblStylePr>
  </w:style>
  <w:style w:type="table" w:customStyle="1" w:styleId="TableElegant1">
    <w:name w:val="Table Elegant1"/>
    <w:basedOn w:val="TableNormal"/>
    <w:uiPriority w:val="99"/>
    <w:rsid w:val="00ea1435"/>
    <w:pPr>
      <w:spacing w:after="0" w:line="240" w:lineRule="auto"/>
    </w:pPr>
    <w:rPr>
      <w:lang w:eastAsia="ro-RO"/>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one" w:color="auto" w:sz="0" w:space="0"/>
          <w:tr2bl w:val="none" w:color="auto" w:sz="0" w:space="0"/>
        </w:tcBorders>
      </w:tcPr>
    </w:tblStylePr>
  </w:style>
  <w:style w:type="table" w:customStyle="1" w:styleId="LightShading-Accent31">
    <w:name w:val="Light Shading - Accent 31"/>
    <w:basedOn w:val="TableNormal"/>
    <w:uiPriority w:val="99"/>
    <w:rsid w:val="00ea1435"/>
    <w:pPr>
      <w:spacing w:after="0" w:line="240" w:lineRule="auto"/>
    </w:pPr>
    <w:rPr>
      <w:color w:val="76923C"/>
      <w:sz w:val="20"/>
      <w:szCs w:val="20"/>
    </w:rPr>
    <w:tblPr>
      <w:tblStyleRowBandSize w:val="1"/>
      <w:tblStyleColBandSize w:val="1"/>
      <w:tblBorders>
        <w:top w:val="single" w:color="9BBB59" w:sz="8" w:space="0"/>
        <w:bottom w:val="single" w:color="9BBB59" w:sz="8" w:space="0"/>
      </w:tblBorders>
    </w:tblPr>
    <w:tblStylePr w:type="firstRow">
      <w:pPr>
        <w:spacing w:before="0" w:after="0"/>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pPr>
      <w:rPr>
        <w:b/>
        <w:bCs/>
      </w:rPr>
      <w:tblPr/>
      <w:tcPr>
        <w:tcBorders>
          <w:top w:val="single" w:color="9BBB59" w:sz="8" w:space="0"/>
          <w:left w:val="nil"/>
          <w:bottom w:val="single" w:color="9BBB59"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E6EED5"/>
      </w:tcPr>
    </w:tblStylePr>
    <w:tblStylePr w:type="band1Horz">
      <w:rPr/>
      <w:tblPr/>
      <w:tcPr>
        <w:tcBorders>
          <w:left w:val="nil"/>
          <w:right w:val="nil"/>
          <w:insideH w:val="nil"/>
          <w:insideV w:val="nil"/>
        </w:tcBorders>
        <w:shd w:val="clear" w:color="auto" w:fill="E6EED5"/>
      </w:tcPr>
    </w:tblStylePr>
  </w:style>
  <w:style w:type="table" w:customStyle="1" w:styleId="MediumShading1-Accent31">
    <w:name w:val="Medium Shading 1 - Accent 31"/>
    <w:basedOn w:val="TableNormal"/>
    <w:uiPriority w:val="99"/>
    <w:rsid w:val="00ea1435"/>
    <w:pPr>
      <w:spacing w:after="0" w:line="240" w:lineRule="auto"/>
    </w:pPr>
    <w:rPr>
      <w:sz w:val="20"/>
      <w:szCs w:val="20"/>
    </w:rPr>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Pr/>
    </w:tblStylePr>
    <w:tblStylePr w:type="lastCol">
      <w:rPr>
        <w:b/>
        <w:bCs/>
      </w:rPr>
      <w:tblPr/>
    </w:tblStylePr>
    <w:tblStylePr w:type="band1Vert">
      <w:rPr/>
      <w:tblPr/>
      <w:tcPr>
        <w:shd w:val="clear" w:color="auto" w:fill="E6EED5"/>
      </w:tcPr>
    </w:tblStylePr>
    <w:tblStylePr w:type="band1Horz">
      <w:rPr/>
      <w:tblPr/>
      <w:tcPr>
        <w:tcBorders>
          <w:insideH w:val="nil"/>
          <w:insideV w:val="nil"/>
        </w:tcBorders>
        <w:shd w:val="clear" w:color="auto" w:fill="E6EED5"/>
      </w:tcPr>
    </w:tblStylePr>
    <w:tblStylePr w:type="band2Horz">
      <w:rPr/>
      <w:tblPr/>
      <w:tcPr>
        <w:tcBorders>
          <w:insideH w:val="nil"/>
          <w:insideV w:val="nil"/>
        </w:tcBorders>
      </w:tcPr>
    </w:tblStylePr>
  </w:style>
  <w:style w:type="table" w:customStyle="1" w:styleId="MediumList1-Accent21">
    <w:name w:val="Medium List 1 - Accent 21"/>
    <w:basedOn w:val="TableNormal"/>
    <w:uiPriority w:val="99"/>
    <w:rsid w:val="00ea1435"/>
    <w:pPr>
      <w:spacing w:after="0" w:line="240" w:lineRule="auto"/>
    </w:pPr>
    <w:rPr>
      <w:color w:val="000000"/>
      <w:sz w:val="20"/>
      <w:szCs w:val="20"/>
    </w:rPr>
    <w:tblPr>
      <w:tblStyleRowBandSize w:val="1"/>
      <w:tblStyleColBandSize w:val="1"/>
      <w:tblBorders>
        <w:top w:val="single" w:color="C0504D" w:sz="8" w:space="0"/>
        <w:bottom w:val="single" w:color="C0504D" w:sz="8" w:space="0"/>
      </w:tblBorders>
    </w:tblPr>
    <w:tblStylePr w:type="firstRow">
      <w:rPr/>
      <w:tblPr/>
      <w:tcPr>
        <w:tcBorders>
          <w:top w:val="nil"/>
          <w:bottom w:val="single" w:color="C0504D" w:sz="8" w:space="0"/>
        </w:tcBorders>
      </w:tcPr>
    </w:tblStylePr>
    <w:tblStylePr w:type="lastRow">
      <w:rPr>
        <w:b/>
        <w:bCs/>
        <w:color w:val="1F497D"/>
      </w:rPr>
      <w:tblPr/>
      <w:tcPr>
        <w:tcBorders>
          <w:top w:val="single" w:color="C0504D" w:sz="8" w:space="0"/>
          <w:bottom w:val="single" w:color="C0504D" w:sz="8" w:space="0"/>
        </w:tcBorders>
      </w:tcPr>
    </w:tblStylePr>
    <w:tblStylePr w:type="firstCol">
      <w:rPr>
        <w:b/>
        <w:bCs/>
      </w:rPr>
      <w:tblPr/>
    </w:tblStylePr>
    <w:tblStylePr w:type="lastCol">
      <w:rPr>
        <w:b/>
        <w:bCs/>
      </w:rPr>
      <w:tblPr/>
      <w:tcPr>
        <w:tcBorders>
          <w:top w:val="single" w:color="C0504D" w:sz="8" w:space="0"/>
          <w:bottom w:val="single" w:color="C0504D" w:sz="8" w:space="0"/>
        </w:tcBorders>
      </w:tcPr>
    </w:tblStylePr>
    <w:tblStylePr w:type="band1Vert">
      <w:rPr/>
      <w:tblPr/>
      <w:tcPr>
        <w:shd w:val="clear" w:color="auto" w:fill="EFD3D2"/>
      </w:tcPr>
    </w:tblStylePr>
    <w:tblStylePr w:type="band1Horz">
      <w:rPr/>
      <w:tblPr/>
      <w:tcPr>
        <w:shd w:val="clear" w:color="auto" w:fill="EFD3D2"/>
      </w:tcPr>
    </w:tblStylePr>
  </w:style>
  <w:style w:type="table" w:customStyle="1" w:styleId="TableGridLight11">
    <w:name w:val="Table Grid Light11"/>
    <w:uiPriority w:val="99"/>
    <w:rsid w:val="00ea1435"/>
    <w:pPr>
      <w:spacing w:after="0" w:line="240" w:lineRule="auto"/>
    </w:pPr>
    <w:rPr>
      <w:sz w:val="20"/>
      <w:szCs w:val="20"/>
    </w:rPr>
    <w:tblPr>
      <w:tblInd w:w="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MediumList1-Accent31">
    <w:name w:val="Medium List 1 - Accent 31"/>
    <w:basedOn w:val="TableNormal"/>
    <w:uiPriority w:val="99"/>
    <w:rsid w:val="00ea1435"/>
    <w:pPr>
      <w:spacing w:after="0" w:line="240" w:lineRule="auto"/>
    </w:pPr>
    <w:rPr>
      <w:color w:val="000000"/>
      <w:sz w:val="20"/>
      <w:szCs w:val="20"/>
    </w:rPr>
    <w:tblPr>
      <w:tblStyleRowBandSize w:val="1"/>
      <w:tblStyleColBandSize w:val="1"/>
      <w:tblBorders>
        <w:top w:val="single" w:color="658B92" w:sz="8" w:space="0"/>
        <w:bottom w:val="single" w:color="658B92" w:sz="8" w:space="0"/>
      </w:tblBorders>
    </w:tblPr>
    <w:tblStylePr w:type="firstRow">
      <w:rPr/>
      <w:tblPr/>
      <w:tcPr>
        <w:tcBorders>
          <w:top w:val="nil"/>
          <w:bottom w:val="single" w:color="658B92" w:sz="8" w:space="0"/>
        </w:tcBorders>
      </w:tcPr>
    </w:tblStylePr>
    <w:tblStylePr w:type="lastRow">
      <w:rPr>
        <w:b/>
        <w:bCs/>
        <w:color w:val="1F497D"/>
      </w:rPr>
      <w:tblPr/>
      <w:tcPr>
        <w:tcBorders>
          <w:top w:val="single" w:color="658B92" w:sz="8" w:space="0"/>
          <w:bottom w:val="single" w:color="658B92" w:sz="8" w:space="0"/>
        </w:tcBorders>
      </w:tcPr>
    </w:tblStylePr>
    <w:tblStylePr w:type="firstCol">
      <w:rPr>
        <w:b/>
        <w:bCs/>
      </w:rPr>
      <w:tblPr/>
    </w:tblStylePr>
    <w:tblStylePr w:type="lastCol">
      <w:rPr>
        <w:b/>
        <w:bCs/>
      </w:rPr>
      <w:tblPr/>
      <w:tcPr>
        <w:tcBorders>
          <w:top w:val="single" w:color="658B92" w:sz="8" w:space="0"/>
          <w:bottom w:val="single" w:color="658B92" w:sz="8" w:space="0"/>
        </w:tcBorders>
      </w:tcPr>
    </w:tblStylePr>
    <w:tblStylePr w:type="band1Vert">
      <w:rPr/>
      <w:tblPr/>
      <w:tcPr>
        <w:shd w:val="clear" w:color="auto" w:fill="D8E2E4"/>
      </w:tcPr>
    </w:tblStylePr>
    <w:tblStylePr w:type="band1Horz">
      <w:rPr/>
      <w:tblPr/>
      <w:tcPr>
        <w:shd w:val="clear" w:color="auto" w:fill="D8E2E4"/>
      </w:tcPr>
    </w:tblStylePr>
  </w:style>
  <w:style w:type="table" w:customStyle="1" w:styleId="TableGrid510">
    <w:name w:val="Table Grid51"/>
    <w:basedOn w:val="TableNormal"/>
    <w:uiPriority w:val="5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MediumGrid3-Accent1111">
    <w:name w:val="Medium Grid 3 - Accent 1111"/>
    <w:uiPriority w:val="99"/>
    <w:rsid w:val="00ea1435"/>
    <w:pPr>
      <w:spacing w:after="0" w:line="240" w:lineRule="auto"/>
    </w:pPr>
    <w:rPr>
      <w:sz w:val="20"/>
      <w:szCs w:val="20"/>
    </w:rPr>
    <w:tblPr>
      <w:tblStyleRowBandSize w:val="1"/>
      <w:tblStyleColBandSize w:val="1"/>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EEEE8"/>
    </w:tcPr>
  </w:style>
  <w:style w:type="table" w:customStyle="1" w:styleId="MediumGrid3-Accent1121">
    <w:name w:val="Medium Grid 3 - Accent 1121"/>
    <w:uiPriority w:val="99"/>
    <w:rsid w:val="00ea1435"/>
    <w:pPr>
      <w:spacing w:after="0" w:line="240" w:lineRule="auto"/>
    </w:pPr>
    <w:rPr>
      <w:sz w:val="20"/>
      <w:szCs w:val="20"/>
    </w:rPr>
    <w:tblPr>
      <w:tblStyleRowBandSize w:val="1"/>
      <w:tblStyleColBandSize w:val="1"/>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EEEE8"/>
    </w:tcPr>
  </w:style>
  <w:style w:type="table" w:customStyle="1" w:styleId="TableGrid62">
    <w:name w:val="Table Grid62"/>
    <w:basedOn w:val="TableNormal"/>
    <w:uiPriority w:val="5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71">
    <w:name w:val="Table Grid71"/>
    <w:basedOn w:val="TableNormal"/>
    <w:uiPriority w:val="59"/>
    <w:rsid w:val="00ea143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81">
    <w:name w:val="Table Grid81"/>
    <w:basedOn w:val="TableNormal"/>
    <w:uiPriority w:val="3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810">
    <w:name w:val="Table Grid 81"/>
    <w:basedOn w:val="TableNormal"/>
    <w:rsid w:val="00ea1435"/>
    <w:pPr>
      <w:spacing w:after="0" w:line="240" w:lineRule="auto"/>
    </w:pPr>
    <w:rPr>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customStyle="1" w:styleId="TableWeb11">
    <w:name w:val="Table Web 11"/>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18">
    <w:name w:val="Grilă Tabel118"/>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23">
    <w:name w:val="Grilă Tabel23"/>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33">
    <w:name w:val="Grilă Tabel33"/>
    <w:basedOn w:val="TableNormal"/>
    <w:uiPriority w:val="5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48">
    <w:name w:val="Grilă Tabel48"/>
    <w:basedOn w:val="TableNormal"/>
    <w:rsid w:val="00ea1435"/>
    <w:pPr>
      <w:spacing w:after="0" w:line="240" w:lineRule="auto"/>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21">
    <w:name w:val="Grilă Tabel121"/>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8">
    <w:name w:val="Grilă Tabel58"/>
    <w:basedOn w:val="TableNormal"/>
    <w:rsid w:val="00ea1435"/>
    <w:pPr>
      <w:spacing w:after="0" w:line="240" w:lineRule="auto"/>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31">
    <w:name w:val="Grilă Tabel131"/>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11">
    <w:name w:val="Grilă Tabel41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11">
    <w:name w:val="Grilă Tabel51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41">
    <w:name w:val="Grilă Tabel141"/>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21">
    <w:name w:val="Grilă Tabel42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21">
    <w:name w:val="Grilă Tabel52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61">
    <w:name w:val="Grilă Tabel61"/>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71">
    <w:name w:val="Grilă Tabel71"/>
    <w:basedOn w:val="TableNormal"/>
    <w:uiPriority w:val="59"/>
    <w:rsid w:val="00ea1435"/>
    <w:pPr>
      <w:spacing w:after="0" w:line="240" w:lineRule="auto"/>
      <w:jc w:val="both"/>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15">
    <w:name w:val="Tabel Web 115"/>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53">
    <w:name w:val="Grilă Tabel153"/>
    <w:basedOn w:val="TableNormal"/>
    <w:uiPriority w:val="59"/>
    <w:rsid w:val="00ea1435"/>
    <w:pPr>
      <w:spacing w:after="0" w:line="240" w:lineRule="auto"/>
      <w:jc w:val="both"/>
    </w:pPr>
    <w:rPr>
      <w:lang w:bidi="en-US"/>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212">
    <w:name w:val="Grilă Tabel212"/>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312">
    <w:name w:val="Grilă Tabel312"/>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23">
    <w:name w:val="Tabel Web 123"/>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62">
    <w:name w:val="Grilă Tabel162"/>
    <w:basedOn w:val="TableNormal"/>
    <w:uiPriority w:val="59"/>
    <w:rsid w:val="00ea1435"/>
    <w:pPr>
      <w:spacing w:after="0" w:line="240" w:lineRule="auto"/>
      <w:jc w:val="both"/>
    </w:pPr>
    <w:rPr>
      <w:lang w:bidi="en-US"/>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221">
    <w:name w:val="Grilă Tabel22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321">
    <w:name w:val="Grilă Tabel32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113">
    <w:name w:val="Tabel Web 1113"/>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1114">
    <w:name w:val="Grilă Tabel1114"/>
    <w:basedOn w:val="TableNormal"/>
    <w:uiPriority w:val="59"/>
    <w:rsid w:val="00ea1435"/>
    <w:pPr>
      <w:spacing w:after="0" w:line="240" w:lineRule="auto"/>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1112">
    <w:name w:val="Grilă Tabel11112"/>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2112">
    <w:name w:val="Grilă Tabel2112"/>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3112">
    <w:name w:val="Grilă Tabel3112"/>
    <w:basedOn w:val="TableNormal"/>
    <w:uiPriority w:val="59"/>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Web11113">
    <w:name w:val="Tabel Web 11113"/>
    <w:basedOn w:val="TableNormal"/>
    <w:rsid w:val="00ea1435"/>
    <w:pPr>
      <w:spacing w:after="0" w:line="240" w:lineRule="auto"/>
    </w:pPr>
    <w:rPr>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GrilTabel21111">
    <w:name w:val="Grilă Tabel2111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31111">
    <w:name w:val="Grilă Tabel3111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81">
    <w:name w:val="Grilă Tabel81"/>
    <w:basedOn w:val="TableNormal"/>
    <w:rsid w:val="00ea1435"/>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Tabel172">
    <w:name w:val="Grilă Tabel172"/>
    <w:basedOn w:val="TableNormal"/>
    <w:uiPriority w:val="59"/>
    <w:rsid w:val="00ea1435"/>
    <w:pPr>
      <w:spacing w:after="0" w:line="240" w:lineRule="auto"/>
      <w:jc w:val="both"/>
    </w:pPr>
    <w:rPr>
      <w:lang w:bidi="en-US"/>
      <w:szCs w:val="4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81">
    <w:name w:val="Grilă Tabel181"/>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31">
    <w:name w:val="Grilă Tabel43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531">
    <w:name w:val="Grilă Tabel53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191">
    <w:name w:val="Grilă Tabel191"/>
    <w:basedOn w:val="TableNormal"/>
    <w:uiPriority w:val="59"/>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Tabel441">
    <w:name w:val="Grilă Tabel441"/>
    <w:basedOn w:val="TableNormal"/>
    <w:rsid w:val="00ea1435"/>
    <w:pPr>
      <w:spacing w:after="0" w:line="240" w:lineRule="auto"/>
    </w:pPr>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chart" Target="charts/chart1.xml"/><Relationship Id="rId3" Type="http://schemas.openxmlformats.org/officeDocument/2006/relationships/chart" Target="charts/chart2.xml"/><Relationship Id="rId4" Type="http://schemas.openxmlformats.org/officeDocument/2006/relationships/chart" Target="charts/chart3.xml"/><Relationship Id="rId5" Type="http://schemas.openxmlformats.org/officeDocument/2006/relationships/chart" Target="charts/chart4.xml"/><Relationship Id="rId6" Type="http://schemas.openxmlformats.org/officeDocument/2006/relationships/chart" Target="charts/chart5.xml"/><Relationship Id="rId7" Type="http://schemas.openxmlformats.org/officeDocument/2006/relationships/chart" Target="charts/chart6.xml"/><Relationship Id="rId8" Type="http://schemas.openxmlformats.org/officeDocument/2006/relationships/chart" Target="charts/chart7.xml"/><Relationship Id="rId9" Type="http://schemas.openxmlformats.org/officeDocument/2006/relationships/chart" Target="charts/chart8.xml"/><Relationship Id="rId10" Type="http://schemas.openxmlformats.org/officeDocument/2006/relationships/chart" Target="charts/chart9.xml"/><Relationship Id="rId11" Type="http://schemas.openxmlformats.org/officeDocument/2006/relationships/chart" Target="charts/chart10.xml"/><Relationship Id="rId12" Type="http://schemas.openxmlformats.org/officeDocument/2006/relationships/chart" Target="charts/chart11.xml"/><Relationship Id="rId13" Type="http://schemas.openxmlformats.org/officeDocument/2006/relationships/chart" Target="charts/chart12.xml"/><Relationship Id="rId14" Type="http://schemas.openxmlformats.org/officeDocument/2006/relationships/chart" Target="charts/chart13.xml"/><Relationship Id="rId15" Type="http://schemas.openxmlformats.org/officeDocument/2006/relationships/chart" Target="charts/chart14.xml"/><Relationship Id="rId16" Type="http://schemas.openxmlformats.org/officeDocument/2006/relationships/chart" Target="charts/chart15.xml"/><Relationship Id="rId17" Type="http://schemas.openxmlformats.org/officeDocument/2006/relationships/image" Target="media/image1.png"/><Relationship Id="rId18" Type="http://schemas.openxmlformats.org/officeDocument/2006/relationships/chart" Target="charts/chart16.xml"/><Relationship Id="rId19" Type="http://schemas.openxmlformats.org/officeDocument/2006/relationships/chart" Target="charts/chart17.xml"/><Relationship Id="rId20" Type="http://schemas.openxmlformats.org/officeDocument/2006/relationships/chart" Target="charts/chart18.xml"/><Relationship Id="rId21" Type="http://schemas.openxmlformats.org/officeDocument/2006/relationships/chart" Target="charts/chart19.xml"/><Relationship Id="rId22" Type="http://schemas.openxmlformats.org/officeDocument/2006/relationships/chart" Target="charts/chart20.xml"/><Relationship Id="rId23" Type="http://schemas.openxmlformats.org/officeDocument/2006/relationships/chart" Target="charts/chart21.xml"/><Relationship Id="rId24" Type="http://schemas.openxmlformats.org/officeDocument/2006/relationships/chart" Target="charts/chart22.xml"/><Relationship Id="rId25" Type="http://schemas.openxmlformats.org/officeDocument/2006/relationships/chart" Target="charts/chart23.xml"/><Relationship Id="rId26" Type="http://schemas.openxmlformats.org/officeDocument/2006/relationships/chart" Target="charts/chart24.xml"/><Relationship Id="rId27" Type="http://schemas.openxmlformats.org/officeDocument/2006/relationships/chart" Target="charts/chart25.xml"/><Relationship Id="rId28" Type="http://schemas.openxmlformats.org/officeDocument/2006/relationships/chart" Target="charts/chart26.xml"/><Relationship Id="rId29" Type="http://schemas.openxmlformats.org/officeDocument/2006/relationships/chart" Target="charts/chart27.xml"/><Relationship Id="rId30" Type="http://schemas.openxmlformats.org/officeDocument/2006/relationships/chart" Target="charts/chart28.xml"/><Relationship Id="rId31" Type="http://schemas.openxmlformats.org/officeDocument/2006/relationships/chart" Target="charts/chart29.xml"/><Relationship Id="rId32" Type="http://schemas.openxmlformats.org/officeDocument/2006/relationships/chart" Target="charts/chart30.xml"/><Relationship Id="rId33" Type="http://schemas.openxmlformats.org/officeDocument/2006/relationships/chart" Target="charts/chart31.xml"/><Relationship Id="rId34" Type="http://schemas.openxmlformats.org/officeDocument/2006/relationships/chart" Target="charts/chart32.xml"/><Relationship Id="rId35" Type="http://schemas.openxmlformats.org/officeDocument/2006/relationships/chart" Target="charts/chart33.xml"/><Relationship Id="rId36" Type="http://schemas.openxmlformats.org/officeDocument/2006/relationships/chart" Target="charts/chart34.xml"/><Relationship Id="rId37" Type="http://schemas.openxmlformats.org/officeDocument/2006/relationships/chart" Target="charts/chart35.xml"/><Relationship Id="rId38" Type="http://schemas.openxmlformats.org/officeDocument/2006/relationships/chart" Target="charts/chart36.xml"/><Relationship Id="rId39" Type="http://schemas.openxmlformats.org/officeDocument/2006/relationships/chart" Target="charts/chart37.xml"/><Relationship Id="rId40" Type="http://schemas.openxmlformats.org/officeDocument/2006/relationships/chart" Target="charts/chart38.xml"/><Relationship Id="rId41" Type="http://schemas.openxmlformats.org/officeDocument/2006/relationships/chart" Target="charts/chart39.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oter" Target="footer3.xml"/><Relationship Id="rId45" Type="http://schemas.openxmlformats.org/officeDocument/2006/relationships/footnotes" Target="footnotes.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Relationship Id="rId5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oecd.org/corporate/oecd-capital-market-review-romania.htm" TargetMode="External"/><Relationship Id="rId2" Type="http://schemas.openxmlformats.org/officeDocument/2006/relationships/hyperlink" Target="https://gov.ro/fisiere/programe_fisiere/Program_de_Guvernare_2021&#8212;2024.pdf" TargetMode="External"/><Relationship Id="rId3" Type="http://schemas.openxmlformats.org/officeDocument/2006/relationships/hyperlink" Target="https://www.mckinsey.com/~/media/mckinsey/industries/private equity and principal investors/our insights/mckinseys private markets annual review/mckinsey-global-private-markets-review-2020-v4.pdf                                                                                                                                                            " TargetMode="Externa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10.xml.rels><?xml version="1.0" encoding="UTF-8"?>
<Relationships xmlns="http://schemas.openxmlformats.org/package/2006/relationships"><Relationship Id="rId1" Type="http://schemas.openxmlformats.org/officeDocument/2006/relationships/package" Target="../embeddings/Microsoft_Excel_Worksheet7.xlsx"/>
</Relationships>
</file>

<file path=word/charts/_rels/chart11.xml.rels><?xml version="1.0" encoding="UTF-8"?>
<Relationships xmlns="http://schemas.openxmlformats.org/package/2006/relationships"><Relationship Id="rId1" Type="http://schemas.openxmlformats.org/officeDocument/2006/relationships/oleObject" Target="../embeddings/oleObject1.bin"/>
</Relationships>
</file>

<file path=word/charts/_rels/chart13.xml.rels><?xml version="1.0" encoding="UTF-8"?>
<Relationships xmlns="http://schemas.openxmlformats.org/package/2006/relationships"><Relationship Id="rId1" Type="http://schemas.openxmlformats.org/officeDocument/2006/relationships/package" Target="../embeddings/Microsoft_Excel_Worksheet8.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_rels/chart6.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7.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8.xml.rels><?xml version="1.0" encoding="UTF-8"?>
<Relationships xmlns="http://schemas.openxmlformats.org/package/2006/relationships"><Relationship Id="rId1" Type="http://schemas.openxmlformats.org/officeDocument/2006/relationships/package" Target="../embeddings/Microsoft_Excel_Worksheet6.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Zona Euro</c:v>
                </c:pt>
              </c:strCache>
            </c:strRef>
          </c:tx>
          <c:spPr>
            <a:solidFill>
              <a:srgbClr val="5b9bd5"/>
            </a:solidFill>
            <a:ln w="28440">
              <a:solidFill>
                <a:srgbClr val="5b9bd5"/>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
                <c:pt idx="0">
                  <c:v>T2 2020</c:v>
                </c:pt>
                <c:pt idx="1">
                  <c:v>T3 2020</c:v>
                </c:pt>
                <c:pt idx="2">
                  <c:v>T4 2020</c:v>
                </c:pt>
                <c:pt idx="3">
                  <c:v>T1 2021</c:v>
                </c:pt>
                <c:pt idx="4">
                  <c:v>T2 2021</c:v>
                </c:pt>
                <c:pt idx="5">
                  <c:v>T3 2021</c:v>
                </c:pt>
                <c:pt idx="6">
                  <c:v>T4 2021</c:v>
                </c:pt>
                <c:pt idx="7">
                  <c:v>T1 2022</c:v>
                </c:pt>
                <c:pt idx="8">
                  <c:v>T2 2022</c:v>
                </c:pt>
              </c:strCache>
            </c:strRef>
          </c:cat>
          <c:val>
            <c:numRef>
              <c:f>0</c:f>
              <c:numCache>
                <c:formatCode>General</c:formatCode>
                <c:ptCount val="9"/>
                <c:pt idx="0">
                  <c:v>-0.143</c:v>
                </c:pt>
                <c:pt idx="1">
                  <c:v>-0.037</c:v>
                </c:pt>
                <c:pt idx="2">
                  <c:v>-0.041</c:v>
                </c:pt>
                <c:pt idx="3">
                  <c:v>-0.008</c:v>
                </c:pt>
                <c:pt idx="4">
                  <c:v>0.144</c:v>
                </c:pt>
                <c:pt idx="5">
                  <c:v>0.037</c:v>
                </c:pt>
                <c:pt idx="6">
                  <c:v>0.046</c:v>
                </c:pt>
                <c:pt idx="7">
                  <c:v>0.054</c:v>
                </c:pt>
                <c:pt idx="8">
                  <c:v>0.041</c:v>
                </c:pt>
              </c:numCache>
            </c:numRef>
          </c:val>
          <c:smooth val="0"/>
        </c:ser>
        <c:ser>
          <c:idx val="1"/>
          <c:order val="1"/>
          <c:tx>
            <c:strRef>
              <c:f>label 1</c:f>
              <c:strCache>
                <c:ptCount val="1"/>
                <c:pt idx="0">
                  <c:v>Bulgaria</c:v>
                </c:pt>
              </c:strCache>
            </c:strRef>
          </c:tx>
          <c:spPr>
            <a:solidFill>
              <a:srgbClr val="ed7d31"/>
            </a:solidFill>
            <a:ln w="28440">
              <a:solidFill>
                <a:srgbClr val="ed7d31"/>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
                <c:pt idx="0">
                  <c:v>T2 2020</c:v>
                </c:pt>
                <c:pt idx="1">
                  <c:v>T3 2020</c:v>
                </c:pt>
                <c:pt idx="2">
                  <c:v>T4 2020</c:v>
                </c:pt>
                <c:pt idx="3">
                  <c:v>T1 2021</c:v>
                </c:pt>
                <c:pt idx="4">
                  <c:v>T2 2021</c:v>
                </c:pt>
                <c:pt idx="5">
                  <c:v>T3 2021</c:v>
                </c:pt>
                <c:pt idx="6">
                  <c:v>T4 2021</c:v>
                </c:pt>
                <c:pt idx="7">
                  <c:v>T1 2022</c:v>
                </c:pt>
                <c:pt idx="8">
                  <c:v>T2 2022</c:v>
                </c:pt>
              </c:strCache>
            </c:strRef>
          </c:cat>
          <c:val>
            <c:numRef>
              <c:f>1</c:f>
              <c:numCache>
                <c:formatCode>General</c:formatCode>
                <c:ptCount val="9"/>
                <c:pt idx="0">
                  <c:v>-0.078</c:v>
                </c:pt>
                <c:pt idx="1">
                  <c:v>-0.044</c:v>
                </c:pt>
                <c:pt idx="2">
                  <c:v>-0.033</c:v>
                </c:pt>
                <c:pt idx="3">
                  <c:v>-0.015</c:v>
                </c:pt>
                <c:pt idx="4">
                  <c:v>0.073</c:v>
                </c:pt>
                <c:pt idx="5">
                  <c:v>0.053</c:v>
                </c:pt>
                <c:pt idx="6">
                  <c:v>0.05</c:v>
                </c:pt>
                <c:pt idx="7">
                  <c:v>0.042</c:v>
                </c:pt>
                <c:pt idx="8">
                  <c:v>0.04</c:v>
                </c:pt>
              </c:numCache>
            </c:numRef>
          </c:val>
          <c:smooth val="0"/>
        </c:ser>
        <c:ser>
          <c:idx val="2"/>
          <c:order val="2"/>
          <c:tx>
            <c:strRef>
              <c:f>label 2</c:f>
              <c:strCache>
                <c:ptCount val="1"/>
                <c:pt idx="0">
                  <c:v>Germania</c:v>
                </c:pt>
              </c:strCache>
            </c:strRef>
          </c:tx>
          <c:spPr>
            <a:solidFill>
              <a:srgbClr val="a5a5a5"/>
            </a:solidFill>
            <a:ln w="28440">
              <a:solidFill>
                <a:srgbClr val="a5a5a5"/>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
                <c:pt idx="0">
                  <c:v>T2 2020</c:v>
                </c:pt>
                <c:pt idx="1">
                  <c:v>T3 2020</c:v>
                </c:pt>
                <c:pt idx="2">
                  <c:v>T4 2020</c:v>
                </c:pt>
                <c:pt idx="3">
                  <c:v>T1 2021</c:v>
                </c:pt>
                <c:pt idx="4">
                  <c:v>T2 2021</c:v>
                </c:pt>
                <c:pt idx="5">
                  <c:v>T3 2021</c:v>
                </c:pt>
                <c:pt idx="6">
                  <c:v>T4 2021</c:v>
                </c:pt>
                <c:pt idx="7">
                  <c:v>T1 2022</c:v>
                </c:pt>
                <c:pt idx="8">
                  <c:v>T2 2022</c:v>
                </c:pt>
              </c:strCache>
            </c:strRef>
          </c:cat>
          <c:val>
            <c:numRef>
              <c:f>2</c:f>
              <c:numCache>
                <c:formatCode>General</c:formatCode>
                <c:ptCount val="9"/>
                <c:pt idx="0">
                  <c:v>-0.104</c:v>
                </c:pt>
                <c:pt idx="1">
                  <c:v>-0.025</c:v>
                </c:pt>
                <c:pt idx="2">
                  <c:v>-0.021</c:v>
                </c:pt>
                <c:pt idx="3">
                  <c:v>-0.022</c:v>
                </c:pt>
                <c:pt idx="4">
                  <c:v>0.102</c:v>
                </c:pt>
                <c:pt idx="5">
                  <c:v>0.018</c:v>
                </c:pt>
                <c:pt idx="6">
                  <c:v>0.012</c:v>
                </c:pt>
                <c:pt idx="7">
                  <c:v>0.035</c:v>
                </c:pt>
                <c:pt idx="8">
                  <c:v>0.017</c:v>
                </c:pt>
              </c:numCache>
            </c:numRef>
          </c:val>
          <c:smooth val="0"/>
        </c:ser>
        <c:ser>
          <c:idx val="3"/>
          <c:order val="3"/>
          <c:tx>
            <c:strRef>
              <c:f>label 3</c:f>
              <c:strCache>
                <c:ptCount val="1"/>
                <c:pt idx="0">
                  <c:v>Franța </c:v>
                </c:pt>
              </c:strCache>
            </c:strRef>
          </c:tx>
          <c:spPr>
            <a:solidFill>
              <a:srgbClr val="ffc000"/>
            </a:solidFill>
            <a:ln w="28440">
              <a:solidFill>
                <a:srgbClr val="ffc000"/>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
                <c:pt idx="0">
                  <c:v>T2 2020</c:v>
                </c:pt>
                <c:pt idx="1">
                  <c:v>T3 2020</c:v>
                </c:pt>
                <c:pt idx="2">
                  <c:v>T4 2020</c:v>
                </c:pt>
                <c:pt idx="3">
                  <c:v>T1 2021</c:v>
                </c:pt>
                <c:pt idx="4">
                  <c:v>T2 2021</c:v>
                </c:pt>
                <c:pt idx="5">
                  <c:v>T3 2021</c:v>
                </c:pt>
                <c:pt idx="6">
                  <c:v>T4 2021</c:v>
                </c:pt>
                <c:pt idx="7">
                  <c:v>T1 2022</c:v>
                </c:pt>
                <c:pt idx="8">
                  <c:v>T2 2022</c:v>
                </c:pt>
              </c:strCache>
            </c:strRef>
          </c:cat>
          <c:val>
            <c:numRef>
              <c:f>3</c:f>
              <c:numCache>
                <c:formatCode>General</c:formatCode>
                <c:ptCount val="9"/>
                <c:pt idx="0">
                  <c:v>-0.186</c:v>
                </c:pt>
                <c:pt idx="1">
                  <c:v>-0.036</c:v>
                </c:pt>
                <c:pt idx="2">
                  <c:v>-0.042</c:v>
                </c:pt>
                <c:pt idx="3">
                  <c:v>0.015</c:v>
                </c:pt>
                <c:pt idx="4">
                  <c:v>0.186</c:v>
                </c:pt>
                <c:pt idx="5">
                  <c:v>0.036</c:v>
                </c:pt>
                <c:pt idx="6">
                  <c:v>0.05</c:v>
                </c:pt>
                <c:pt idx="7">
                  <c:v>0.047</c:v>
                </c:pt>
                <c:pt idx="8">
                  <c:v>0.042</c:v>
                </c:pt>
              </c:numCache>
            </c:numRef>
          </c:val>
          <c:smooth val="0"/>
        </c:ser>
        <c:ser>
          <c:idx val="4"/>
          <c:order val="4"/>
          <c:tx>
            <c:strRef>
              <c:f>label 4</c:f>
              <c:strCache>
                <c:ptCount val="1"/>
                <c:pt idx="0">
                  <c:v>Italia</c:v>
                </c:pt>
              </c:strCache>
            </c:strRef>
          </c:tx>
          <c:spPr>
            <a:solidFill>
              <a:srgbClr val="4472c4"/>
            </a:solidFill>
            <a:ln w="28440">
              <a:solidFill>
                <a:srgbClr val="4472c4"/>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
                <c:pt idx="0">
                  <c:v>T2 2020</c:v>
                </c:pt>
                <c:pt idx="1">
                  <c:v>T3 2020</c:v>
                </c:pt>
                <c:pt idx="2">
                  <c:v>T4 2020</c:v>
                </c:pt>
                <c:pt idx="3">
                  <c:v>T1 2021</c:v>
                </c:pt>
                <c:pt idx="4">
                  <c:v>T2 2021</c:v>
                </c:pt>
                <c:pt idx="5">
                  <c:v>T3 2021</c:v>
                </c:pt>
                <c:pt idx="6">
                  <c:v>T4 2021</c:v>
                </c:pt>
                <c:pt idx="7">
                  <c:v>T1 2022</c:v>
                </c:pt>
                <c:pt idx="8">
                  <c:v>T2 2022</c:v>
                </c:pt>
              </c:strCache>
            </c:strRef>
          </c:cat>
          <c:val>
            <c:numRef>
              <c:f>4</c:f>
              <c:numCache>
                <c:formatCode>General</c:formatCode>
                <c:ptCount val="9"/>
                <c:pt idx="0">
                  <c:v>-0.185</c:v>
                </c:pt>
                <c:pt idx="1">
                  <c:v>-0.054</c:v>
                </c:pt>
                <c:pt idx="2">
                  <c:v>-0.061</c:v>
                </c:pt>
                <c:pt idx="3">
                  <c:v>0</c:v>
                </c:pt>
                <c:pt idx="4">
                  <c:v>0.175</c:v>
                </c:pt>
                <c:pt idx="5">
                  <c:v>0.04</c:v>
                </c:pt>
                <c:pt idx="6">
                  <c:v>0.064</c:v>
                </c:pt>
                <c:pt idx="7">
                  <c:v>0.063</c:v>
                </c:pt>
                <c:pt idx="8">
                  <c:v>0.047</c:v>
                </c:pt>
              </c:numCache>
            </c:numRef>
          </c:val>
          <c:smooth val="0"/>
        </c:ser>
        <c:ser>
          <c:idx val="5"/>
          <c:order val="5"/>
          <c:tx>
            <c:strRef>
              <c:f>label 5</c:f>
              <c:strCache>
                <c:ptCount val="1"/>
                <c:pt idx="0">
                  <c:v>Romania</c:v>
                </c:pt>
              </c:strCache>
            </c:strRef>
          </c:tx>
          <c:spPr>
            <a:solidFill>
              <a:srgbClr val="70ad47"/>
            </a:solidFill>
            <a:ln w="28440">
              <a:solidFill>
                <a:srgbClr val="70ad47"/>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
                <c:pt idx="0">
                  <c:v>T2 2020</c:v>
                </c:pt>
                <c:pt idx="1">
                  <c:v>T3 2020</c:v>
                </c:pt>
                <c:pt idx="2">
                  <c:v>T4 2020</c:v>
                </c:pt>
                <c:pt idx="3">
                  <c:v>T1 2021</c:v>
                </c:pt>
                <c:pt idx="4">
                  <c:v>T2 2021</c:v>
                </c:pt>
                <c:pt idx="5">
                  <c:v>T3 2021</c:v>
                </c:pt>
                <c:pt idx="6">
                  <c:v>T4 2021</c:v>
                </c:pt>
                <c:pt idx="7">
                  <c:v>T1 2022</c:v>
                </c:pt>
                <c:pt idx="8">
                  <c:v>T2 2022</c:v>
                </c:pt>
              </c:strCache>
            </c:strRef>
          </c:cat>
          <c:val>
            <c:numRef>
              <c:f>5</c:f>
              <c:numCache>
                <c:formatCode>General</c:formatCode>
                <c:ptCount val="9"/>
                <c:pt idx="0">
                  <c:v>-0.098</c:v>
                </c:pt>
                <c:pt idx="1">
                  <c:v>-0.054</c:v>
                </c:pt>
                <c:pt idx="2">
                  <c:v>-0.015</c:v>
                </c:pt>
                <c:pt idx="3">
                  <c:v>-0.001</c:v>
                </c:pt>
                <c:pt idx="4">
                  <c:v>0.154</c:v>
                </c:pt>
                <c:pt idx="5">
                  <c:v>0.069</c:v>
                </c:pt>
                <c:pt idx="6">
                  <c:v>0.024</c:v>
                </c:pt>
                <c:pt idx="7">
                  <c:v>0.064</c:v>
                </c:pt>
                <c:pt idx="8">
                  <c:v>0.053</c:v>
                </c:pt>
              </c:numCache>
            </c:numRef>
          </c:val>
          <c:smooth val="0"/>
        </c:ser>
        <c:hiLowLines>
          <c:spPr>
            <a:ln>
              <a:noFill/>
            </a:ln>
          </c:spPr>
        </c:hiLowLines>
        <c:marker val="0"/>
        <c:axId val="31282599"/>
        <c:axId val="57010888"/>
      </c:lineChart>
      <c:catAx>
        <c:axId val="31282599"/>
        <c:scaling>
          <c:orientation val="minMax"/>
        </c:scaling>
        <c:delete val="0"/>
        <c:axPos val="b"/>
        <c:numFmt formatCode="DD/MM/YYYY" sourceLinked="1"/>
        <c:majorTickMark val="none"/>
        <c:minorTickMark val="none"/>
        <c:tickLblPos val="low"/>
        <c:spPr>
          <a:ln w="9360">
            <a:solidFill>
              <a:srgbClr val="d9d9d9"/>
            </a:solidFill>
            <a:round/>
          </a:ln>
        </c:spPr>
        <c:txPr>
          <a:bodyPr/>
          <a:lstStyle/>
          <a:p>
            <a:pPr>
              <a:defRPr b="0" sz="800" spc="-1" strike="noStrike">
                <a:solidFill>
                  <a:srgbClr val="000000"/>
                </a:solidFill>
                <a:latin typeface="Calibri"/>
              </a:defRPr>
            </a:pPr>
          </a:p>
        </c:txPr>
        <c:crossAx val="57010888"/>
        <c:crosses val="autoZero"/>
        <c:auto val="1"/>
        <c:lblAlgn val="ctr"/>
        <c:lblOffset val="100"/>
      </c:catAx>
      <c:valAx>
        <c:axId val="5701088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31282599"/>
        <c:crosses val="autoZero"/>
        <c:crossBetween val="midCat"/>
      </c:valAx>
      <c:spPr>
        <a:noFill/>
        <a:ln>
          <a:noFill/>
        </a:ln>
      </c:spPr>
    </c:plotArea>
    <c:legend>
      <c:legendPos val="b"/>
      <c:overlay val="0"/>
      <c:spPr>
        <a:noFill/>
        <a:ln>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Ținta IPC (2,5%)</c:v>
                </c:pt>
              </c:strCache>
            </c:strRef>
          </c:tx>
          <c:spPr>
            <a:solidFill>
              <a:srgbClr val="0d0d0d"/>
            </a:solidFill>
            <a:ln w="28440">
              <a:solidFill>
                <a:srgbClr val="0d0d0d"/>
              </a:solidFill>
              <a:round/>
            </a:ln>
          </c:spPr>
          <c:marker>
            <c:symbol val="none"/>
          </c:marker>
          <c:dLbls>
            <c:numFmt formatCode="0" sourceLinked="1"/>
            <c:txPr>
              <a:bodyPr/>
              <a:lstStyle/>
              <a:p>
                <a:pPr>
                  <a:defRPr b="0" sz="8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strCache>
            </c:strRef>
          </c:cat>
          <c:val>
            <c:numRef>
              <c:f>0</c:f>
              <c:numCache>
                <c:formatCode>General</c:formatCod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numCache>
            </c:numRef>
          </c:val>
          <c:smooth val="0"/>
        </c:ser>
        <c:ser>
          <c:idx val="1"/>
          <c:order val="1"/>
          <c:tx>
            <c:strRef>
              <c:f>label 1</c:f>
              <c:strCache>
                <c:ptCount val="1"/>
                <c:pt idx="0">
                  <c:v>IPC</c:v>
                </c:pt>
              </c:strCache>
            </c:strRef>
          </c:tx>
          <c:spPr>
            <a:solidFill>
              <a:srgbClr val="c00000"/>
            </a:solidFill>
            <a:ln w="31680">
              <a:solidFill>
                <a:srgbClr val="c00000"/>
              </a:solidFill>
              <a:round/>
            </a:ln>
          </c:spPr>
          <c:marker>
            <c:symbol val="none"/>
          </c:marker>
          <c:dPt>
            <c:idx val="26"/>
            <c:spPr>
              <a:solidFill>
                <a:srgbClr val="c00000"/>
              </a:solidFill>
              <a:ln w="31680">
                <a:solidFill>
                  <a:srgbClr val="c00000"/>
                </a:solidFill>
                <a:round/>
              </a:ln>
            </c:spPr>
          </c:dPt>
          <c:dLbls>
            <c:numFmt formatCode="0" sourceLinked="1"/>
            <c:dLbl>
              <c:idx val="26"/>
              <c:txPr>
                <a:bodyPr/>
                <a:lstStyle/>
                <a:p>
                  <a:pPr>
                    <a:defRPr b="0" sz="800" spc="-1" strike="noStrike">
                      <a:solidFill>
                        <a:srgbClr val="000000"/>
                      </a:solidFill>
                      <a:latin typeface="Calibri"/>
                    </a:defRPr>
                  </a:pPr>
                </a:p>
              </c:txPr>
              <c:dLblPos val="r"/>
              <c:showLegendKey val="0"/>
              <c:showVal val="0"/>
              <c:showCatName val="0"/>
              <c:showSerName val="0"/>
              <c:showPercent val="0"/>
            </c:dLbl>
            <c:txPr>
              <a:bodyPr/>
              <a:lstStyle/>
              <a:p>
                <a:pPr>
                  <a:defRPr b="0" sz="8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strCache>
            </c:strRef>
          </c:cat>
          <c:val>
            <c:numRef>
              <c:f>1</c:f>
              <c:numCache>
                <c:formatCode>General</c:formatCode>
                <c:ptCount val="66"/>
                <c:pt idx="0">
                  <c:v>3.31999999999999</c:v>
                </c:pt>
                <c:pt idx="1">
                  <c:v>3.83</c:v>
                </c:pt>
                <c:pt idx="2">
                  <c:v>4.03</c:v>
                </c:pt>
                <c:pt idx="3">
                  <c:v>4.11</c:v>
                </c:pt>
                <c:pt idx="4">
                  <c:v>4.09999999999999</c:v>
                </c:pt>
                <c:pt idx="5">
                  <c:v>3.84</c:v>
                </c:pt>
                <c:pt idx="6">
                  <c:v>4.12</c:v>
                </c:pt>
                <c:pt idx="7">
                  <c:v>3.89</c:v>
                </c:pt>
                <c:pt idx="8">
                  <c:v>3.48999999999999</c:v>
                </c:pt>
                <c:pt idx="9">
                  <c:v>3.40000000000001</c:v>
                </c:pt>
                <c:pt idx="10">
                  <c:v>3.77</c:v>
                </c:pt>
                <c:pt idx="11">
                  <c:v>4.04000000000001</c:v>
                </c:pt>
                <c:pt idx="12">
                  <c:v>3.59999999999999</c:v>
                </c:pt>
                <c:pt idx="13">
                  <c:v>3.05</c:v>
                </c:pt>
                <c:pt idx="14">
                  <c:v>3.05</c:v>
                </c:pt>
                <c:pt idx="15">
                  <c:v>2.68000000000001</c:v>
                </c:pt>
                <c:pt idx="16">
                  <c:v>2.26000000000001</c:v>
                </c:pt>
                <c:pt idx="17">
                  <c:v>2.58</c:v>
                </c:pt>
                <c:pt idx="18">
                  <c:v>2.8</c:v>
                </c:pt>
                <c:pt idx="19">
                  <c:v>2.68000000000001</c:v>
                </c:pt>
                <c:pt idx="20">
                  <c:v>2.45</c:v>
                </c:pt>
                <c:pt idx="21">
                  <c:v>2.23999999999999</c:v>
                </c:pt>
                <c:pt idx="22">
                  <c:v>2.14</c:v>
                </c:pt>
                <c:pt idx="23">
                  <c:v>2.06</c:v>
                </c:pt>
                <c:pt idx="24">
                  <c:v>2.98999999999999</c:v>
                </c:pt>
                <c:pt idx="25">
                  <c:v>3.16</c:v>
                </c:pt>
                <c:pt idx="26">
                  <c:v>3.05</c:v>
                </c:pt>
                <c:pt idx="27">
                  <c:v>3.23999999999999</c:v>
                </c:pt>
                <c:pt idx="28">
                  <c:v>3.75</c:v>
                </c:pt>
                <c:pt idx="29">
                  <c:v>3.94</c:v>
                </c:pt>
                <c:pt idx="30">
                  <c:v>4.95</c:v>
                </c:pt>
                <c:pt idx="31">
                  <c:v>5.25</c:v>
                </c:pt>
                <c:pt idx="32">
                  <c:v>6.29000000000001</c:v>
                </c:pt>
                <c:pt idx="33">
                  <c:v>7.94</c:v>
                </c:pt>
                <c:pt idx="34">
                  <c:v>7.8</c:v>
                </c:pt>
                <c:pt idx="35">
                  <c:v>8.19</c:v>
                </c:pt>
                <c:pt idx="36">
                  <c:v>8.34999999999999</c:v>
                </c:pt>
                <c:pt idx="37">
                  <c:v>8.53</c:v>
                </c:pt>
                <c:pt idx="38">
                  <c:v>10.15</c:v>
                </c:pt>
                <c:pt idx="39">
                  <c:v>13.76</c:v>
                </c:pt>
                <c:pt idx="40">
                  <c:v>14.49</c:v>
                </c:pt>
                <c:pt idx="41">
                  <c:v>15.05</c:v>
                </c:pt>
                <c:pt idx="42">
                  <c:v>14.96</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numCache>
            </c:numRef>
          </c:val>
          <c:smooth val="0"/>
        </c:ser>
        <c:ser>
          <c:idx val="2"/>
          <c:order val="2"/>
          <c:tx>
            <c:strRef>
              <c:f>label 2</c:f>
              <c:strCache>
                <c:ptCount val="1"/>
                <c:pt idx="0">
                  <c:v>Prognoza IPC a BNR</c:v>
                </c:pt>
              </c:strCache>
            </c:strRef>
          </c:tx>
          <c:spPr>
            <a:solidFill>
              <a:srgbClr val="c00000"/>
            </a:solidFill>
            <a:ln w="31680">
              <a:solidFill>
                <a:srgbClr val="c00000"/>
              </a:solidFill>
              <a:custDash/>
              <a:round/>
            </a:ln>
          </c:spPr>
          <c:marker>
            <c:symbol val="none"/>
          </c:marker>
          <c:dLbls>
            <c:numFmt formatCode="0" sourceLinked="1"/>
            <c:txPr>
              <a:bodyPr/>
              <a:lstStyle/>
              <a:p>
                <a:pPr>
                  <a:defRPr b="0" sz="8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strCache>
            </c:strRef>
          </c:cat>
          <c:val>
            <c:numRef>
              <c:f>2</c:f>
              <c:numCache>
                <c:formatCode>General</c:formatCod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15.1</c:v>
                </c:pt>
                <c:pt idx="43">
                  <c:v>15.1</c:v>
                </c:pt>
                <c:pt idx="44">
                  <c:v>15.1</c:v>
                </c:pt>
                <c:pt idx="45">
                  <c:v>13.9</c:v>
                </c:pt>
                <c:pt idx="46">
                  <c:v>13.9</c:v>
                </c:pt>
                <c:pt idx="47">
                  <c:v>13.9</c:v>
                </c:pt>
                <c:pt idx="48">
                  <c:v>11.6</c:v>
                </c:pt>
                <c:pt idx="49">
                  <c:v>11.6</c:v>
                </c:pt>
                <c:pt idx="50">
                  <c:v>11.6</c:v>
                </c:pt>
                <c:pt idx="51">
                  <c:v>13.8</c:v>
                </c:pt>
                <c:pt idx="52">
                  <c:v>13.8</c:v>
                </c:pt>
                <c:pt idx="53">
                  <c:v>13.8</c:v>
                </c:pt>
                <c:pt idx="54">
                  <c:v>8.9</c:v>
                </c:pt>
                <c:pt idx="55">
                  <c:v>8.9</c:v>
                </c:pt>
                <c:pt idx="56">
                  <c:v>8.9</c:v>
                </c:pt>
                <c:pt idx="57">
                  <c:v>7.5</c:v>
                </c:pt>
                <c:pt idx="58">
                  <c:v>7.5</c:v>
                </c:pt>
                <c:pt idx="59">
                  <c:v>7.5</c:v>
                </c:pt>
                <c:pt idx="60">
                  <c:v/>
                </c:pt>
                <c:pt idx="61">
                  <c:v/>
                </c:pt>
                <c:pt idx="62">
                  <c:v/>
                </c:pt>
                <c:pt idx="63">
                  <c:v/>
                </c:pt>
                <c:pt idx="64">
                  <c:v/>
                </c:pt>
                <c:pt idx="65">
                  <c:v/>
                </c:pt>
              </c:numCache>
            </c:numRef>
          </c:val>
          <c:smooth val="0"/>
        </c:ser>
        <c:ser>
          <c:idx val="3"/>
          <c:order val="3"/>
          <c:tx>
            <c:strRef>
              <c:f>label 3</c:f>
              <c:strCache>
                <c:ptCount val="1"/>
                <c:pt idx="0">
                  <c:v>Mărfuri alimentare</c:v>
                </c:pt>
              </c:strCache>
            </c:strRef>
          </c:tx>
          <c:spPr>
            <a:solidFill>
              <a:srgbClr val="ed7d31"/>
            </a:solidFill>
            <a:ln w="28440">
              <a:solidFill>
                <a:srgbClr val="ed7d31"/>
              </a:solidFill>
              <a:round/>
            </a:ln>
          </c:spPr>
          <c:marker>
            <c:symbol val="none"/>
          </c:marker>
          <c:dLbls>
            <c:numFmt formatCode="0" sourceLinked="1"/>
            <c:txPr>
              <a:bodyPr/>
              <a:lstStyle/>
              <a:p>
                <a:pPr>
                  <a:defRPr b="0" sz="8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strCache>
            </c:strRef>
          </c:cat>
          <c:val>
            <c:numRef>
              <c:f>3</c:f>
              <c:numCache>
                <c:formatCode>General</c:formatCode>
                <c:ptCount val="66"/>
                <c:pt idx="0">
                  <c:v>3.77</c:v>
                </c:pt>
                <c:pt idx="1">
                  <c:v>4.45999999999999</c:v>
                </c:pt>
                <c:pt idx="2">
                  <c:v>4.45</c:v>
                </c:pt>
                <c:pt idx="3">
                  <c:v>4.98</c:v>
                </c:pt>
                <c:pt idx="4">
                  <c:v>5.24</c:v>
                </c:pt>
                <c:pt idx="5">
                  <c:v>5</c:v>
                </c:pt>
                <c:pt idx="6">
                  <c:v>5.15000000000001</c:v>
                </c:pt>
                <c:pt idx="7">
                  <c:v>5.02</c:v>
                </c:pt>
                <c:pt idx="8">
                  <c:v>4.06999999999999</c:v>
                </c:pt>
                <c:pt idx="9">
                  <c:v>4.16</c:v>
                </c:pt>
                <c:pt idx="10">
                  <c:v>4.90000000000001</c:v>
                </c:pt>
                <c:pt idx="11">
                  <c:v>5.08</c:v>
                </c:pt>
                <c:pt idx="12">
                  <c:v>4.75</c:v>
                </c:pt>
                <c:pt idx="13">
                  <c:v>4.09</c:v>
                </c:pt>
                <c:pt idx="14">
                  <c:v>5.11</c:v>
                </c:pt>
                <c:pt idx="15">
                  <c:v>5.72</c:v>
                </c:pt>
                <c:pt idx="16">
                  <c:v>5.25</c:v>
                </c:pt>
                <c:pt idx="17">
                  <c:v>5.34999999999999</c:v>
                </c:pt>
                <c:pt idx="18">
                  <c:v>5.56999999999999</c:v>
                </c:pt>
                <c:pt idx="19">
                  <c:v>5.45</c:v>
                </c:pt>
                <c:pt idx="20">
                  <c:v>4.95999999999999</c:v>
                </c:pt>
                <c:pt idx="21">
                  <c:v>4.34</c:v>
                </c:pt>
                <c:pt idx="22">
                  <c:v>3.81</c:v>
                </c:pt>
                <c:pt idx="23">
                  <c:v>3.23999999999999</c:v>
                </c:pt>
                <c:pt idx="24">
                  <c:v>2.88</c:v>
                </c:pt>
                <c:pt idx="25">
                  <c:v>2.7</c:v>
                </c:pt>
                <c:pt idx="26">
                  <c:v>1.59</c:v>
                </c:pt>
                <c:pt idx="27">
                  <c:v>0.760000000000005</c:v>
                </c:pt>
                <c:pt idx="28">
                  <c:v>1.52</c:v>
                </c:pt>
                <c:pt idx="29">
                  <c:v>2.17</c:v>
                </c:pt>
                <c:pt idx="30">
                  <c:v>2.33</c:v>
                </c:pt>
                <c:pt idx="31">
                  <c:v>2.7</c:v>
                </c:pt>
                <c:pt idx="32">
                  <c:v>4.26000000000001</c:v>
                </c:pt>
                <c:pt idx="33">
                  <c:v>5.25</c:v>
                </c:pt>
                <c:pt idx="34">
                  <c:v>6.09999999999999</c:v>
                </c:pt>
                <c:pt idx="35">
                  <c:v>6.69</c:v>
                </c:pt>
                <c:pt idx="36">
                  <c:v>7.24</c:v>
                </c:pt>
                <c:pt idx="37">
                  <c:v>8.84</c:v>
                </c:pt>
                <c:pt idx="38">
                  <c:v>11.2</c:v>
                </c:pt>
                <c:pt idx="39">
                  <c:v>13.54</c:v>
                </c:pt>
                <c:pt idx="40">
                  <c:v>14.25</c:v>
                </c:pt>
                <c:pt idx="41">
                  <c:v>14.67</c:v>
                </c:pt>
                <c:pt idx="42">
                  <c:v>16.05</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numCache>
            </c:numRef>
          </c:val>
          <c:smooth val="0"/>
        </c:ser>
        <c:ser>
          <c:idx val="4"/>
          <c:order val="4"/>
          <c:tx>
            <c:strRef>
              <c:f>label 4</c:f>
              <c:strCache>
                <c:ptCount val="1"/>
                <c:pt idx="0">
                  <c:v>Mărfuri nealimentare (fără energie)</c:v>
                </c:pt>
              </c:strCache>
            </c:strRef>
          </c:tx>
          <c:spPr>
            <a:solidFill>
              <a:srgbClr val="a5a5a5"/>
            </a:solidFill>
            <a:ln w="28440">
              <a:solidFill>
                <a:srgbClr val="a5a5a5"/>
              </a:solidFill>
              <a:round/>
            </a:ln>
          </c:spPr>
          <c:marker>
            <c:symbol val="none"/>
          </c:marker>
          <c:dLbls>
            <c:numFmt formatCode="0" sourceLinked="1"/>
            <c:txPr>
              <a:bodyPr/>
              <a:lstStyle/>
              <a:p>
                <a:pPr>
                  <a:defRPr b="0" sz="8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strCache>
            </c:strRef>
          </c:cat>
          <c:val>
            <c:numRef>
              <c:f>4</c:f>
              <c:numCache>
                <c:formatCode>General</c:formatCode>
                <c:ptCount val="66"/>
                <c:pt idx="0">
                  <c:v>3.24216189536033</c:v>
                </c:pt>
                <c:pt idx="1">
                  <c:v>3.46830207305034</c:v>
                </c:pt>
                <c:pt idx="2">
                  <c:v>3.81720631786773</c:v>
                </c:pt>
                <c:pt idx="3">
                  <c:v>3.35987166831194</c:v>
                </c:pt>
                <c:pt idx="4">
                  <c:v>3.08796643632773</c:v>
                </c:pt>
                <c:pt idx="5">
                  <c:v>3.06309970384995</c:v>
                </c:pt>
                <c:pt idx="6">
                  <c:v>3.53598223099703</c:v>
                </c:pt>
                <c:pt idx="7">
                  <c:v>3.73526159921028</c:v>
                </c:pt>
                <c:pt idx="8">
                  <c:v>3.74728529121422</c:v>
                </c:pt>
                <c:pt idx="9">
                  <c:v>3.763228035538</c:v>
                </c:pt>
                <c:pt idx="10">
                  <c:v>3.7647976307996</c:v>
                </c:pt>
                <c:pt idx="11">
                  <c:v>3.67373149062192</c:v>
                </c:pt>
                <c:pt idx="12">
                  <c:v>3.4275040257649</c:v>
                </c:pt>
                <c:pt idx="13">
                  <c:v>3.30712077294687</c:v>
                </c:pt>
                <c:pt idx="14">
                  <c:v>3.38769082125604</c:v>
                </c:pt>
                <c:pt idx="15">
                  <c:v>3.30386473429952</c:v>
                </c:pt>
                <c:pt idx="16">
                  <c:v>3.33039935587762</c:v>
                </c:pt>
                <c:pt idx="17">
                  <c:v>3.5232850241546</c:v>
                </c:pt>
                <c:pt idx="18">
                  <c:v>3.74147181964573</c:v>
                </c:pt>
                <c:pt idx="19">
                  <c:v>3.5532077294686</c:v>
                </c:pt>
                <c:pt idx="20">
                  <c:v>3.51600644122384</c:v>
                </c:pt>
                <c:pt idx="21">
                  <c:v>3.44877616747181</c:v>
                </c:pt>
                <c:pt idx="22">
                  <c:v>3.60513365539453</c:v>
                </c:pt>
                <c:pt idx="23">
                  <c:v>3.72171980676329</c:v>
                </c:pt>
                <c:pt idx="24">
                  <c:v>3.43362692670651</c:v>
                </c:pt>
                <c:pt idx="25">
                  <c:v>3.38988675684177</c:v>
                </c:pt>
                <c:pt idx="26">
                  <c:v>2.94974205725071</c:v>
                </c:pt>
                <c:pt idx="27">
                  <c:v>3.29501100975148</c:v>
                </c:pt>
                <c:pt idx="28">
                  <c:v>3.26810317709972</c:v>
                </c:pt>
                <c:pt idx="29">
                  <c:v>3.21188738597042</c:v>
                </c:pt>
                <c:pt idx="30">
                  <c:v>2.57622208241585</c:v>
                </c:pt>
                <c:pt idx="31">
                  <c:v>2.68942434727902</c:v>
                </c:pt>
                <c:pt idx="32">
                  <c:v>3.16973576596413</c:v>
                </c:pt>
                <c:pt idx="33">
                  <c:v>3.02463353255741</c:v>
                </c:pt>
                <c:pt idx="34">
                  <c:v>3.0515759672853</c:v>
                </c:pt>
                <c:pt idx="35">
                  <c:v>2.99635734507707</c:v>
                </c:pt>
                <c:pt idx="36">
                  <c:v>4.2982381384104</c:v>
                </c:pt>
                <c:pt idx="37">
                  <c:v>4.57686914475673</c:v>
                </c:pt>
                <c:pt idx="38">
                  <c:v>4.9885826533696</c:v>
                </c:pt>
                <c:pt idx="39">
                  <c:v>5.55346932608037</c:v>
                </c:pt>
                <c:pt idx="40">
                  <c:v>6.05261408280448</c:v>
                </c:pt>
                <c:pt idx="41">
                  <c:v>6.45524327591418</c:v>
                </c:pt>
                <c:pt idx="42">
                  <c:v>7.22171955273497</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numCache>
            </c:numRef>
          </c:val>
          <c:smooth val="0"/>
        </c:ser>
        <c:ser>
          <c:idx val="5"/>
          <c:order val="5"/>
          <c:tx>
            <c:strRef>
              <c:f>label 5</c:f>
              <c:strCache>
                <c:ptCount val="1"/>
                <c:pt idx="0">
                  <c:v>Servicii</c:v>
                </c:pt>
              </c:strCache>
            </c:strRef>
          </c:tx>
          <c:spPr>
            <a:solidFill>
              <a:srgbClr val="ffc000"/>
            </a:solidFill>
            <a:ln w="28440">
              <a:solidFill>
                <a:srgbClr val="ffc000"/>
              </a:solidFill>
              <a:round/>
            </a:ln>
          </c:spPr>
          <c:marker>
            <c:symbol val="none"/>
          </c:marker>
          <c:dLbls>
            <c:numFmt formatCode="0" sourceLinked="1"/>
            <c:txPr>
              <a:bodyPr/>
              <a:lstStyle/>
              <a:p>
                <a:pPr>
                  <a:defRPr b="0" sz="8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strCache>
            </c:strRef>
          </c:cat>
          <c:val>
            <c:numRef>
              <c:f>5</c:f>
              <c:numCache>
                <c:formatCode>General</c:formatCode>
                <c:ptCount val="66"/>
                <c:pt idx="0">
                  <c:v>2.70999999999999</c:v>
                </c:pt>
                <c:pt idx="1">
                  <c:v>3.08</c:v>
                </c:pt>
                <c:pt idx="2">
                  <c:v>3.18000000000001</c:v>
                </c:pt>
                <c:pt idx="3">
                  <c:v>3.83</c:v>
                </c:pt>
                <c:pt idx="4">
                  <c:v>4.3</c:v>
                </c:pt>
                <c:pt idx="5">
                  <c:v>4.26000000000001</c:v>
                </c:pt>
                <c:pt idx="6">
                  <c:v>4.11</c:v>
                </c:pt>
                <c:pt idx="7">
                  <c:v>4.23</c:v>
                </c:pt>
                <c:pt idx="8">
                  <c:v>4.24</c:v>
                </c:pt>
                <c:pt idx="9">
                  <c:v>4.14</c:v>
                </c:pt>
                <c:pt idx="10">
                  <c:v>4.19</c:v>
                </c:pt>
                <c:pt idx="11">
                  <c:v>4.16</c:v>
                </c:pt>
                <c:pt idx="12">
                  <c:v>4.01000000000001</c:v>
                </c:pt>
                <c:pt idx="13">
                  <c:v>3.84</c:v>
                </c:pt>
                <c:pt idx="14">
                  <c:v>3.8</c:v>
                </c:pt>
                <c:pt idx="15">
                  <c:v>3.06</c:v>
                </c:pt>
                <c:pt idx="16">
                  <c:v>2.59999999999999</c:v>
                </c:pt>
                <c:pt idx="17">
                  <c:v>2.78</c:v>
                </c:pt>
                <c:pt idx="18">
                  <c:v>3</c:v>
                </c:pt>
                <c:pt idx="19">
                  <c:v>2.97</c:v>
                </c:pt>
                <c:pt idx="20">
                  <c:v>2.89</c:v>
                </c:pt>
                <c:pt idx="21">
                  <c:v>2.84999999999999</c:v>
                </c:pt>
                <c:pt idx="22">
                  <c:v>2.77</c:v>
                </c:pt>
                <c:pt idx="23">
                  <c:v>2.69</c:v>
                </c:pt>
                <c:pt idx="24">
                  <c:v>2.51000000000001</c:v>
                </c:pt>
                <c:pt idx="25">
                  <c:v>2.31999999999999</c:v>
                </c:pt>
                <c:pt idx="26">
                  <c:v>2.20999999999999</c:v>
                </c:pt>
                <c:pt idx="27">
                  <c:v>2.61</c:v>
                </c:pt>
                <c:pt idx="28">
                  <c:v>2.78</c:v>
                </c:pt>
                <c:pt idx="29">
                  <c:v>2.66</c:v>
                </c:pt>
                <c:pt idx="30">
                  <c:v>2.73999999999999</c:v>
                </c:pt>
                <c:pt idx="31">
                  <c:v>2.97</c:v>
                </c:pt>
                <c:pt idx="32">
                  <c:v>3.75</c:v>
                </c:pt>
                <c:pt idx="33">
                  <c:v>3.95999999999999</c:v>
                </c:pt>
                <c:pt idx="34">
                  <c:v>4.09</c:v>
                </c:pt>
                <c:pt idx="35">
                  <c:v>4.49</c:v>
                </c:pt>
                <c:pt idx="36">
                  <c:v>5.66</c:v>
                </c:pt>
                <c:pt idx="37">
                  <c:v>6.08</c:v>
                </c:pt>
                <c:pt idx="38">
                  <c:v>6.53</c:v>
                </c:pt>
                <c:pt idx="39">
                  <c:v>7.11</c:v>
                </c:pt>
                <c:pt idx="40">
                  <c:v>7.47</c:v>
                </c:pt>
                <c:pt idx="41">
                  <c:v>7.81</c:v>
                </c:pt>
                <c:pt idx="42">
                  <c:v>8.33</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numCache>
            </c:numRef>
          </c:val>
          <c:smooth val="0"/>
        </c:ser>
        <c:ser>
          <c:idx val="6"/>
          <c:order val="6"/>
          <c:tx>
            <c:strRef>
              <c:f>label 6</c:f>
              <c:strCache>
                <c:ptCount val="1"/>
                <c:pt idx="0">
                  <c:v>Energie </c:v>
                </c:pt>
              </c:strCache>
            </c:strRef>
          </c:tx>
          <c:spPr>
            <a:solidFill>
              <a:srgbClr val="4472c4"/>
            </a:solidFill>
            <a:ln w="28440">
              <a:solidFill>
                <a:srgbClr val="4472c4"/>
              </a:solidFill>
              <a:round/>
            </a:ln>
          </c:spPr>
          <c:marker>
            <c:symbol val="none"/>
          </c:marker>
          <c:dLbls>
            <c:numFmt formatCode="0" sourceLinked="1"/>
            <c:txPr>
              <a:bodyPr/>
              <a:lstStyle/>
              <a:p>
                <a:pPr>
                  <a:defRPr b="0" sz="8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strCache>
            </c:strRef>
          </c:cat>
          <c:val>
            <c:numRef>
              <c:f>6</c:f>
              <c:numCache>
                <c:formatCode>General</c:formatCode>
                <c:ptCount val="66"/>
                <c:pt idx="0">
                  <c:v>3.37297945205479</c:v>
                </c:pt>
                <c:pt idx="1">
                  <c:v>4.21128424657534</c:v>
                </c:pt>
                <c:pt idx="2">
                  <c:v>4.7272602739726</c:v>
                </c:pt>
                <c:pt idx="3">
                  <c:v>4.1805993150685</c:v>
                </c:pt>
                <c:pt idx="4">
                  <c:v>3.58575342465753</c:v>
                </c:pt>
                <c:pt idx="5">
                  <c:v>2.58974315068494</c:v>
                </c:pt>
                <c:pt idx="6">
                  <c:v>3.27351027397261</c:v>
                </c:pt>
                <c:pt idx="7">
                  <c:v>1.66993150684931</c:v>
                </c:pt>
                <c:pt idx="8">
                  <c:v>1.10215753424657</c:v>
                </c:pt>
                <c:pt idx="9">
                  <c:v>0.500239726027391</c:v>
                </c:pt>
                <c:pt idx="10">
                  <c:v>1.20851027397261</c:v>
                </c:pt>
                <c:pt idx="11">
                  <c:v>2.67907534246576</c:v>
                </c:pt>
                <c:pt idx="12">
                  <c:v>1.33993071593534</c:v>
                </c:pt>
                <c:pt idx="13">
                  <c:v>-0.231599307159353</c:v>
                </c:pt>
                <c:pt idx="14">
                  <c:v>-2.19131062355658</c:v>
                </c:pt>
                <c:pt idx="15">
                  <c:v>-4.44277713625866</c:v>
                </c:pt>
                <c:pt idx="16">
                  <c:v>-5.55158198614318</c:v>
                </c:pt>
                <c:pt idx="17">
                  <c:v>-4.41722863741339</c:v>
                </c:pt>
                <c:pt idx="18">
                  <c:v>-4.2498325635104</c:v>
                </c:pt>
                <c:pt idx="19">
                  <c:v>-4.27538106235566</c:v>
                </c:pt>
                <c:pt idx="20">
                  <c:v>-4.57174364896074</c:v>
                </c:pt>
                <c:pt idx="21">
                  <c:v>-4.5070727482679</c:v>
                </c:pt>
                <c:pt idx="22">
                  <c:v>-4.28468822170901</c:v>
                </c:pt>
                <c:pt idx="23">
                  <c:v>-3.85136836027714</c:v>
                </c:pt>
                <c:pt idx="24">
                  <c:v>2.90661764705882</c:v>
                </c:pt>
                <c:pt idx="25">
                  <c:v>4.56691176470588</c:v>
                </c:pt>
                <c:pt idx="26">
                  <c:v>7.02588235294118</c:v>
                </c:pt>
                <c:pt idx="27">
                  <c:v>8.79102941176471</c:v>
                </c:pt>
                <c:pt idx="28">
                  <c:v>10.2476470588235</c:v>
                </c:pt>
                <c:pt idx="29">
                  <c:v>10.3814705882353</c:v>
                </c:pt>
                <c:pt idx="30">
                  <c:v>17.1092647058824</c:v>
                </c:pt>
                <c:pt idx="31">
                  <c:v>17.7011764705882</c:v>
                </c:pt>
                <c:pt idx="32">
                  <c:v>19.0702941176471</c:v>
                </c:pt>
                <c:pt idx="33">
                  <c:v>27.0332352941177</c:v>
                </c:pt>
                <c:pt idx="34">
                  <c:v>24.3998529411765</c:v>
                </c:pt>
                <c:pt idx="35">
                  <c:v>25.1919117647059</c:v>
                </c:pt>
                <c:pt idx="36">
                  <c:v>22.1276672805402</c:v>
                </c:pt>
                <c:pt idx="37">
                  <c:v>18.9850705954573</c:v>
                </c:pt>
                <c:pt idx="38">
                  <c:v>22.7866543891958</c:v>
                </c:pt>
                <c:pt idx="39">
                  <c:v>38.2810742786986</c:v>
                </c:pt>
                <c:pt idx="40">
                  <c:v>39.7831430325353</c:v>
                </c:pt>
                <c:pt idx="41">
                  <c:v>41.2084468999386</c:v>
                </c:pt>
                <c:pt idx="42">
                  <c:v>35.6198588090853</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numCache>
            </c:numRef>
          </c:val>
          <c:smooth val="0"/>
        </c:ser>
        <c:ser>
          <c:idx val="7"/>
          <c:order val="7"/>
          <c:tx>
            <c:strRef>
              <c:f>label 7</c:f>
              <c:strCache>
                <c:ptCount val="1"/>
                <c:pt idx="0">
                  <c:v>#REF!</c:v>
                </c:pt>
              </c:strCache>
            </c:strRef>
          </c:tx>
          <c:spPr>
            <a:solidFill>
              <a:srgbClr val="9e480e"/>
            </a:solidFill>
            <a:ln w="28440">
              <a:solidFill>
                <a:srgbClr val="9e480e"/>
              </a:solidFill>
              <a:round/>
            </a:ln>
          </c:spPr>
          <c:marker>
            <c:symbol val="none"/>
          </c:marker>
          <c:dLbls>
            <c:numFmt formatCode="0" sourceLinked="1"/>
            <c:txPr>
              <a:bodyPr/>
              <a:lstStyle/>
              <a:p>
                <a:pPr>
                  <a:defRPr b="0" sz="8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66"/>
                <c:pt idx="0">
                  <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strCache>
            </c:strRef>
          </c:cat>
          <c:val>
            <c:numRef>
              <c:f>7</c:f>
              <c:numCache>
                <c:formatCode>General</c:formatCode>
                <c:ptCount val="66"/>
                <c:pt idx="0">
                  <c:v>1</c:v>
                </c:pt>
                <c:pt idx="1">
                  <c:v/>
                </c:pt>
                <c:pt idx="2">
                  <c:v/>
                </c:pt>
                <c:pt idx="3">
                  <c:v/>
                </c:pt>
                <c:pt idx="4">
                  <c:v/>
                </c:pt>
                <c:pt idx="5">
                  <c:v/>
                </c:pt>
                <c:pt idx="6">
                  <c:v/>
                </c:pt>
                <c:pt idx="7">
                  <c:v/>
                </c:pt>
                <c:pt idx="8">
                  <c:v/>
                </c:pt>
                <c:pt idx="9">
                  <c:v/>
                </c:pt>
                <c:pt idx="10">
                  <c:v/>
                </c:pt>
                <c:pt idx="11">
                  <c:v/>
                </c:pt>
                <c:pt idx="12">
                  <c:v/>
                </c:pt>
                <c:pt idx="13">
                  <c:v/>
                </c:pt>
                <c:pt idx="14">
                  <c:v/>
                </c:pt>
                <c:pt idx="15">
                  <c:v/>
                </c:pt>
                <c:pt idx="16">
                  <c:v/>
                </c:pt>
                <c:pt idx="17">
                  <c:v/>
                </c:pt>
                <c:pt idx="18">
                  <c:v/>
                </c:pt>
                <c:pt idx="19">
                  <c:v/>
                </c:pt>
                <c:pt idx="20">
                  <c:v/>
                </c:pt>
                <c:pt idx="21">
                  <c:v/>
                </c:pt>
                <c:pt idx="22">
                  <c:v/>
                </c:pt>
                <c:pt idx="23">
                  <c:v/>
                </c:pt>
                <c:pt idx="24">
                  <c:v/>
                </c:pt>
                <c:pt idx="25">
                  <c:v/>
                </c:pt>
                <c:pt idx="26">
                  <c:v/>
                </c:pt>
                <c:pt idx="27">
                  <c:v/>
                </c:pt>
                <c:pt idx="28">
                  <c:v/>
                </c:pt>
                <c:pt idx="29">
                  <c:v/>
                </c:pt>
                <c:pt idx="30">
                  <c:v/>
                </c:pt>
                <c:pt idx="31">
                  <c:v/>
                </c:pt>
                <c:pt idx="32">
                  <c:v/>
                </c:pt>
                <c:pt idx="33">
                  <c:v/>
                </c:pt>
                <c:pt idx="34">
                  <c:v/>
                </c:pt>
                <c:pt idx="35">
                  <c:v/>
                </c:pt>
                <c:pt idx="36">
                  <c:v/>
                </c:pt>
                <c:pt idx="37">
                  <c:v/>
                </c:pt>
                <c:pt idx="38">
                  <c:v/>
                </c:pt>
                <c:pt idx="39">
                  <c:v/>
                </c:pt>
                <c:pt idx="40">
                  <c:v/>
                </c:pt>
                <c:pt idx="41">
                  <c:v/>
                </c:pt>
                <c:pt idx="42">
                  <c:v/>
                </c:pt>
                <c:pt idx="43">
                  <c:v/>
                </c:pt>
                <c:pt idx="44">
                  <c:v/>
                </c:pt>
                <c:pt idx="45">
                  <c:v/>
                </c:pt>
                <c:pt idx="46">
                  <c:v/>
                </c:pt>
                <c:pt idx="47">
                  <c:v/>
                </c:pt>
                <c:pt idx="48">
                  <c:v/>
                </c:pt>
                <c:pt idx="49">
                  <c:v/>
                </c:pt>
                <c:pt idx="50">
                  <c:v/>
                </c:pt>
                <c:pt idx="51">
                  <c:v/>
                </c:pt>
                <c:pt idx="52">
                  <c:v/>
                </c:pt>
                <c:pt idx="53">
                  <c:v/>
                </c:pt>
                <c:pt idx="54">
                  <c:v/>
                </c:pt>
                <c:pt idx="55">
                  <c:v/>
                </c:pt>
                <c:pt idx="56">
                  <c:v/>
                </c:pt>
                <c:pt idx="57">
                  <c:v/>
                </c:pt>
                <c:pt idx="58">
                  <c:v/>
                </c:pt>
                <c:pt idx="59">
                  <c:v/>
                </c:pt>
                <c:pt idx="60">
                  <c:v/>
                </c:pt>
                <c:pt idx="61">
                  <c:v/>
                </c:pt>
                <c:pt idx="62">
                  <c:v/>
                </c:pt>
                <c:pt idx="63">
                  <c:v/>
                </c:pt>
                <c:pt idx="64">
                  <c:v/>
                </c:pt>
                <c:pt idx="65">
                  <c:v/>
                </c:pt>
              </c:numCache>
            </c:numRef>
          </c:val>
          <c:smooth val="0"/>
        </c:ser>
        <c:hiLowLines>
          <c:spPr>
            <a:ln>
              <a:noFill/>
            </a:ln>
          </c:spPr>
        </c:hiLowLines>
        <c:marker val="0"/>
        <c:axId val="58131223"/>
        <c:axId val="47125454"/>
      </c:lineChart>
      <c:catAx>
        <c:axId val="58131223"/>
        <c:scaling>
          <c:orientation val="minMax"/>
        </c:scaling>
        <c:delete val="0"/>
        <c:axPos val="b"/>
        <c:numFmt formatCode="DD/MM/YYYY" sourceLinked="1"/>
        <c:majorTickMark val="none"/>
        <c:minorTickMark val="none"/>
        <c:tickLblPos val="low"/>
        <c:spPr>
          <a:ln w="9360">
            <a:solidFill>
              <a:srgbClr val="b5d2ec"/>
            </a:solidFill>
            <a:round/>
          </a:ln>
        </c:spPr>
        <c:txPr>
          <a:bodyPr rot="-5400000"/>
          <a:lstStyle/>
          <a:p>
            <a:pPr>
              <a:defRPr b="0" sz="800" spc="-1" strike="noStrike">
                <a:solidFill>
                  <a:srgbClr val="000000"/>
                </a:solidFill>
                <a:latin typeface="Calibri"/>
              </a:defRPr>
            </a:pPr>
          </a:p>
        </c:txPr>
        <c:crossAx val="47125454"/>
        <c:crosses val="autoZero"/>
        <c:auto val="1"/>
        <c:lblAlgn val="ctr"/>
        <c:lblOffset val="100"/>
      </c:catAx>
      <c:valAx>
        <c:axId val="47125454"/>
        <c:scaling>
          <c:orientation val="minMax"/>
          <c:max val="45"/>
        </c:scaling>
        <c:delete val="0"/>
        <c:axPos val="l"/>
        <c:numFmt formatCode="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58131223"/>
        <c:crosses val="autoZero"/>
        <c:crossBetween val="midCat"/>
        <c:majorUnit val="5"/>
      </c:valAx>
      <c:spPr>
        <a:noFill/>
        <a:ln>
          <a:noFill/>
        </a:ln>
      </c:spPr>
    </c:plotArea>
    <c:legend>
      <c:layout>
        <c:manualLayout>
          <c:xMode val="edge"/>
          <c:yMode val="edge"/>
          <c:x val="0.055625"/>
          <c:y val="0.771666666666667"/>
          <c:w val="0.925932870804425"/>
          <c:h val="0.168685409489943"/>
        </c:manualLayout>
      </c:layout>
      <c:spPr>
        <a:noFill/>
        <a:ln>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Uniunea Europeană</c:v>
                </c:pt>
              </c:strCache>
            </c:strRef>
          </c:tx>
          <c:spPr>
            <a:solidFill>
              <a:srgbClr val="5b9bd5"/>
            </a:solidFill>
            <a:ln w="28440">
              <a:solidFill>
                <a:srgbClr val="5b9bd5"/>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1216"/>
                <c:pt idx="0">
                  <c:v>ian-07</c:v>
                </c:pt>
                <c:pt idx="1">
                  <c:v>febr-07</c:v>
                </c:pt>
                <c:pt idx="2">
                  <c:v>mar-07</c:v>
                </c:pt>
                <c:pt idx="3">
                  <c:v>apr-07</c:v>
                </c:pt>
                <c:pt idx="4">
                  <c:v>mai-07</c:v>
                </c:pt>
                <c:pt idx="5">
                  <c:v>iun-07</c:v>
                </c:pt>
                <c:pt idx="6">
                  <c:v>iul-07</c:v>
                </c:pt>
                <c:pt idx="7">
                  <c:v>aug-07</c:v>
                </c:pt>
                <c:pt idx="8">
                  <c:v>sept-07</c:v>
                </c:pt>
                <c:pt idx="9">
                  <c:v>oct-07</c:v>
                </c:pt>
                <c:pt idx="10">
                  <c:v>nov-07</c:v>
                </c:pt>
                <c:pt idx="11">
                  <c:v>dec-07</c:v>
                </c:pt>
                <c:pt idx="12">
                  <c:v>ian-08</c:v>
                </c:pt>
                <c:pt idx="13">
                  <c:v>febr-08</c:v>
                </c:pt>
                <c:pt idx="14">
                  <c:v>mar-08</c:v>
                </c:pt>
                <c:pt idx="15">
                  <c:v>apr-08</c:v>
                </c:pt>
                <c:pt idx="16">
                  <c:v>mai-08</c:v>
                </c:pt>
                <c:pt idx="17">
                  <c:v>iun-08</c:v>
                </c:pt>
                <c:pt idx="18">
                  <c:v>iul-08</c:v>
                </c:pt>
                <c:pt idx="19">
                  <c:v>aug-08</c:v>
                </c:pt>
                <c:pt idx="20">
                  <c:v>sept-08</c:v>
                </c:pt>
                <c:pt idx="21">
                  <c:v>oct-08</c:v>
                </c:pt>
                <c:pt idx="22">
                  <c:v>nov-08</c:v>
                </c:pt>
                <c:pt idx="23">
                  <c:v>dec-08</c:v>
                </c:pt>
                <c:pt idx="24">
                  <c:v>ian-09</c:v>
                </c:pt>
                <c:pt idx="25">
                  <c:v>febr-09</c:v>
                </c:pt>
                <c:pt idx="26">
                  <c:v>mar-09</c:v>
                </c:pt>
                <c:pt idx="27">
                  <c:v>apr-09</c:v>
                </c:pt>
                <c:pt idx="28">
                  <c:v>mai-09</c:v>
                </c:pt>
                <c:pt idx="29">
                  <c:v>iun-09</c:v>
                </c:pt>
                <c:pt idx="30">
                  <c:v>iul-09</c:v>
                </c:pt>
                <c:pt idx="31">
                  <c:v>aug-09</c:v>
                </c:pt>
                <c:pt idx="32">
                  <c:v>sept-09</c:v>
                </c:pt>
                <c:pt idx="33">
                  <c:v>oct-09</c:v>
                </c:pt>
                <c:pt idx="34">
                  <c:v>nov-09</c:v>
                </c:pt>
                <c:pt idx="35">
                  <c:v>dec-09</c:v>
                </c:pt>
                <c:pt idx="36">
                  <c:v>ian-10</c:v>
                </c:pt>
                <c:pt idx="37">
                  <c:v>febr-10</c:v>
                </c:pt>
                <c:pt idx="38">
                  <c:v>mar-10</c:v>
                </c:pt>
                <c:pt idx="39">
                  <c:v>apr-10</c:v>
                </c:pt>
                <c:pt idx="40">
                  <c:v>mai-10</c:v>
                </c:pt>
                <c:pt idx="41">
                  <c:v>iun-10</c:v>
                </c:pt>
                <c:pt idx="42">
                  <c:v>iul-10</c:v>
                </c:pt>
                <c:pt idx="43">
                  <c:v>aug-10</c:v>
                </c:pt>
                <c:pt idx="44">
                  <c:v>sept-10</c:v>
                </c:pt>
                <c:pt idx="45">
                  <c:v>oct-10</c:v>
                </c:pt>
                <c:pt idx="46">
                  <c:v>nov-10</c:v>
                </c:pt>
                <c:pt idx="47">
                  <c:v>dec-10</c:v>
                </c:pt>
                <c:pt idx="48">
                  <c:v>ian-11</c:v>
                </c:pt>
                <c:pt idx="49">
                  <c:v>febr-11</c:v>
                </c:pt>
                <c:pt idx="50">
                  <c:v>mar-11</c:v>
                </c:pt>
                <c:pt idx="51">
                  <c:v>apr-11</c:v>
                </c:pt>
                <c:pt idx="52">
                  <c:v>mai-11</c:v>
                </c:pt>
                <c:pt idx="53">
                  <c:v>iun-11</c:v>
                </c:pt>
                <c:pt idx="54">
                  <c:v>iul-11</c:v>
                </c:pt>
                <c:pt idx="55">
                  <c:v>aug-11</c:v>
                </c:pt>
                <c:pt idx="56">
                  <c:v>sept-11</c:v>
                </c:pt>
                <c:pt idx="57">
                  <c:v>oct-11</c:v>
                </c:pt>
                <c:pt idx="58">
                  <c:v>nov-11</c:v>
                </c:pt>
                <c:pt idx="59">
                  <c:v>dec-11</c:v>
                </c:pt>
                <c:pt idx="60">
                  <c:v>ian-12</c:v>
                </c:pt>
                <c:pt idx="61">
                  <c:v>febr-12</c:v>
                </c:pt>
                <c:pt idx="62">
                  <c:v>mar-12</c:v>
                </c:pt>
                <c:pt idx="63">
                  <c:v>apr-12</c:v>
                </c:pt>
                <c:pt idx="64">
                  <c:v>mai-12</c:v>
                </c:pt>
                <c:pt idx="65">
                  <c:v>iun-12</c:v>
                </c:pt>
                <c:pt idx="66">
                  <c:v>iul-12</c:v>
                </c:pt>
                <c:pt idx="67">
                  <c:v>aug-12</c:v>
                </c:pt>
                <c:pt idx="68">
                  <c:v>sept-12</c:v>
                </c:pt>
                <c:pt idx="69">
                  <c:v>oct-12</c:v>
                </c:pt>
                <c:pt idx="70">
                  <c:v>nov-12</c:v>
                </c:pt>
                <c:pt idx="71">
                  <c:v>dec-12</c:v>
                </c:pt>
                <c:pt idx="72">
                  <c:v>ian-13</c:v>
                </c:pt>
                <c:pt idx="73">
                  <c:v>febr-13</c:v>
                </c:pt>
                <c:pt idx="74">
                  <c:v>mar-13</c:v>
                </c:pt>
                <c:pt idx="75">
                  <c:v>apr-13</c:v>
                </c:pt>
                <c:pt idx="76">
                  <c:v>mai-13</c:v>
                </c:pt>
                <c:pt idx="77">
                  <c:v>iun-13</c:v>
                </c:pt>
                <c:pt idx="78">
                  <c:v>iul-13</c:v>
                </c:pt>
                <c:pt idx="79">
                  <c:v>aug-13</c:v>
                </c:pt>
                <c:pt idx="80">
                  <c:v>sept-13</c:v>
                </c:pt>
                <c:pt idx="81">
                  <c:v>oct-13</c:v>
                </c:pt>
                <c:pt idx="82">
                  <c:v>nov-13</c:v>
                </c:pt>
                <c:pt idx="83">
                  <c:v>dec-13</c:v>
                </c:pt>
                <c:pt idx="84">
                  <c:v>ian-14</c:v>
                </c:pt>
                <c:pt idx="85">
                  <c:v>febr-14</c:v>
                </c:pt>
                <c:pt idx="86">
                  <c:v>mar-14</c:v>
                </c:pt>
                <c:pt idx="87">
                  <c:v>apr-14</c:v>
                </c:pt>
                <c:pt idx="88">
                  <c:v>mai-14</c:v>
                </c:pt>
                <c:pt idx="89">
                  <c:v>iun-14</c:v>
                </c:pt>
                <c:pt idx="90">
                  <c:v>iul-14</c:v>
                </c:pt>
                <c:pt idx="91">
                  <c:v>aug-14</c:v>
                </c:pt>
                <c:pt idx="92">
                  <c:v>sept-14</c:v>
                </c:pt>
                <c:pt idx="93">
                  <c:v>oct-14</c:v>
                </c:pt>
                <c:pt idx="94">
                  <c:v>nov-14</c:v>
                </c:pt>
                <c:pt idx="95">
                  <c:v>dec-14</c:v>
                </c:pt>
                <c:pt idx="96">
                  <c:v>ian-15</c:v>
                </c:pt>
                <c:pt idx="97">
                  <c:v>febr-15</c:v>
                </c:pt>
                <c:pt idx="98">
                  <c:v>mar-15</c:v>
                </c:pt>
                <c:pt idx="99">
                  <c:v>apr-15</c:v>
                </c:pt>
                <c:pt idx="100">
                  <c:v>mai-15</c:v>
                </c:pt>
                <c:pt idx="101">
                  <c:v>iun-15</c:v>
                </c:pt>
                <c:pt idx="102">
                  <c:v>iul-15</c:v>
                </c:pt>
                <c:pt idx="103">
                  <c:v>aug-15</c:v>
                </c:pt>
                <c:pt idx="104">
                  <c:v>sept-15</c:v>
                </c:pt>
                <c:pt idx="105">
                  <c:v>oct-15</c:v>
                </c:pt>
                <c:pt idx="106">
                  <c:v>nov-15</c:v>
                </c:pt>
                <c:pt idx="107">
                  <c:v>dec-15</c:v>
                </c:pt>
                <c:pt idx="108">
                  <c:v>ian-16</c:v>
                </c:pt>
                <c:pt idx="109">
                  <c:v>febr-16</c:v>
                </c:pt>
                <c:pt idx="110">
                  <c:v>mar-16</c:v>
                </c:pt>
                <c:pt idx="111">
                  <c:v>apr-16</c:v>
                </c:pt>
                <c:pt idx="112">
                  <c:v>mai-16</c:v>
                </c:pt>
                <c:pt idx="113">
                  <c:v>iun-16</c:v>
                </c:pt>
                <c:pt idx="114">
                  <c:v>iul-16</c:v>
                </c:pt>
                <c:pt idx="115">
                  <c:v>aug-16</c:v>
                </c:pt>
                <c:pt idx="116">
                  <c:v>sept-16</c:v>
                </c:pt>
                <c:pt idx="117">
                  <c:v>oct-16</c:v>
                </c:pt>
                <c:pt idx="118">
                  <c:v>nov-16</c:v>
                </c:pt>
                <c:pt idx="119">
                  <c:v>dec-16</c:v>
                </c:pt>
                <c:pt idx="120">
                  <c:v>ian-17</c:v>
                </c:pt>
                <c:pt idx="121">
                  <c:v>febr-17</c:v>
                </c:pt>
                <c:pt idx="122">
                  <c:v>mar-17</c:v>
                </c:pt>
                <c:pt idx="123">
                  <c:v>apr-17</c:v>
                </c:pt>
                <c:pt idx="124">
                  <c:v>mai-17</c:v>
                </c:pt>
                <c:pt idx="125">
                  <c:v>iun-17</c:v>
                </c:pt>
                <c:pt idx="126">
                  <c:v>iul-17</c:v>
                </c:pt>
                <c:pt idx="127">
                  <c:v>aug-17</c:v>
                </c:pt>
                <c:pt idx="128">
                  <c:v>sept-17</c:v>
                </c:pt>
                <c:pt idx="129">
                  <c:v>oct-17</c:v>
                </c:pt>
                <c:pt idx="130">
                  <c:v>nov-17</c:v>
                </c:pt>
                <c:pt idx="131">
                  <c:v>dec-17</c:v>
                </c:pt>
                <c:pt idx="132">
                  <c:v>ian-18</c:v>
                </c:pt>
                <c:pt idx="133">
                  <c:v>febr-18</c:v>
                </c:pt>
                <c:pt idx="134">
                  <c:v>mar-18</c:v>
                </c:pt>
                <c:pt idx="135">
                  <c:v>apr-18</c:v>
                </c:pt>
                <c:pt idx="136">
                  <c:v>mai-18</c:v>
                </c:pt>
                <c:pt idx="137">
                  <c:v>iun-18</c:v>
                </c:pt>
                <c:pt idx="138">
                  <c:v>iul-18</c:v>
                </c:pt>
                <c:pt idx="139">
                  <c:v>aug-18</c:v>
                </c:pt>
                <c:pt idx="140">
                  <c:v>sept-18</c:v>
                </c:pt>
                <c:pt idx="141">
                  <c:v>oct-18</c:v>
                </c:pt>
                <c:pt idx="142">
                  <c:v>nov-18</c:v>
                </c:pt>
                <c:pt idx="143">
                  <c:v>dec-18</c:v>
                </c:pt>
                <c:pt idx="144">
                  <c:v>ian-19</c:v>
                </c:pt>
                <c:pt idx="145">
                  <c:v>febr-19</c:v>
                </c:pt>
                <c:pt idx="146">
                  <c:v>mar-19</c:v>
                </c:pt>
                <c:pt idx="147">
                  <c:v>apr-19</c:v>
                </c:pt>
                <c:pt idx="148">
                  <c:v>mai-19</c:v>
                </c:pt>
                <c:pt idx="149">
                  <c:v>iun-19</c:v>
                </c:pt>
                <c:pt idx="150">
                  <c:v>iul-19</c:v>
                </c:pt>
                <c:pt idx="151">
                  <c:v>aug-19</c:v>
                </c:pt>
                <c:pt idx="152">
                  <c:v>sept-19</c:v>
                </c:pt>
                <c:pt idx="153">
                  <c:v>oct-19</c:v>
                </c:pt>
                <c:pt idx="154">
                  <c:v>nov-19</c:v>
                </c:pt>
                <c:pt idx="155">
                  <c:v>dec-19</c:v>
                </c:pt>
                <c:pt idx="156">
                  <c:v>ian-20</c:v>
                </c:pt>
                <c:pt idx="157">
                  <c:v>febr-20</c:v>
                </c:pt>
                <c:pt idx="158">
                  <c:v>mar-20</c:v>
                </c:pt>
                <c:pt idx="159">
                  <c:v>apr-20</c:v>
                </c:pt>
                <c:pt idx="160">
                  <c:v>mai-20</c:v>
                </c:pt>
                <c:pt idx="161">
                  <c:v>iun-20</c:v>
                </c:pt>
                <c:pt idx="162">
                  <c:v>iul-20</c:v>
                </c:pt>
                <c:pt idx="163">
                  <c:v>aug-20</c:v>
                </c:pt>
                <c:pt idx="164">
                  <c:v>sept-20</c:v>
                </c:pt>
                <c:pt idx="165">
                  <c:v>oct-20</c:v>
                </c:pt>
                <c:pt idx="166">
                  <c:v>nov-20</c:v>
                </c:pt>
                <c:pt idx="167">
                  <c:v>dec-20</c:v>
                </c:pt>
                <c:pt idx="168">
                  <c:v>ian-21</c:v>
                </c:pt>
                <c:pt idx="169">
                  <c:v>febr-21</c:v>
                </c:pt>
                <c:pt idx="170">
                  <c:v>mar-21</c:v>
                </c:pt>
                <c:pt idx="171">
                  <c:v>apr-21</c:v>
                </c:pt>
                <c:pt idx="172">
                  <c:v>mai-21</c:v>
                </c:pt>
                <c:pt idx="173">
                  <c:v>iun-21</c:v>
                </c:pt>
                <c:pt idx="174">
                  <c:v>iul-21</c:v>
                </c:pt>
                <c:pt idx="175">
                  <c:v>aug-21</c:v>
                </c:pt>
                <c:pt idx="176">
                  <c:v>sept-21</c:v>
                </c:pt>
                <c:pt idx="177">
                  <c:v>oct-21</c:v>
                </c:pt>
                <c:pt idx="178">
                  <c:v>nov-21</c:v>
                </c:pt>
                <c:pt idx="179">
                  <c:v>dec-21</c:v>
                </c:pt>
                <c:pt idx="180">
                  <c:v>ian-22</c:v>
                </c:pt>
                <c:pt idx="181">
                  <c:v>febr-22</c:v>
                </c:pt>
                <c:pt idx="182">
                  <c:v>mar-22</c:v>
                </c:pt>
                <c:pt idx="183">
                  <c:v>apr-22</c:v>
                </c:pt>
                <c:pt idx="184">
                  <c:v>mai-22</c:v>
                </c:pt>
                <c:pt idx="185">
                  <c:v>iun-22</c:v>
                </c:pt>
                <c:pt idx="186">
                  <c:v>iul-22</c:v>
                </c:pt>
                <c:pt idx="187">
                  <c:v>aug-22</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pt idx="952">
                  <c:v/>
                </c:pt>
                <c:pt idx="953">
                  <c:v/>
                </c:pt>
                <c:pt idx="954">
                  <c:v/>
                </c:pt>
                <c:pt idx="955">
                  <c:v/>
                </c:pt>
                <c:pt idx="956">
                  <c:v/>
                </c:pt>
                <c:pt idx="957">
                  <c:v/>
                </c:pt>
                <c:pt idx="958">
                  <c:v/>
                </c:pt>
                <c:pt idx="959">
                  <c:v/>
                </c:pt>
                <c:pt idx="960">
                  <c:v/>
                </c:pt>
                <c:pt idx="961">
                  <c:v/>
                </c:pt>
                <c:pt idx="962">
                  <c:v/>
                </c:pt>
                <c:pt idx="963">
                  <c:v/>
                </c:pt>
                <c:pt idx="964">
                  <c:v/>
                </c:pt>
                <c:pt idx="965">
                  <c:v/>
                </c:pt>
                <c:pt idx="966">
                  <c:v/>
                </c:pt>
                <c:pt idx="967">
                  <c:v/>
                </c:pt>
                <c:pt idx="968">
                  <c:v/>
                </c:pt>
                <c:pt idx="969">
                  <c:v/>
                </c:pt>
                <c:pt idx="970">
                  <c:v/>
                </c:pt>
                <c:pt idx="971">
                  <c:v/>
                </c:pt>
                <c:pt idx="972">
                  <c:v/>
                </c:pt>
                <c:pt idx="973">
                  <c:v/>
                </c:pt>
                <c:pt idx="974">
                  <c:v/>
                </c:pt>
                <c:pt idx="975">
                  <c:v/>
                </c:pt>
                <c:pt idx="976">
                  <c:v/>
                </c:pt>
                <c:pt idx="977">
                  <c:v/>
                </c:pt>
                <c:pt idx="978">
                  <c:v/>
                </c:pt>
                <c:pt idx="979">
                  <c:v/>
                </c:pt>
                <c:pt idx="980">
                  <c:v/>
                </c:pt>
                <c:pt idx="981">
                  <c:v/>
                </c:pt>
                <c:pt idx="982">
                  <c:v/>
                </c:pt>
                <c:pt idx="983">
                  <c:v/>
                </c:pt>
                <c:pt idx="984">
                  <c:v/>
                </c:pt>
                <c:pt idx="985">
                  <c:v/>
                </c:pt>
                <c:pt idx="986">
                  <c:v/>
                </c:pt>
                <c:pt idx="987">
                  <c:v/>
                </c:pt>
                <c:pt idx="988">
                  <c:v/>
                </c:pt>
                <c:pt idx="989">
                  <c:v/>
                </c:pt>
                <c:pt idx="990">
                  <c:v/>
                </c:pt>
                <c:pt idx="991">
                  <c:v/>
                </c:pt>
                <c:pt idx="992">
                  <c:v/>
                </c:pt>
                <c:pt idx="993">
                  <c:v/>
                </c:pt>
                <c:pt idx="994">
                  <c:v/>
                </c:pt>
                <c:pt idx="995">
                  <c:v/>
                </c:pt>
                <c:pt idx="996">
                  <c:v/>
                </c:pt>
                <c:pt idx="997">
                  <c:v/>
                </c:pt>
                <c:pt idx="998">
                  <c:v/>
                </c:pt>
                <c:pt idx="999">
                  <c:v/>
                </c:pt>
                <c:pt idx="1000">
                  <c:v/>
                </c:pt>
                <c:pt idx="1001">
                  <c:v/>
                </c:pt>
                <c:pt idx="1002">
                  <c:v/>
                </c:pt>
                <c:pt idx="1003">
                  <c:v/>
                </c:pt>
                <c:pt idx="1004">
                  <c:v/>
                </c:pt>
                <c:pt idx="1005">
                  <c:v/>
                </c:pt>
                <c:pt idx="1006">
                  <c:v/>
                </c:pt>
                <c:pt idx="1007">
                  <c:v/>
                </c:pt>
                <c:pt idx="1008">
                  <c:v/>
                </c:pt>
                <c:pt idx="1009">
                  <c:v/>
                </c:pt>
                <c:pt idx="1010">
                  <c:v/>
                </c:pt>
                <c:pt idx="1011">
                  <c:v/>
                </c:pt>
                <c:pt idx="1012">
                  <c:v/>
                </c:pt>
                <c:pt idx="1013">
                  <c:v/>
                </c:pt>
                <c:pt idx="1014">
                  <c:v/>
                </c:pt>
                <c:pt idx="1015">
                  <c:v/>
                </c:pt>
                <c:pt idx="1016">
                  <c:v/>
                </c:pt>
                <c:pt idx="1017">
                  <c:v/>
                </c:pt>
                <c:pt idx="1018">
                  <c:v/>
                </c:pt>
                <c:pt idx="1019">
                  <c:v/>
                </c:pt>
                <c:pt idx="1020">
                  <c:v/>
                </c:pt>
                <c:pt idx="1021">
                  <c:v/>
                </c:pt>
                <c:pt idx="1022">
                  <c:v/>
                </c:pt>
                <c:pt idx="1023">
                  <c:v/>
                </c:pt>
                <c:pt idx="1024">
                  <c:v/>
                </c:pt>
                <c:pt idx="1025">
                  <c:v/>
                </c:pt>
                <c:pt idx="1026">
                  <c:v/>
                </c:pt>
                <c:pt idx="1027">
                  <c:v/>
                </c:pt>
                <c:pt idx="1028">
                  <c:v/>
                </c:pt>
                <c:pt idx="1029">
                  <c:v/>
                </c:pt>
                <c:pt idx="1030">
                  <c:v/>
                </c:pt>
                <c:pt idx="1031">
                  <c:v/>
                </c:pt>
                <c:pt idx="1032">
                  <c:v/>
                </c:pt>
                <c:pt idx="1033">
                  <c:v/>
                </c:pt>
                <c:pt idx="1034">
                  <c:v/>
                </c:pt>
                <c:pt idx="1035">
                  <c:v/>
                </c:pt>
                <c:pt idx="1036">
                  <c:v/>
                </c:pt>
                <c:pt idx="1037">
                  <c:v/>
                </c:pt>
                <c:pt idx="1038">
                  <c:v/>
                </c:pt>
                <c:pt idx="1039">
                  <c:v/>
                </c:pt>
                <c:pt idx="1040">
                  <c:v/>
                </c:pt>
                <c:pt idx="1041">
                  <c:v/>
                </c:pt>
                <c:pt idx="1042">
                  <c:v/>
                </c:pt>
                <c:pt idx="1043">
                  <c:v/>
                </c:pt>
                <c:pt idx="1044">
                  <c:v/>
                </c:pt>
                <c:pt idx="1045">
                  <c:v/>
                </c:pt>
                <c:pt idx="1046">
                  <c:v/>
                </c:pt>
                <c:pt idx="1047">
                  <c:v/>
                </c:pt>
                <c:pt idx="1048">
                  <c:v/>
                </c:pt>
                <c:pt idx="1049">
                  <c:v/>
                </c:pt>
                <c:pt idx="1050">
                  <c:v/>
                </c:pt>
                <c:pt idx="1051">
                  <c:v/>
                </c:pt>
                <c:pt idx="1052">
                  <c:v/>
                </c:pt>
                <c:pt idx="1053">
                  <c:v/>
                </c:pt>
                <c:pt idx="1054">
                  <c:v/>
                </c:pt>
                <c:pt idx="1055">
                  <c:v/>
                </c:pt>
                <c:pt idx="1056">
                  <c:v/>
                </c:pt>
                <c:pt idx="1057">
                  <c:v/>
                </c:pt>
                <c:pt idx="1058">
                  <c:v/>
                </c:pt>
                <c:pt idx="1059">
                  <c:v/>
                </c:pt>
                <c:pt idx="1060">
                  <c:v/>
                </c:pt>
                <c:pt idx="1061">
                  <c:v/>
                </c:pt>
                <c:pt idx="1062">
                  <c:v/>
                </c:pt>
                <c:pt idx="1063">
                  <c:v/>
                </c:pt>
                <c:pt idx="1064">
                  <c:v/>
                </c:pt>
                <c:pt idx="1065">
                  <c:v/>
                </c:pt>
                <c:pt idx="1066">
                  <c:v/>
                </c:pt>
                <c:pt idx="1067">
                  <c:v/>
                </c:pt>
                <c:pt idx="1068">
                  <c:v/>
                </c:pt>
                <c:pt idx="1069">
                  <c:v/>
                </c:pt>
                <c:pt idx="1070">
                  <c:v/>
                </c:pt>
                <c:pt idx="1071">
                  <c:v/>
                </c:pt>
                <c:pt idx="1072">
                  <c:v/>
                </c:pt>
                <c:pt idx="1073">
                  <c:v/>
                </c:pt>
                <c:pt idx="1074">
                  <c:v/>
                </c:pt>
                <c:pt idx="1075">
                  <c:v/>
                </c:pt>
                <c:pt idx="1076">
                  <c:v/>
                </c:pt>
                <c:pt idx="1077">
                  <c:v/>
                </c:pt>
                <c:pt idx="1078">
                  <c:v/>
                </c:pt>
                <c:pt idx="1079">
                  <c:v/>
                </c:pt>
                <c:pt idx="1080">
                  <c:v/>
                </c:pt>
                <c:pt idx="1081">
                  <c:v/>
                </c:pt>
                <c:pt idx="1082">
                  <c:v/>
                </c:pt>
                <c:pt idx="1083">
                  <c:v/>
                </c:pt>
                <c:pt idx="1084">
                  <c:v/>
                </c:pt>
                <c:pt idx="1085">
                  <c:v/>
                </c:pt>
                <c:pt idx="1086">
                  <c:v/>
                </c:pt>
                <c:pt idx="1087">
                  <c:v/>
                </c:pt>
                <c:pt idx="1088">
                  <c:v/>
                </c:pt>
                <c:pt idx="1089">
                  <c:v/>
                </c:pt>
                <c:pt idx="1090">
                  <c:v/>
                </c:pt>
                <c:pt idx="1091">
                  <c:v/>
                </c:pt>
                <c:pt idx="1092">
                  <c:v/>
                </c:pt>
                <c:pt idx="1093">
                  <c:v/>
                </c:pt>
                <c:pt idx="1094">
                  <c:v/>
                </c:pt>
                <c:pt idx="1095">
                  <c:v/>
                </c:pt>
                <c:pt idx="1096">
                  <c:v/>
                </c:pt>
                <c:pt idx="1097">
                  <c:v/>
                </c:pt>
                <c:pt idx="1098">
                  <c:v/>
                </c:pt>
                <c:pt idx="1099">
                  <c:v/>
                </c:pt>
                <c:pt idx="1100">
                  <c:v/>
                </c:pt>
                <c:pt idx="1101">
                  <c:v/>
                </c:pt>
                <c:pt idx="1102">
                  <c:v/>
                </c:pt>
                <c:pt idx="1103">
                  <c:v/>
                </c:pt>
                <c:pt idx="1104">
                  <c:v/>
                </c:pt>
                <c:pt idx="1105">
                  <c:v/>
                </c:pt>
                <c:pt idx="1106">
                  <c:v/>
                </c:pt>
                <c:pt idx="1107">
                  <c:v/>
                </c:pt>
                <c:pt idx="1108">
                  <c:v/>
                </c:pt>
                <c:pt idx="1109">
                  <c:v/>
                </c:pt>
                <c:pt idx="1110">
                  <c:v/>
                </c:pt>
                <c:pt idx="1111">
                  <c:v/>
                </c:pt>
                <c:pt idx="1112">
                  <c:v/>
                </c:pt>
                <c:pt idx="1113">
                  <c:v/>
                </c:pt>
                <c:pt idx="1114">
                  <c:v/>
                </c:pt>
                <c:pt idx="1115">
                  <c:v/>
                </c:pt>
                <c:pt idx="1116">
                  <c:v/>
                </c:pt>
                <c:pt idx="1117">
                  <c:v/>
                </c:pt>
                <c:pt idx="1118">
                  <c:v/>
                </c:pt>
                <c:pt idx="1119">
                  <c:v/>
                </c:pt>
                <c:pt idx="1120">
                  <c:v/>
                </c:pt>
                <c:pt idx="1121">
                  <c:v/>
                </c:pt>
                <c:pt idx="1122">
                  <c:v/>
                </c:pt>
                <c:pt idx="1123">
                  <c:v/>
                </c:pt>
                <c:pt idx="1124">
                  <c:v/>
                </c:pt>
                <c:pt idx="1125">
                  <c:v/>
                </c:pt>
                <c:pt idx="1126">
                  <c:v/>
                </c:pt>
                <c:pt idx="1127">
                  <c:v/>
                </c:pt>
                <c:pt idx="1128">
                  <c:v/>
                </c:pt>
                <c:pt idx="1129">
                  <c:v/>
                </c:pt>
                <c:pt idx="1130">
                  <c:v/>
                </c:pt>
                <c:pt idx="1131">
                  <c:v/>
                </c:pt>
                <c:pt idx="1132">
                  <c:v/>
                </c:pt>
                <c:pt idx="1133">
                  <c:v/>
                </c:pt>
                <c:pt idx="1134">
                  <c:v/>
                </c:pt>
                <c:pt idx="1135">
                  <c:v/>
                </c:pt>
                <c:pt idx="1136">
                  <c:v/>
                </c:pt>
                <c:pt idx="1137">
                  <c:v/>
                </c:pt>
                <c:pt idx="1138">
                  <c:v/>
                </c:pt>
                <c:pt idx="1139">
                  <c:v/>
                </c:pt>
                <c:pt idx="1140">
                  <c:v/>
                </c:pt>
                <c:pt idx="1141">
                  <c:v/>
                </c:pt>
                <c:pt idx="1142">
                  <c:v/>
                </c:pt>
                <c:pt idx="1143">
                  <c:v/>
                </c:pt>
                <c:pt idx="1144">
                  <c:v/>
                </c:pt>
                <c:pt idx="1145">
                  <c:v/>
                </c:pt>
                <c:pt idx="1146">
                  <c:v/>
                </c:pt>
                <c:pt idx="1147">
                  <c:v/>
                </c:pt>
                <c:pt idx="1148">
                  <c:v/>
                </c:pt>
                <c:pt idx="1149">
                  <c:v/>
                </c:pt>
                <c:pt idx="1150">
                  <c:v/>
                </c:pt>
                <c:pt idx="1151">
                  <c:v/>
                </c:pt>
                <c:pt idx="1152">
                  <c:v/>
                </c:pt>
                <c:pt idx="1153">
                  <c:v/>
                </c:pt>
                <c:pt idx="1154">
                  <c:v/>
                </c:pt>
                <c:pt idx="1155">
                  <c:v/>
                </c:pt>
                <c:pt idx="1156">
                  <c:v/>
                </c:pt>
                <c:pt idx="1157">
                  <c:v/>
                </c:pt>
                <c:pt idx="1158">
                  <c:v/>
                </c:pt>
                <c:pt idx="1159">
                  <c:v/>
                </c:pt>
                <c:pt idx="1160">
                  <c:v/>
                </c:pt>
                <c:pt idx="1161">
                  <c:v/>
                </c:pt>
                <c:pt idx="1162">
                  <c:v/>
                </c:pt>
                <c:pt idx="1163">
                  <c:v/>
                </c:pt>
                <c:pt idx="1164">
                  <c:v/>
                </c:pt>
                <c:pt idx="1165">
                  <c:v/>
                </c:pt>
                <c:pt idx="1166">
                  <c:v/>
                </c:pt>
                <c:pt idx="1167">
                  <c:v/>
                </c:pt>
                <c:pt idx="1168">
                  <c:v/>
                </c:pt>
                <c:pt idx="1169">
                  <c:v/>
                </c:pt>
                <c:pt idx="1170">
                  <c:v/>
                </c:pt>
                <c:pt idx="1171">
                  <c:v/>
                </c:pt>
                <c:pt idx="1172">
                  <c:v/>
                </c:pt>
                <c:pt idx="1173">
                  <c:v/>
                </c:pt>
                <c:pt idx="1174">
                  <c:v/>
                </c:pt>
                <c:pt idx="1175">
                  <c:v/>
                </c:pt>
                <c:pt idx="1176">
                  <c:v/>
                </c:pt>
                <c:pt idx="1177">
                  <c:v/>
                </c:pt>
                <c:pt idx="1178">
                  <c:v/>
                </c:pt>
                <c:pt idx="1179">
                  <c:v/>
                </c:pt>
                <c:pt idx="1180">
                  <c:v/>
                </c:pt>
                <c:pt idx="1181">
                  <c:v/>
                </c:pt>
                <c:pt idx="1182">
                  <c:v/>
                </c:pt>
                <c:pt idx="1183">
                  <c:v/>
                </c:pt>
                <c:pt idx="1184">
                  <c:v/>
                </c:pt>
                <c:pt idx="1185">
                  <c:v/>
                </c:pt>
                <c:pt idx="1186">
                  <c:v/>
                </c:pt>
                <c:pt idx="1187">
                  <c:v/>
                </c:pt>
                <c:pt idx="1188">
                  <c:v/>
                </c:pt>
                <c:pt idx="1189">
                  <c:v/>
                </c:pt>
                <c:pt idx="1190">
                  <c:v/>
                </c:pt>
                <c:pt idx="1191">
                  <c:v/>
                </c:pt>
                <c:pt idx="1192">
                  <c:v/>
                </c:pt>
                <c:pt idx="1193">
                  <c:v/>
                </c:pt>
                <c:pt idx="1194">
                  <c:v/>
                </c:pt>
                <c:pt idx="1195">
                  <c:v/>
                </c:pt>
                <c:pt idx="1196">
                  <c:v/>
                </c:pt>
                <c:pt idx="1197">
                  <c:v/>
                </c:pt>
                <c:pt idx="1198">
                  <c:v/>
                </c:pt>
                <c:pt idx="1199">
                  <c:v/>
                </c:pt>
                <c:pt idx="1200">
                  <c:v/>
                </c:pt>
                <c:pt idx="1201">
                  <c:v/>
                </c:pt>
                <c:pt idx="1202">
                  <c:v/>
                </c:pt>
                <c:pt idx="1203">
                  <c:v/>
                </c:pt>
                <c:pt idx="1204">
                  <c:v/>
                </c:pt>
                <c:pt idx="1205">
                  <c:v/>
                </c:pt>
                <c:pt idx="1206">
                  <c:v/>
                </c:pt>
                <c:pt idx="1207">
                  <c:v/>
                </c:pt>
                <c:pt idx="1208">
                  <c:v/>
                </c:pt>
                <c:pt idx="1209">
                  <c:v/>
                </c:pt>
                <c:pt idx="1210">
                  <c:v/>
                </c:pt>
                <c:pt idx="1211">
                  <c:v/>
                </c:pt>
                <c:pt idx="1212">
                  <c:v/>
                </c:pt>
                <c:pt idx="1213">
                  <c:v/>
                </c:pt>
                <c:pt idx="1214">
                  <c:v/>
                </c:pt>
                <c:pt idx="1215">
                  <c:v/>
                </c:pt>
              </c:strCache>
            </c:strRef>
          </c:cat>
          <c:val>
            <c:numRef>
              <c:f>0</c:f>
              <c:numCache>
                <c:formatCode>General</c:formatCode>
                <c:ptCount val="1216"/>
                <c:pt idx="0">
                  <c:v>110.4</c:v>
                </c:pt>
                <c:pt idx="1">
                  <c:v>111</c:v>
                </c:pt>
                <c:pt idx="2">
                  <c:v>111.2</c:v>
                </c:pt>
                <c:pt idx="3">
                  <c:v>111.5</c:v>
                </c:pt>
                <c:pt idx="4">
                  <c:v>111.3</c:v>
                </c:pt>
                <c:pt idx="5">
                  <c:v>111</c:v>
                </c:pt>
                <c:pt idx="6">
                  <c:v>110.5</c:v>
                </c:pt>
                <c:pt idx="7">
                  <c:v>109.4</c:v>
                </c:pt>
                <c:pt idx="8">
                  <c:v>107.7</c:v>
                </c:pt>
                <c:pt idx="9">
                  <c:v>107.4</c:v>
                </c:pt>
                <c:pt idx="10">
                  <c:v>106.8</c:v>
                </c:pt>
                <c:pt idx="11">
                  <c:v>106</c:v>
                </c:pt>
                <c:pt idx="12">
                  <c:v>104.5</c:v>
                </c:pt>
                <c:pt idx="13">
                  <c:v>103</c:v>
                </c:pt>
                <c:pt idx="14">
                  <c:v>102.3</c:v>
                </c:pt>
                <c:pt idx="15">
                  <c:v>100.1</c:v>
                </c:pt>
                <c:pt idx="16">
                  <c:v>98.7</c:v>
                </c:pt>
                <c:pt idx="17">
                  <c:v>94.6</c:v>
                </c:pt>
                <c:pt idx="18">
                  <c:v>91.7</c:v>
                </c:pt>
                <c:pt idx="19">
                  <c:v>89.2</c:v>
                </c:pt>
                <c:pt idx="20">
                  <c:v>88.8</c:v>
                </c:pt>
                <c:pt idx="21">
                  <c:v>83</c:v>
                </c:pt>
                <c:pt idx="22">
                  <c:v>78.1</c:v>
                </c:pt>
                <c:pt idx="23">
                  <c:v>72.1</c:v>
                </c:pt>
                <c:pt idx="24">
                  <c:v>72.2</c:v>
                </c:pt>
                <c:pt idx="25">
                  <c:v>70</c:v>
                </c:pt>
                <c:pt idx="26">
                  <c:v>69.3</c:v>
                </c:pt>
                <c:pt idx="27">
                  <c:v>71.3</c:v>
                </c:pt>
                <c:pt idx="28">
                  <c:v>75.1</c:v>
                </c:pt>
                <c:pt idx="29">
                  <c:v>77.6</c:v>
                </c:pt>
                <c:pt idx="30">
                  <c:v>80.3</c:v>
                </c:pt>
                <c:pt idx="31">
                  <c:v>84.1</c:v>
                </c:pt>
                <c:pt idx="32">
                  <c:v>86.5</c:v>
                </c:pt>
                <c:pt idx="33">
                  <c:v>88.6</c:v>
                </c:pt>
                <c:pt idx="34">
                  <c:v>90.2</c:v>
                </c:pt>
                <c:pt idx="35">
                  <c:v>92.3</c:v>
                </c:pt>
                <c:pt idx="36">
                  <c:v>93.5</c:v>
                </c:pt>
                <c:pt idx="37">
                  <c:v>93.6</c:v>
                </c:pt>
                <c:pt idx="38">
                  <c:v>95.7</c:v>
                </c:pt>
                <c:pt idx="39">
                  <c:v>98.5</c:v>
                </c:pt>
                <c:pt idx="40">
                  <c:v>97.3</c:v>
                </c:pt>
                <c:pt idx="41">
                  <c:v>97.3</c:v>
                </c:pt>
                <c:pt idx="42">
                  <c:v>99.1</c:v>
                </c:pt>
                <c:pt idx="43">
                  <c:v>100.2</c:v>
                </c:pt>
                <c:pt idx="44">
                  <c:v>101.3</c:v>
                </c:pt>
                <c:pt idx="45">
                  <c:v>101.4</c:v>
                </c:pt>
                <c:pt idx="46">
                  <c:v>102.2</c:v>
                </c:pt>
                <c:pt idx="47">
                  <c:v>102.7</c:v>
                </c:pt>
                <c:pt idx="48">
                  <c:v>102.7</c:v>
                </c:pt>
                <c:pt idx="49">
                  <c:v>103</c:v>
                </c:pt>
                <c:pt idx="50">
                  <c:v>102.6</c:v>
                </c:pt>
                <c:pt idx="51">
                  <c:v>101.8</c:v>
                </c:pt>
                <c:pt idx="52">
                  <c:v>101.5</c:v>
                </c:pt>
                <c:pt idx="53">
                  <c:v>100.9</c:v>
                </c:pt>
                <c:pt idx="54">
                  <c:v>99.2</c:v>
                </c:pt>
                <c:pt idx="55">
                  <c:v>96.4</c:v>
                </c:pt>
                <c:pt idx="56">
                  <c:v>94.2</c:v>
                </c:pt>
                <c:pt idx="57">
                  <c:v>93.2</c:v>
                </c:pt>
                <c:pt idx="58">
                  <c:v>92.8</c:v>
                </c:pt>
                <c:pt idx="59">
                  <c:v>90.9</c:v>
                </c:pt>
                <c:pt idx="60">
                  <c:v>91.1</c:v>
                </c:pt>
                <c:pt idx="61">
                  <c:v>91.5</c:v>
                </c:pt>
                <c:pt idx="62">
                  <c:v>92.5</c:v>
                </c:pt>
                <c:pt idx="63">
                  <c:v>92</c:v>
                </c:pt>
                <c:pt idx="64">
                  <c:v>90.2</c:v>
                </c:pt>
                <c:pt idx="65">
                  <c:v>89.8</c:v>
                </c:pt>
                <c:pt idx="66">
                  <c:v>88.3</c:v>
                </c:pt>
                <c:pt idx="67">
                  <c:v>87.5</c:v>
                </c:pt>
                <c:pt idx="68">
                  <c:v>86.3</c:v>
                </c:pt>
                <c:pt idx="69">
                  <c:v>85.3</c:v>
                </c:pt>
                <c:pt idx="70">
                  <c:v>86.1</c:v>
                </c:pt>
                <c:pt idx="71">
                  <c:v>86.6</c:v>
                </c:pt>
                <c:pt idx="72">
                  <c:v>88.1</c:v>
                </c:pt>
                <c:pt idx="73">
                  <c:v>88.9</c:v>
                </c:pt>
                <c:pt idx="74">
                  <c:v>89</c:v>
                </c:pt>
                <c:pt idx="75">
                  <c:v>88.3</c:v>
                </c:pt>
                <c:pt idx="76">
                  <c:v>88.9</c:v>
                </c:pt>
                <c:pt idx="77">
                  <c:v>90.1</c:v>
                </c:pt>
                <c:pt idx="78">
                  <c:v>90.9</c:v>
                </c:pt>
                <c:pt idx="79">
                  <c:v>93</c:v>
                </c:pt>
                <c:pt idx="80">
                  <c:v>95.5</c:v>
                </c:pt>
                <c:pt idx="81">
                  <c:v>95.4</c:v>
                </c:pt>
                <c:pt idx="82">
                  <c:v>96.7</c:v>
                </c:pt>
                <c:pt idx="83">
                  <c:v>97.4</c:v>
                </c:pt>
                <c:pt idx="84">
                  <c:v>98.5</c:v>
                </c:pt>
                <c:pt idx="85">
                  <c:v>98.8</c:v>
                </c:pt>
                <c:pt idx="86">
                  <c:v>99.9</c:v>
                </c:pt>
                <c:pt idx="87">
                  <c:v>99.6</c:v>
                </c:pt>
                <c:pt idx="88">
                  <c:v>99.4</c:v>
                </c:pt>
                <c:pt idx="89">
                  <c:v>99.1</c:v>
                </c:pt>
                <c:pt idx="90">
                  <c:v>98.8</c:v>
                </c:pt>
                <c:pt idx="91">
                  <c:v>98</c:v>
                </c:pt>
                <c:pt idx="92">
                  <c:v>97.2</c:v>
                </c:pt>
                <c:pt idx="93">
                  <c:v>97.7</c:v>
                </c:pt>
                <c:pt idx="94">
                  <c:v>98.1</c:v>
                </c:pt>
                <c:pt idx="95">
                  <c:v>98.2</c:v>
                </c:pt>
                <c:pt idx="96">
                  <c:v>99.4</c:v>
                </c:pt>
                <c:pt idx="97">
                  <c:v>101.1</c:v>
                </c:pt>
                <c:pt idx="98">
                  <c:v>102.9</c:v>
                </c:pt>
                <c:pt idx="99">
                  <c:v>102.9</c:v>
                </c:pt>
                <c:pt idx="100">
                  <c:v>102.8</c:v>
                </c:pt>
                <c:pt idx="101">
                  <c:v>102.7</c:v>
                </c:pt>
                <c:pt idx="102">
                  <c:v>102.6</c:v>
                </c:pt>
                <c:pt idx="103">
                  <c:v>102.9</c:v>
                </c:pt>
                <c:pt idx="104">
                  <c:v>103.9</c:v>
                </c:pt>
                <c:pt idx="105">
                  <c:v>104.1</c:v>
                </c:pt>
                <c:pt idx="106">
                  <c:v>104.5</c:v>
                </c:pt>
                <c:pt idx="107">
                  <c:v>104.7</c:v>
                </c:pt>
                <c:pt idx="108">
                  <c:v>104.7</c:v>
                </c:pt>
                <c:pt idx="109">
                  <c:v>104</c:v>
                </c:pt>
                <c:pt idx="110">
                  <c:v>103.9</c:v>
                </c:pt>
                <c:pt idx="111">
                  <c:v>104.2</c:v>
                </c:pt>
                <c:pt idx="112">
                  <c:v>103.9</c:v>
                </c:pt>
                <c:pt idx="113">
                  <c:v>103.9</c:v>
                </c:pt>
                <c:pt idx="114">
                  <c:v>103.6</c:v>
                </c:pt>
                <c:pt idx="115">
                  <c:v>103.1</c:v>
                </c:pt>
                <c:pt idx="116">
                  <c:v>103.9</c:v>
                </c:pt>
                <c:pt idx="117">
                  <c:v>105</c:v>
                </c:pt>
                <c:pt idx="118">
                  <c:v>105.8</c:v>
                </c:pt>
                <c:pt idx="119">
                  <c:v>107</c:v>
                </c:pt>
                <c:pt idx="120">
                  <c:v>107.9</c:v>
                </c:pt>
                <c:pt idx="121">
                  <c:v>107.9</c:v>
                </c:pt>
                <c:pt idx="122">
                  <c:v>108.8</c:v>
                </c:pt>
                <c:pt idx="123">
                  <c:v>109.7</c:v>
                </c:pt>
                <c:pt idx="124">
                  <c:v>109.4</c:v>
                </c:pt>
                <c:pt idx="125">
                  <c:v>110.4</c:v>
                </c:pt>
                <c:pt idx="126">
                  <c:v>110.9</c:v>
                </c:pt>
                <c:pt idx="127">
                  <c:v>110.9</c:v>
                </c:pt>
                <c:pt idx="128">
                  <c:v>111.8</c:v>
                </c:pt>
                <c:pt idx="129">
                  <c:v>112.9</c:v>
                </c:pt>
                <c:pt idx="130">
                  <c:v>113.3</c:v>
                </c:pt>
                <c:pt idx="131">
                  <c:v>114.4</c:v>
                </c:pt>
                <c:pt idx="132">
                  <c:v>114.2</c:v>
                </c:pt>
                <c:pt idx="133">
                  <c:v>113.6</c:v>
                </c:pt>
                <c:pt idx="134">
                  <c:v>112.4</c:v>
                </c:pt>
                <c:pt idx="135">
                  <c:v>112.8</c:v>
                </c:pt>
                <c:pt idx="136">
                  <c:v>111.2</c:v>
                </c:pt>
                <c:pt idx="137">
                  <c:v>111.4</c:v>
                </c:pt>
                <c:pt idx="138">
                  <c:v>110.4</c:v>
                </c:pt>
                <c:pt idx="139">
                  <c:v>110.1</c:v>
                </c:pt>
                <c:pt idx="140">
                  <c:v>109.7</c:v>
                </c:pt>
                <c:pt idx="141">
                  <c:v>109.3</c:v>
                </c:pt>
                <c:pt idx="142">
                  <c:v>109.4</c:v>
                </c:pt>
                <c:pt idx="143">
                  <c:v>108.4</c:v>
                </c:pt>
                <c:pt idx="144">
                  <c:v>107.3</c:v>
                </c:pt>
                <c:pt idx="145">
                  <c:v>106.9</c:v>
                </c:pt>
                <c:pt idx="146">
                  <c:v>106.7</c:v>
                </c:pt>
                <c:pt idx="147">
                  <c:v>105</c:v>
                </c:pt>
                <c:pt idx="148">
                  <c:v>105.2</c:v>
                </c:pt>
                <c:pt idx="149">
                  <c:v>103.2</c:v>
                </c:pt>
                <c:pt idx="150">
                  <c:v>102</c:v>
                </c:pt>
                <c:pt idx="151">
                  <c:v>102.5</c:v>
                </c:pt>
                <c:pt idx="152">
                  <c:v>101.4</c:v>
                </c:pt>
                <c:pt idx="153">
                  <c:v>101.1</c:v>
                </c:pt>
                <c:pt idx="154">
                  <c:v>102.3</c:v>
                </c:pt>
                <c:pt idx="155">
                  <c:v>103.2</c:v>
                </c:pt>
                <c:pt idx="156">
                  <c:v>105.2</c:v>
                </c:pt>
                <c:pt idx="157">
                  <c:v>105.4</c:v>
                </c:pt>
                <c:pt idx="158">
                  <c:v>95.4</c:v>
                </c:pt>
                <c:pt idx="159">
                  <c:v>59.8</c:v>
                </c:pt>
                <c:pt idx="160">
                  <c:v>63.7</c:v>
                </c:pt>
                <c:pt idx="161">
                  <c:v>74.6</c:v>
                </c:pt>
                <c:pt idx="162">
                  <c:v>82.5</c:v>
                </c:pt>
                <c:pt idx="163">
                  <c:v>89.3</c:v>
                </c:pt>
                <c:pt idx="164">
                  <c:v>93.4</c:v>
                </c:pt>
                <c:pt idx="165">
                  <c:v>93.9</c:v>
                </c:pt>
                <c:pt idx="166">
                  <c:v>91.1</c:v>
                </c:pt>
                <c:pt idx="167">
                  <c:v>96.3</c:v>
                </c:pt>
                <c:pt idx="168">
                  <c:v>96.4</c:v>
                </c:pt>
                <c:pt idx="169">
                  <c:v>98.1</c:v>
                </c:pt>
                <c:pt idx="170">
                  <c:v>103.1</c:v>
                </c:pt>
                <c:pt idx="171">
                  <c:v>105.2</c:v>
                </c:pt>
                <c:pt idx="172">
                  <c:v>109.4</c:v>
                </c:pt>
                <c:pt idx="173">
                  <c:v>114.2</c:v>
                </c:pt>
                <c:pt idx="174">
                  <c:v>116.1</c:v>
                </c:pt>
                <c:pt idx="175">
                  <c:v>115.7</c:v>
                </c:pt>
                <c:pt idx="176">
                  <c:v>115.8</c:v>
                </c:pt>
                <c:pt idx="177">
                  <c:v>116.2</c:v>
                </c:pt>
                <c:pt idx="178">
                  <c:v>114.5</c:v>
                </c:pt>
                <c:pt idx="179">
                  <c:v>113.9</c:v>
                </c:pt>
                <c:pt idx="180">
                  <c:v>112.6</c:v>
                </c:pt>
                <c:pt idx="181">
                  <c:v>113.3</c:v>
                </c:pt>
                <c:pt idx="182">
                  <c:v>106.2</c:v>
                </c:pt>
                <c:pt idx="183">
                  <c:v>104.2</c:v>
                </c:pt>
                <c:pt idx="184">
                  <c:v>103.6</c:v>
                </c:pt>
                <c:pt idx="185">
                  <c:v>101.8</c:v>
                </c:pt>
                <c:pt idx="186">
                  <c:v>97.5</c:v>
                </c:pt>
                <c:pt idx="187">
                  <c:v>96.5</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pt idx="952">
                  <c:v/>
                </c:pt>
                <c:pt idx="953">
                  <c:v/>
                </c:pt>
                <c:pt idx="954">
                  <c:v/>
                </c:pt>
                <c:pt idx="955">
                  <c:v/>
                </c:pt>
                <c:pt idx="956">
                  <c:v/>
                </c:pt>
                <c:pt idx="957">
                  <c:v/>
                </c:pt>
                <c:pt idx="958">
                  <c:v/>
                </c:pt>
                <c:pt idx="959">
                  <c:v/>
                </c:pt>
                <c:pt idx="960">
                  <c:v/>
                </c:pt>
                <c:pt idx="961">
                  <c:v/>
                </c:pt>
                <c:pt idx="962">
                  <c:v/>
                </c:pt>
                <c:pt idx="963">
                  <c:v/>
                </c:pt>
                <c:pt idx="964">
                  <c:v/>
                </c:pt>
                <c:pt idx="965">
                  <c:v/>
                </c:pt>
                <c:pt idx="966">
                  <c:v/>
                </c:pt>
                <c:pt idx="967">
                  <c:v/>
                </c:pt>
                <c:pt idx="968">
                  <c:v/>
                </c:pt>
                <c:pt idx="969">
                  <c:v/>
                </c:pt>
                <c:pt idx="970">
                  <c:v/>
                </c:pt>
                <c:pt idx="971">
                  <c:v/>
                </c:pt>
                <c:pt idx="972">
                  <c:v/>
                </c:pt>
                <c:pt idx="973">
                  <c:v/>
                </c:pt>
                <c:pt idx="974">
                  <c:v/>
                </c:pt>
                <c:pt idx="975">
                  <c:v/>
                </c:pt>
                <c:pt idx="976">
                  <c:v/>
                </c:pt>
                <c:pt idx="977">
                  <c:v/>
                </c:pt>
                <c:pt idx="978">
                  <c:v/>
                </c:pt>
                <c:pt idx="979">
                  <c:v/>
                </c:pt>
                <c:pt idx="980">
                  <c:v/>
                </c:pt>
                <c:pt idx="981">
                  <c:v/>
                </c:pt>
                <c:pt idx="982">
                  <c:v/>
                </c:pt>
                <c:pt idx="983">
                  <c:v/>
                </c:pt>
                <c:pt idx="984">
                  <c:v/>
                </c:pt>
                <c:pt idx="985">
                  <c:v/>
                </c:pt>
                <c:pt idx="986">
                  <c:v/>
                </c:pt>
                <c:pt idx="987">
                  <c:v/>
                </c:pt>
                <c:pt idx="988">
                  <c:v/>
                </c:pt>
                <c:pt idx="989">
                  <c:v/>
                </c:pt>
                <c:pt idx="990">
                  <c:v/>
                </c:pt>
                <c:pt idx="991">
                  <c:v/>
                </c:pt>
                <c:pt idx="992">
                  <c:v/>
                </c:pt>
                <c:pt idx="993">
                  <c:v/>
                </c:pt>
                <c:pt idx="994">
                  <c:v/>
                </c:pt>
                <c:pt idx="995">
                  <c:v/>
                </c:pt>
                <c:pt idx="996">
                  <c:v/>
                </c:pt>
                <c:pt idx="997">
                  <c:v/>
                </c:pt>
                <c:pt idx="998">
                  <c:v/>
                </c:pt>
                <c:pt idx="999">
                  <c:v/>
                </c:pt>
                <c:pt idx="1000">
                  <c:v/>
                </c:pt>
                <c:pt idx="1001">
                  <c:v/>
                </c:pt>
                <c:pt idx="1002">
                  <c:v/>
                </c:pt>
                <c:pt idx="1003">
                  <c:v/>
                </c:pt>
                <c:pt idx="1004">
                  <c:v/>
                </c:pt>
                <c:pt idx="1005">
                  <c:v/>
                </c:pt>
                <c:pt idx="1006">
                  <c:v/>
                </c:pt>
                <c:pt idx="1007">
                  <c:v/>
                </c:pt>
                <c:pt idx="1008">
                  <c:v/>
                </c:pt>
                <c:pt idx="1009">
                  <c:v/>
                </c:pt>
                <c:pt idx="1010">
                  <c:v/>
                </c:pt>
                <c:pt idx="1011">
                  <c:v/>
                </c:pt>
                <c:pt idx="1012">
                  <c:v/>
                </c:pt>
                <c:pt idx="1013">
                  <c:v/>
                </c:pt>
                <c:pt idx="1014">
                  <c:v/>
                </c:pt>
                <c:pt idx="1015">
                  <c:v/>
                </c:pt>
                <c:pt idx="1016">
                  <c:v/>
                </c:pt>
                <c:pt idx="1017">
                  <c:v/>
                </c:pt>
                <c:pt idx="1018">
                  <c:v/>
                </c:pt>
                <c:pt idx="1019">
                  <c:v/>
                </c:pt>
                <c:pt idx="1020">
                  <c:v/>
                </c:pt>
                <c:pt idx="1021">
                  <c:v/>
                </c:pt>
                <c:pt idx="1022">
                  <c:v/>
                </c:pt>
                <c:pt idx="1023">
                  <c:v/>
                </c:pt>
                <c:pt idx="1024">
                  <c:v/>
                </c:pt>
                <c:pt idx="1025">
                  <c:v/>
                </c:pt>
                <c:pt idx="1026">
                  <c:v/>
                </c:pt>
                <c:pt idx="1027">
                  <c:v/>
                </c:pt>
                <c:pt idx="1028">
                  <c:v/>
                </c:pt>
                <c:pt idx="1029">
                  <c:v/>
                </c:pt>
                <c:pt idx="1030">
                  <c:v/>
                </c:pt>
                <c:pt idx="1031">
                  <c:v/>
                </c:pt>
                <c:pt idx="1032">
                  <c:v/>
                </c:pt>
                <c:pt idx="1033">
                  <c:v/>
                </c:pt>
                <c:pt idx="1034">
                  <c:v/>
                </c:pt>
                <c:pt idx="1035">
                  <c:v/>
                </c:pt>
                <c:pt idx="1036">
                  <c:v/>
                </c:pt>
                <c:pt idx="1037">
                  <c:v/>
                </c:pt>
                <c:pt idx="1038">
                  <c:v/>
                </c:pt>
                <c:pt idx="1039">
                  <c:v/>
                </c:pt>
                <c:pt idx="1040">
                  <c:v/>
                </c:pt>
                <c:pt idx="1041">
                  <c:v/>
                </c:pt>
                <c:pt idx="1042">
                  <c:v/>
                </c:pt>
                <c:pt idx="1043">
                  <c:v/>
                </c:pt>
                <c:pt idx="1044">
                  <c:v/>
                </c:pt>
                <c:pt idx="1045">
                  <c:v/>
                </c:pt>
                <c:pt idx="1046">
                  <c:v/>
                </c:pt>
                <c:pt idx="1047">
                  <c:v/>
                </c:pt>
                <c:pt idx="1048">
                  <c:v/>
                </c:pt>
                <c:pt idx="1049">
                  <c:v/>
                </c:pt>
                <c:pt idx="1050">
                  <c:v/>
                </c:pt>
                <c:pt idx="1051">
                  <c:v/>
                </c:pt>
                <c:pt idx="1052">
                  <c:v/>
                </c:pt>
                <c:pt idx="1053">
                  <c:v/>
                </c:pt>
                <c:pt idx="1054">
                  <c:v/>
                </c:pt>
                <c:pt idx="1055">
                  <c:v/>
                </c:pt>
                <c:pt idx="1056">
                  <c:v/>
                </c:pt>
                <c:pt idx="1057">
                  <c:v/>
                </c:pt>
                <c:pt idx="1058">
                  <c:v/>
                </c:pt>
                <c:pt idx="1059">
                  <c:v/>
                </c:pt>
                <c:pt idx="1060">
                  <c:v/>
                </c:pt>
                <c:pt idx="1061">
                  <c:v/>
                </c:pt>
                <c:pt idx="1062">
                  <c:v/>
                </c:pt>
                <c:pt idx="1063">
                  <c:v/>
                </c:pt>
                <c:pt idx="1064">
                  <c:v/>
                </c:pt>
                <c:pt idx="1065">
                  <c:v/>
                </c:pt>
                <c:pt idx="1066">
                  <c:v/>
                </c:pt>
                <c:pt idx="1067">
                  <c:v/>
                </c:pt>
                <c:pt idx="1068">
                  <c:v/>
                </c:pt>
                <c:pt idx="1069">
                  <c:v/>
                </c:pt>
                <c:pt idx="1070">
                  <c:v/>
                </c:pt>
                <c:pt idx="1071">
                  <c:v/>
                </c:pt>
                <c:pt idx="1072">
                  <c:v/>
                </c:pt>
                <c:pt idx="1073">
                  <c:v/>
                </c:pt>
                <c:pt idx="1074">
                  <c:v/>
                </c:pt>
                <c:pt idx="1075">
                  <c:v/>
                </c:pt>
                <c:pt idx="1076">
                  <c:v/>
                </c:pt>
                <c:pt idx="1077">
                  <c:v/>
                </c:pt>
                <c:pt idx="1078">
                  <c:v/>
                </c:pt>
                <c:pt idx="1079">
                  <c:v/>
                </c:pt>
                <c:pt idx="1080">
                  <c:v/>
                </c:pt>
                <c:pt idx="1081">
                  <c:v/>
                </c:pt>
                <c:pt idx="1082">
                  <c:v/>
                </c:pt>
                <c:pt idx="1083">
                  <c:v/>
                </c:pt>
                <c:pt idx="1084">
                  <c:v/>
                </c:pt>
                <c:pt idx="1085">
                  <c:v/>
                </c:pt>
                <c:pt idx="1086">
                  <c:v/>
                </c:pt>
                <c:pt idx="1087">
                  <c:v/>
                </c:pt>
                <c:pt idx="1088">
                  <c:v/>
                </c:pt>
                <c:pt idx="1089">
                  <c:v/>
                </c:pt>
                <c:pt idx="1090">
                  <c:v/>
                </c:pt>
                <c:pt idx="1091">
                  <c:v/>
                </c:pt>
                <c:pt idx="1092">
                  <c:v/>
                </c:pt>
                <c:pt idx="1093">
                  <c:v/>
                </c:pt>
                <c:pt idx="1094">
                  <c:v/>
                </c:pt>
                <c:pt idx="1095">
                  <c:v/>
                </c:pt>
                <c:pt idx="1096">
                  <c:v/>
                </c:pt>
                <c:pt idx="1097">
                  <c:v/>
                </c:pt>
                <c:pt idx="1098">
                  <c:v/>
                </c:pt>
                <c:pt idx="1099">
                  <c:v/>
                </c:pt>
                <c:pt idx="1100">
                  <c:v/>
                </c:pt>
                <c:pt idx="1101">
                  <c:v/>
                </c:pt>
                <c:pt idx="1102">
                  <c:v/>
                </c:pt>
                <c:pt idx="1103">
                  <c:v/>
                </c:pt>
                <c:pt idx="1104">
                  <c:v/>
                </c:pt>
                <c:pt idx="1105">
                  <c:v/>
                </c:pt>
                <c:pt idx="1106">
                  <c:v/>
                </c:pt>
                <c:pt idx="1107">
                  <c:v/>
                </c:pt>
                <c:pt idx="1108">
                  <c:v/>
                </c:pt>
                <c:pt idx="1109">
                  <c:v/>
                </c:pt>
                <c:pt idx="1110">
                  <c:v/>
                </c:pt>
                <c:pt idx="1111">
                  <c:v/>
                </c:pt>
                <c:pt idx="1112">
                  <c:v/>
                </c:pt>
                <c:pt idx="1113">
                  <c:v/>
                </c:pt>
                <c:pt idx="1114">
                  <c:v/>
                </c:pt>
                <c:pt idx="1115">
                  <c:v/>
                </c:pt>
                <c:pt idx="1116">
                  <c:v/>
                </c:pt>
                <c:pt idx="1117">
                  <c:v/>
                </c:pt>
                <c:pt idx="1118">
                  <c:v/>
                </c:pt>
                <c:pt idx="1119">
                  <c:v/>
                </c:pt>
                <c:pt idx="1120">
                  <c:v/>
                </c:pt>
                <c:pt idx="1121">
                  <c:v/>
                </c:pt>
                <c:pt idx="1122">
                  <c:v/>
                </c:pt>
                <c:pt idx="1123">
                  <c:v/>
                </c:pt>
                <c:pt idx="1124">
                  <c:v/>
                </c:pt>
                <c:pt idx="1125">
                  <c:v/>
                </c:pt>
                <c:pt idx="1126">
                  <c:v/>
                </c:pt>
                <c:pt idx="1127">
                  <c:v/>
                </c:pt>
                <c:pt idx="1128">
                  <c:v/>
                </c:pt>
                <c:pt idx="1129">
                  <c:v/>
                </c:pt>
                <c:pt idx="1130">
                  <c:v/>
                </c:pt>
                <c:pt idx="1131">
                  <c:v/>
                </c:pt>
                <c:pt idx="1132">
                  <c:v/>
                </c:pt>
                <c:pt idx="1133">
                  <c:v/>
                </c:pt>
                <c:pt idx="1134">
                  <c:v/>
                </c:pt>
                <c:pt idx="1135">
                  <c:v/>
                </c:pt>
                <c:pt idx="1136">
                  <c:v/>
                </c:pt>
                <c:pt idx="1137">
                  <c:v/>
                </c:pt>
                <c:pt idx="1138">
                  <c:v/>
                </c:pt>
                <c:pt idx="1139">
                  <c:v/>
                </c:pt>
                <c:pt idx="1140">
                  <c:v/>
                </c:pt>
                <c:pt idx="1141">
                  <c:v/>
                </c:pt>
                <c:pt idx="1142">
                  <c:v/>
                </c:pt>
                <c:pt idx="1143">
                  <c:v/>
                </c:pt>
                <c:pt idx="1144">
                  <c:v/>
                </c:pt>
                <c:pt idx="1145">
                  <c:v/>
                </c:pt>
                <c:pt idx="1146">
                  <c:v/>
                </c:pt>
                <c:pt idx="1147">
                  <c:v/>
                </c:pt>
                <c:pt idx="1148">
                  <c:v/>
                </c:pt>
                <c:pt idx="1149">
                  <c:v/>
                </c:pt>
                <c:pt idx="1150">
                  <c:v/>
                </c:pt>
                <c:pt idx="1151">
                  <c:v/>
                </c:pt>
                <c:pt idx="1152">
                  <c:v/>
                </c:pt>
                <c:pt idx="1153">
                  <c:v/>
                </c:pt>
                <c:pt idx="1154">
                  <c:v/>
                </c:pt>
                <c:pt idx="1155">
                  <c:v/>
                </c:pt>
                <c:pt idx="1156">
                  <c:v/>
                </c:pt>
                <c:pt idx="1157">
                  <c:v/>
                </c:pt>
                <c:pt idx="1158">
                  <c:v/>
                </c:pt>
                <c:pt idx="1159">
                  <c:v/>
                </c:pt>
                <c:pt idx="1160">
                  <c:v/>
                </c:pt>
                <c:pt idx="1161">
                  <c:v/>
                </c:pt>
                <c:pt idx="1162">
                  <c:v/>
                </c:pt>
                <c:pt idx="1163">
                  <c:v/>
                </c:pt>
                <c:pt idx="1164">
                  <c:v/>
                </c:pt>
                <c:pt idx="1165">
                  <c:v/>
                </c:pt>
                <c:pt idx="1166">
                  <c:v/>
                </c:pt>
                <c:pt idx="1167">
                  <c:v/>
                </c:pt>
                <c:pt idx="1168">
                  <c:v/>
                </c:pt>
                <c:pt idx="1169">
                  <c:v/>
                </c:pt>
                <c:pt idx="1170">
                  <c:v/>
                </c:pt>
                <c:pt idx="1171">
                  <c:v/>
                </c:pt>
                <c:pt idx="1172">
                  <c:v/>
                </c:pt>
                <c:pt idx="1173">
                  <c:v/>
                </c:pt>
                <c:pt idx="1174">
                  <c:v/>
                </c:pt>
                <c:pt idx="1175">
                  <c:v/>
                </c:pt>
                <c:pt idx="1176">
                  <c:v/>
                </c:pt>
                <c:pt idx="1177">
                  <c:v/>
                </c:pt>
                <c:pt idx="1178">
                  <c:v/>
                </c:pt>
                <c:pt idx="1179">
                  <c:v/>
                </c:pt>
                <c:pt idx="1180">
                  <c:v/>
                </c:pt>
                <c:pt idx="1181">
                  <c:v/>
                </c:pt>
                <c:pt idx="1182">
                  <c:v/>
                </c:pt>
                <c:pt idx="1183">
                  <c:v/>
                </c:pt>
                <c:pt idx="1184">
                  <c:v/>
                </c:pt>
                <c:pt idx="1185">
                  <c:v/>
                </c:pt>
                <c:pt idx="1186">
                  <c:v/>
                </c:pt>
                <c:pt idx="1187">
                  <c:v/>
                </c:pt>
                <c:pt idx="1188">
                  <c:v/>
                </c:pt>
                <c:pt idx="1189">
                  <c:v/>
                </c:pt>
                <c:pt idx="1190">
                  <c:v/>
                </c:pt>
                <c:pt idx="1191">
                  <c:v/>
                </c:pt>
                <c:pt idx="1192">
                  <c:v/>
                </c:pt>
                <c:pt idx="1193">
                  <c:v/>
                </c:pt>
                <c:pt idx="1194">
                  <c:v/>
                </c:pt>
                <c:pt idx="1195">
                  <c:v/>
                </c:pt>
                <c:pt idx="1196">
                  <c:v/>
                </c:pt>
                <c:pt idx="1197">
                  <c:v/>
                </c:pt>
                <c:pt idx="1198">
                  <c:v/>
                </c:pt>
                <c:pt idx="1199">
                  <c:v/>
                </c:pt>
                <c:pt idx="1200">
                  <c:v/>
                </c:pt>
                <c:pt idx="1201">
                  <c:v/>
                </c:pt>
                <c:pt idx="1202">
                  <c:v/>
                </c:pt>
                <c:pt idx="1203">
                  <c:v/>
                </c:pt>
                <c:pt idx="1204">
                  <c:v/>
                </c:pt>
                <c:pt idx="1205">
                  <c:v/>
                </c:pt>
                <c:pt idx="1206">
                  <c:v/>
                </c:pt>
                <c:pt idx="1207">
                  <c:v/>
                </c:pt>
                <c:pt idx="1208">
                  <c:v/>
                </c:pt>
                <c:pt idx="1209">
                  <c:v/>
                </c:pt>
                <c:pt idx="1210">
                  <c:v/>
                </c:pt>
                <c:pt idx="1211">
                  <c:v/>
                </c:pt>
                <c:pt idx="1212">
                  <c:v/>
                </c:pt>
                <c:pt idx="1213">
                  <c:v/>
                </c:pt>
                <c:pt idx="1214">
                  <c:v/>
                </c:pt>
                <c:pt idx="1215">
                  <c:v/>
                </c:pt>
              </c:numCache>
            </c:numRef>
          </c:val>
          <c:smooth val="0"/>
        </c:ser>
        <c:ser>
          <c:idx val="1"/>
          <c:order val="1"/>
          <c:tx>
            <c:strRef>
              <c:f>label 1</c:f>
              <c:strCache>
                <c:ptCount val="1"/>
                <c:pt idx="0">
                  <c:v>România</c:v>
                </c:pt>
              </c:strCache>
            </c:strRef>
          </c:tx>
          <c:spPr>
            <a:solidFill>
              <a:srgbClr val="ed7d31"/>
            </a:solidFill>
            <a:ln w="28440">
              <a:solidFill>
                <a:srgbClr val="ed7d31"/>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1216"/>
                <c:pt idx="0">
                  <c:v>ian-07</c:v>
                </c:pt>
                <c:pt idx="1">
                  <c:v>febr-07</c:v>
                </c:pt>
                <c:pt idx="2">
                  <c:v>mar-07</c:v>
                </c:pt>
                <c:pt idx="3">
                  <c:v>apr-07</c:v>
                </c:pt>
                <c:pt idx="4">
                  <c:v>mai-07</c:v>
                </c:pt>
                <c:pt idx="5">
                  <c:v>iun-07</c:v>
                </c:pt>
                <c:pt idx="6">
                  <c:v>iul-07</c:v>
                </c:pt>
                <c:pt idx="7">
                  <c:v>aug-07</c:v>
                </c:pt>
                <c:pt idx="8">
                  <c:v>sept-07</c:v>
                </c:pt>
                <c:pt idx="9">
                  <c:v>oct-07</c:v>
                </c:pt>
                <c:pt idx="10">
                  <c:v>nov-07</c:v>
                </c:pt>
                <c:pt idx="11">
                  <c:v>dec-07</c:v>
                </c:pt>
                <c:pt idx="12">
                  <c:v>ian-08</c:v>
                </c:pt>
                <c:pt idx="13">
                  <c:v>febr-08</c:v>
                </c:pt>
                <c:pt idx="14">
                  <c:v>mar-08</c:v>
                </c:pt>
                <c:pt idx="15">
                  <c:v>apr-08</c:v>
                </c:pt>
                <c:pt idx="16">
                  <c:v>mai-08</c:v>
                </c:pt>
                <c:pt idx="17">
                  <c:v>iun-08</c:v>
                </c:pt>
                <c:pt idx="18">
                  <c:v>iul-08</c:v>
                </c:pt>
                <c:pt idx="19">
                  <c:v>aug-08</c:v>
                </c:pt>
                <c:pt idx="20">
                  <c:v>sept-08</c:v>
                </c:pt>
                <c:pt idx="21">
                  <c:v>oct-08</c:v>
                </c:pt>
                <c:pt idx="22">
                  <c:v>nov-08</c:v>
                </c:pt>
                <c:pt idx="23">
                  <c:v>dec-08</c:v>
                </c:pt>
                <c:pt idx="24">
                  <c:v>ian-09</c:v>
                </c:pt>
                <c:pt idx="25">
                  <c:v>febr-09</c:v>
                </c:pt>
                <c:pt idx="26">
                  <c:v>mar-09</c:v>
                </c:pt>
                <c:pt idx="27">
                  <c:v>apr-09</c:v>
                </c:pt>
                <c:pt idx="28">
                  <c:v>mai-09</c:v>
                </c:pt>
                <c:pt idx="29">
                  <c:v>iun-09</c:v>
                </c:pt>
                <c:pt idx="30">
                  <c:v>iul-09</c:v>
                </c:pt>
                <c:pt idx="31">
                  <c:v>aug-09</c:v>
                </c:pt>
                <c:pt idx="32">
                  <c:v>sept-09</c:v>
                </c:pt>
                <c:pt idx="33">
                  <c:v>oct-09</c:v>
                </c:pt>
                <c:pt idx="34">
                  <c:v>nov-09</c:v>
                </c:pt>
                <c:pt idx="35">
                  <c:v>dec-09</c:v>
                </c:pt>
                <c:pt idx="36">
                  <c:v>ian-10</c:v>
                </c:pt>
                <c:pt idx="37">
                  <c:v>febr-10</c:v>
                </c:pt>
                <c:pt idx="38">
                  <c:v>mar-10</c:v>
                </c:pt>
                <c:pt idx="39">
                  <c:v>apr-10</c:v>
                </c:pt>
                <c:pt idx="40">
                  <c:v>mai-10</c:v>
                </c:pt>
                <c:pt idx="41">
                  <c:v>iun-10</c:v>
                </c:pt>
                <c:pt idx="42">
                  <c:v>iul-10</c:v>
                </c:pt>
                <c:pt idx="43">
                  <c:v>aug-10</c:v>
                </c:pt>
                <c:pt idx="44">
                  <c:v>sept-10</c:v>
                </c:pt>
                <c:pt idx="45">
                  <c:v>oct-10</c:v>
                </c:pt>
                <c:pt idx="46">
                  <c:v>nov-10</c:v>
                </c:pt>
                <c:pt idx="47">
                  <c:v>dec-10</c:v>
                </c:pt>
                <c:pt idx="48">
                  <c:v>ian-11</c:v>
                </c:pt>
                <c:pt idx="49">
                  <c:v>febr-11</c:v>
                </c:pt>
                <c:pt idx="50">
                  <c:v>mar-11</c:v>
                </c:pt>
                <c:pt idx="51">
                  <c:v>apr-11</c:v>
                </c:pt>
                <c:pt idx="52">
                  <c:v>mai-11</c:v>
                </c:pt>
                <c:pt idx="53">
                  <c:v>iun-11</c:v>
                </c:pt>
                <c:pt idx="54">
                  <c:v>iul-11</c:v>
                </c:pt>
                <c:pt idx="55">
                  <c:v>aug-11</c:v>
                </c:pt>
                <c:pt idx="56">
                  <c:v>sept-11</c:v>
                </c:pt>
                <c:pt idx="57">
                  <c:v>oct-11</c:v>
                </c:pt>
                <c:pt idx="58">
                  <c:v>nov-11</c:v>
                </c:pt>
                <c:pt idx="59">
                  <c:v>dec-11</c:v>
                </c:pt>
                <c:pt idx="60">
                  <c:v>ian-12</c:v>
                </c:pt>
                <c:pt idx="61">
                  <c:v>febr-12</c:v>
                </c:pt>
                <c:pt idx="62">
                  <c:v>mar-12</c:v>
                </c:pt>
                <c:pt idx="63">
                  <c:v>apr-12</c:v>
                </c:pt>
                <c:pt idx="64">
                  <c:v>mai-12</c:v>
                </c:pt>
                <c:pt idx="65">
                  <c:v>iun-12</c:v>
                </c:pt>
                <c:pt idx="66">
                  <c:v>iul-12</c:v>
                </c:pt>
                <c:pt idx="67">
                  <c:v>aug-12</c:v>
                </c:pt>
                <c:pt idx="68">
                  <c:v>sept-12</c:v>
                </c:pt>
                <c:pt idx="69">
                  <c:v>oct-12</c:v>
                </c:pt>
                <c:pt idx="70">
                  <c:v>nov-12</c:v>
                </c:pt>
                <c:pt idx="71">
                  <c:v>dec-12</c:v>
                </c:pt>
                <c:pt idx="72">
                  <c:v>ian-13</c:v>
                </c:pt>
                <c:pt idx="73">
                  <c:v>febr-13</c:v>
                </c:pt>
                <c:pt idx="74">
                  <c:v>mar-13</c:v>
                </c:pt>
                <c:pt idx="75">
                  <c:v>apr-13</c:v>
                </c:pt>
                <c:pt idx="76">
                  <c:v>mai-13</c:v>
                </c:pt>
                <c:pt idx="77">
                  <c:v>iun-13</c:v>
                </c:pt>
                <c:pt idx="78">
                  <c:v>iul-13</c:v>
                </c:pt>
                <c:pt idx="79">
                  <c:v>aug-13</c:v>
                </c:pt>
                <c:pt idx="80">
                  <c:v>sept-13</c:v>
                </c:pt>
                <c:pt idx="81">
                  <c:v>oct-13</c:v>
                </c:pt>
                <c:pt idx="82">
                  <c:v>nov-13</c:v>
                </c:pt>
                <c:pt idx="83">
                  <c:v>dec-13</c:v>
                </c:pt>
                <c:pt idx="84">
                  <c:v>ian-14</c:v>
                </c:pt>
                <c:pt idx="85">
                  <c:v>febr-14</c:v>
                </c:pt>
                <c:pt idx="86">
                  <c:v>mar-14</c:v>
                </c:pt>
                <c:pt idx="87">
                  <c:v>apr-14</c:v>
                </c:pt>
                <c:pt idx="88">
                  <c:v>mai-14</c:v>
                </c:pt>
                <c:pt idx="89">
                  <c:v>iun-14</c:v>
                </c:pt>
                <c:pt idx="90">
                  <c:v>iul-14</c:v>
                </c:pt>
                <c:pt idx="91">
                  <c:v>aug-14</c:v>
                </c:pt>
                <c:pt idx="92">
                  <c:v>sept-14</c:v>
                </c:pt>
                <c:pt idx="93">
                  <c:v>oct-14</c:v>
                </c:pt>
                <c:pt idx="94">
                  <c:v>nov-14</c:v>
                </c:pt>
                <c:pt idx="95">
                  <c:v>dec-14</c:v>
                </c:pt>
                <c:pt idx="96">
                  <c:v>ian-15</c:v>
                </c:pt>
                <c:pt idx="97">
                  <c:v>febr-15</c:v>
                </c:pt>
                <c:pt idx="98">
                  <c:v>mar-15</c:v>
                </c:pt>
                <c:pt idx="99">
                  <c:v>apr-15</c:v>
                </c:pt>
                <c:pt idx="100">
                  <c:v>mai-15</c:v>
                </c:pt>
                <c:pt idx="101">
                  <c:v>iun-15</c:v>
                </c:pt>
                <c:pt idx="102">
                  <c:v>iul-15</c:v>
                </c:pt>
                <c:pt idx="103">
                  <c:v>aug-15</c:v>
                </c:pt>
                <c:pt idx="104">
                  <c:v>sept-15</c:v>
                </c:pt>
                <c:pt idx="105">
                  <c:v>oct-15</c:v>
                </c:pt>
                <c:pt idx="106">
                  <c:v>nov-15</c:v>
                </c:pt>
                <c:pt idx="107">
                  <c:v>dec-15</c:v>
                </c:pt>
                <c:pt idx="108">
                  <c:v>ian-16</c:v>
                </c:pt>
                <c:pt idx="109">
                  <c:v>febr-16</c:v>
                </c:pt>
                <c:pt idx="110">
                  <c:v>mar-16</c:v>
                </c:pt>
                <c:pt idx="111">
                  <c:v>apr-16</c:v>
                </c:pt>
                <c:pt idx="112">
                  <c:v>mai-16</c:v>
                </c:pt>
                <c:pt idx="113">
                  <c:v>iun-16</c:v>
                </c:pt>
                <c:pt idx="114">
                  <c:v>iul-16</c:v>
                </c:pt>
                <c:pt idx="115">
                  <c:v>aug-16</c:v>
                </c:pt>
                <c:pt idx="116">
                  <c:v>sept-16</c:v>
                </c:pt>
                <c:pt idx="117">
                  <c:v>oct-16</c:v>
                </c:pt>
                <c:pt idx="118">
                  <c:v>nov-16</c:v>
                </c:pt>
                <c:pt idx="119">
                  <c:v>dec-16</c:v>
                </c:pt>
                <c:pt idx="120">
                  <c:v>ian-17</c:v>
                </c:pt>
                <c:pt idx="121">
                  <c:v>febr-17</c:v>
                </c:pt>
                <c:pt idx="122">
                  <c:v>mar-17</c:v>
                </c:pt>
                <c:pt idx="123">
                  <c:v>apr-17</c:v>
                </c:pt>
                <c:pt idx="124">
                  <c:v>mai-17</c:v>
                </c:pt>
                <c:pt idx="125">
                  <c:v>iun-17</c:v>
                </c:pt>
                <c:pt idx="126">
                  <c:v>iul-17</c:v>
                </c:pt>
                <c:pt idx="127">
                  <c:v>aug-17</c:v>
                </c:pt>
                <c:pt idx="128">
                  <c:v>sept-17</c:v>
                </c:pt>
                <c:pt idx="129">
                  <c:v>oct-17</c:v>
                </c:pt>
                <c:pt idx="130">
                  <c:v>nov-17</c:v>
                </c:pt>
                <c:pt idx="131">
                  <c:v>dec-17</c:v>
                </c:pt>
                <c:pt idx="132">
                  <c:v>ian-18</c:v>
                </c:pt>
                <c:pt idx="133">
                  <c:v>febr-18</c:v>
                </c:pt>
                <c:pt idx="134">
                  <c:v>mar-18</c:v>
                </c:pt>
                <c:pt idx="135">
                  <c:v>apr-18</c:v>
                </c:pt>
                <c:pt idx="136">
                  <c:v>mai-18</c:v>
                </c:pt>
                <c:pt idx="137">
                  <c:v>iun-18</c:v>
                </c:pt>
                <c:pt idx="138">
                  <c:v>iul-18</c:v>
                </c:pt>
                <c:pt idx="139">
                  <c:v>aug-18</c:v>
                </c:pt>
                <c:pt idx="140">
                  <c:v>sept-18</c:v>
                </c:pt>
                <c:pt idx="141">
                  <c:v>oct-18</c:v>
                </c:pt>
                <c:pt idx="142">
                  <c:v>nov-18</c:v>
                </c:pt>
                <c:pt idx="143">
                  <c:v>dec-18</c:v>
                </c:pt>
                <c:pt idx="144">
                  <c:v>ian-19</c:v>
                </c:pt>
                <c:pt idx="145">
                  <c:v>febr-19</c:v>
                </c:pt>
                <c:pt idx="146">
                  <c:v>mar-19</c:v>
                </c:pt>
                <c:pt idx="147">
                  <c:v>apr-19</c:v>
                </c:pt>
                <c:pt idx="148">
                  <c:v>mai-19</c:v>
                </c:pt>
                <c:pt idx="149">
                  <c:v>iun-19</c:v>
                </c:pt>
                <c:pt idx="150">
                  <c:v>iul-19</c:v>
                </c:pt>
                <c:pt idx="151">
                  <c:v>aug-19</c:v>
                </c:pt>
                <c:pt idx="152">
                  <c:v>sept-19</c:v>
                </c:pt>
                <c:pt idx="153">
                  <c:v>oct-19</c:v>
                </c:pt>
                <c:pt idx="154">
                  <c:v>nov-19</c:v>
                </c:pt>
                <c:pt idx="155">
                  <c:v>dec-19</c:v>
                </c:pt>
                <c:pt idx="156">
                  <c:v>ian-20</c:v>
                </c:pt>
                <c:pt idx="157">
                  <c:v>febr-20</c:v>
                </c:pt>
                <c:pt idx="158">
                  <c:v>mar-20</c:v>
                </c:pt>
                <c:pt idx="159">
                  <c:v>apr-20</c:v>
                </c:pt>
                <c:pt idx="160">
                  <c:v>mai-20</c:v>
                </c:pt>
                <c:pt idx="161">
                  <c:v>iun-20</c:v>
                </c:pt>
                <c:pt idx="162">
                  <c:v>iul-20</c:v>
                </c:pt>
                <c:pt idx="163">
                  <c:v>aug-20</c:v>
                </c:pt>
                <c:pt idx="164">
                  <c:v>sept-20</c:v>
                </c:pt>
                <c:pt idx="165">
                  <c:v>oct-20</c:v>
                </c:pt>
                <c:pt idx="166">
                  <c:v>nov-20</c:v>
                </c:pt>
                <c:pt idx="167">
                  <c:v>dec-20</c:v>
                </c:pt>
                <c:pt idx="168">
                  <c:v>ian-21</c:v>
                </c:pt>
                <c:pt idx="169">
                  <c:v>febr-21</c:v>
                </c:pt>
                <c:pt idx="170">
                  <c:v>mar-21</c:v>
                </c:pt>
                <c:pt idx="171">
                  <c:v>apr-21</c:v>
                </c:pt>
                <c:pt idx="172">
                  <c:v>mai-21</c:v>
                </c:pt>
                <c:pt idx="173">
                  <c:v>iun-21</c:v>
                </c:pt>
                <c:pt idx="174">
                  <c:v>iul-21</c:v>
                </c:pt>
                <c:pt idx="175">
                  <c:v>aug-21</c:v>
                </c:pt>
                <c:pt idx="176">
                  <c:v>sept-21</c:v>
                </c:pt>
                <c:pt idx="177">
                  <c:v>oct-21</c:v>
                </c:pt>
                <c:pt idx="178">
                  <c:v>nov-21</c:v>
                </c:pt>
                <c:pt idx="179">
                  <c:v>dec-21</c:v>
                </c:pt>
                <c:pt idx="180">
                  <c:v>ian-22</c:v>
                </c:pt>
                <c:pt idx="181">
                  <c:v>febr-22</c:v>
                </c:pt>
                <c:pt idx="182">
                  <c:v>mar-22</c:v>
                </c:pt>
                <c:pt idx="183">
                  <c:v>apr-22</c:v>
                </c:pt>
                <c:pt idx="184">
                  <c:v>mai-22</c:v>
                </c:pt>
                <c:pt idx="185">
                  <c:v>iun-22</c:v>
                </c:pt>
                <c:pt idx="186">
                  <c:v>iul-22</c:v>
                </c:pt>
                <c:pt idx="187">
                  <c:v>aug-22</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pt idx="952">
                  <c:v/>
                </c:pt>
                <c:pt idx="953">
                  <c:v/>
                </c:pt>
                <c:pt idx="954">
                  <c:v/>
                </c:pt>
                <c:pt idx="955">
                  <c:v/>
                </c:pt>
                <c:pt idx="956">
                  <c:v/>
                </c:pt>
                <c:pt idx="957">
                  <c:v/>
                </c:pt>
                <c:pt idx="958">
                  <c:v/>
                </c:pt>
                <c:pt idx="959">
                  <c:v/>
                </c:pt>
                <c:pt idx="960">
                  <c:v/>
                </c:pt>
                <c:pt idx="961">
                  <c:v/>
                </c:pt>
                <c:pt idx="962">
                  <c:v/>
                </c:pt>
                <c:pt idx="963">
                  <c:v/>
                </c:pt>
                <c:pt idx="964">
                  <c:v/>
                </c:pt>
                <c:pt idx="965">
                  <c:v/>
                </c:pt>
                <c:pt idx="966">
                  <c:v/>
                </c:pt>
                <c:pt idx="967">
                  <c:v/>
                </c:pt>
                <c:pt idx="968">
                  <c:v/>
                </c:pt>
                <c:pt idx="969">
                  <c:v/>
                </c:pt>
                <c:pt idx="970">
                  <c:v/>
                </c:pt>
                <c:pt idx="971">
                  <c:v/>
                </c:pt>
                <c:pt idx="972">
                  <c:v/>
                </c:pt>
                <c:pt idx="973">
                  <c:v/>
                </c:pt>
                <c:pt idx="974">
                  <c:v/>
                </c:pt>
                <c:pt idx="975">
                  <c:v/>
                </c:pt>
                <c:pt idx="976">
                  <c:v/>
                </c:pt>
                <c:pt idx="977">
                  <c:v/>
                </c:pt>
                <c:pt idx="978">
                  <c:v/>
                </c:pt>
                <c:pt idx="979">
                  <c:v/>
                </c:pt>
                <c:pt idx="980">
                  <c:v/>
                </c:pt>
                <c:pt idx="981">
                  <c:v/>
                </c:pt>
                <c:pt idx="982">
                  <c:v/>
                </c:pt>
                <c:pt idx="983">
                  <c:v/>
                </c:pt>
                <c:pt idx="984">
                  <c:v/>
                </c:pt>
                <c:pt idx="985">
                  <c:v/>
                </c:pt>
                <c:pt idx="986">
                  <c:v/>
                </c:pt>
                <c:pt idx="987">
                  <c:v/>
                </c:pt>
                <c:pt idx="988">
                  <c:v/>
                </c:pt>
                <c:pt idx="989">
                  <c:v/>
                </c:pt>
                <c:pt idx="990">
                  <c:v/>
                </c:pt>
                <c:pt idx="991">
                  <c:v/>
                </c:pt>
                <c:pt idx="992">
                  <c:v/>
                </c:pt>
                <c:pt idx="993">
                  <c:v/>
                </c:pt>
                <c:pt idx="994">
                  <c:v/>
                </c:pt>
                <c:pt idx="995">
                  <c:v/>
                </c:pt>
                <c:pt idx="996">
                  <c:v/>
                </c:pt>
                <c:pt idx="997">
                  <c:v/>
                </c:pt>
                <c:pt idx="998">
                  <c:v/>
                </c:pt>
                <c:pt idx="999">
                  <c:v/>
                </c:pt>
                <c:pt idx="1000">
                  <c:v/>
                </c:pt>
                <c:pt idx="1001">
                  <c:v/>
                </c:pt>
                <c:pt idx="1002">
                  <c:v/>
                </c:pt>
                <c:pt idx="1003">
                  <c:v/>
                </c:pt>
                <c:pt idx="1004">
                  <c:v/>
                </c:pt>
                <c:pt idx="1005">
                  <c:v/>
                </c:pt>
                <c:pt idx="1006">
                  <c:v/>
                </c:pt>
                <c:pt idx="1007">
                  <c:v/>
                </c:pt>
                <c:pt idx="1008">
                  <c:v/>
                </c:pt>
                <c:pt idx="1009">
                  <c:v/>
                </c:pt>
                <c:pt idx="1010">
                  <c:v/>
                </c:pt>
                <c:pt idx="1011">
                  <c:v/>
                </c:pt>
                <c:pt idx="1012">
                  <c:v/>
                </c:pt>
                <c:pt idx="1013">
                  <c:v/>
                </c:pt>
                <c:pt idx="1014">
                  <c:v/>
                </c:pt>
                <c:pt idx="1015">
                  <c:v/>
                </c:pt>
                <c:pt idx="1016">
                  <c:v/>
                </c:pt>
                <c:pt idx="1017">
                  <c:v/>
                </c:pt>
                <c:pt idx="1018">
                  <c:v/>
                </c:pt>
                <c:pt idx="1019">
                  <c:v/>
                </c:pt>
                <c:pt idx="1020">
                  <c:v/>
                </c:pt>
                <c:pt idx="1021">
                  <c:v/>
                </c:pt>
                <c:pt idx="1022">
                  <c:v/>
                </c:pt>
                <c:pt idx="1023">
                  <c:v/>
                </c:pt>
                <c:pt idx="1024">
                  <c:v/>
                </c:pt>
                <c:pt idx="1025">
                  <c:v/>
                </c:pt>
                <c:pt idx="1026">
                  <c:v/>
                </c:pt>
                <c:pt idx="1027">
                  <c:v/>
                </c:pt>
                <c:pt idx="1028">
                  <c:v/>
                </c:pt>
                <c:pt idx="1029">
                  <c:v/>
                </c:pt>
                <c:pt idx="1030">
                  <c:v/>
                </c:pt>
                <c:pt idx="1031">
                  <c:v/>
                </c:pt>
                <c:pt idx="1032">
                  <c:v/>
                </c:pt>
                <c:pt idx="1033">
                  <c:v/>
                </c:pt>
                <c:pt idx="1034">
                  <c:v/>
                </c:pt>
                <c:pt idx="1035">
                  <c:v/>
                </c:pt>
                <c:pt idx="1036">
                  <c:v/>
                </c:pt>
                <c:pt idx="1037">
                  <c:v/>
                </c:pt>
                <c:pt idx="1038">
                  <c:v/>
                </c:pt>
                <c:pt idx="1039">
                  <c:v/>
                </c:pt>
                <c:pt idx="1040">
                  <c:v/>
                </c:pt>
                <c:pt idx="1041">
                  <c:v/>
                </c:pt>
                <c:pt idx="1042">
                  <c:v/>
                </c:pt>
                <c:pt idx="1043">
                  <c:v/>
                </c:pt>
                <c:pt idx="1044">
                  <c:v/>
                </c:pt>
                <c:pt idx="1045">
                  <c:v/>
                </c:pt>
                <c:pt idx="1046">
                  <c:v/>
                </c:pt>
                <c:pt idx="1047">
                  <c:v/>
                </c:pt>
                <c:pt idx="1048">
                  <c:v/>
                </c:pt>
                <c:pt idx="1049">
                  <c:v/>
                </c:pt>
                <c:pt idx="1050">
                  <c:v/>
                </c:pt>
                <c:pt idx="1051">
                  <c:v/>
                </c:pt>
                <c:pt idx="1052">
                  <c:v/>
                </c:pt>
                <c:pt idx="1053">
                  <c:v/>
                </c:pt>
                <c:pt idx="1054">
                  <c:v/>
                </c:pt>
                <c:pt idx="1055">
                  <c:v/>
                </c:pt>
                <c:pt idx="1056">
                  <c:v/>
                </c:pt>
                <c:pt idx="1057">
                  <c:v/>
                </c:pt>
                <c:pt idx="1058">
                  <c:v/>
                </c:pt>
                <c:pt idx="1059">
                  <c:v/>
                </c:pt>
                <c:pt idx="1060">
                  <c:v/>
                </c:pt>
                <c:pt idx="1061">
                  <c:v/>
                </c:pt>
                <c:pt idx="1062">
                  <c:v/>
                </c:pt>
                <c:pt idx="1063">
                  <c:v/>
                </c:pt>
                <c:pt idx="1064">
                  <c:v/>
                </c:pt>
                <c:pt idx="1065">
                  <c:v/>
                </c:pt>
                <c:pt idx="1066">
                  <c:v/>
                </c:pt>
                <c:pt idx="1067">
                  <c:v/>
                </c:pt>
                <c:pt idx="1068">
                  <c:v/>
                </c:pt>
                <c:pt idx="1069">
                  <c:v/>
                </c:pt>
                <c:pt idx="1070">
                  <c:v/>
                </c:pt>
                <c:pt idx="1071">
                  <c:v/>
                </c:pt>
                <c:pt idx="1072">
                  <c:v/>
                </c:pt>
                <c:pt idx="1073">
                  <c:v/>
                </c:pt>
                <c:pt idx="1074">
                  <c:v/>
                </c:pt>
                <c:pt idx="1075">
                  <c:v/>
                </c:pt>
                <c:pt idx="1076">
                  <c:v/>
                </c:pt>
                <c:pt idx="1077">
                  <c:v/>
                </c:pt>
                <c:pt idx="1078">
                  <c:v/>
                </c:pt>
                <c:pt idx="1079">
                  <c:v/>
                </c:pt>
                <c:pt idx="1080">
                  <c:v/>
                </c:pt>
                <c:pt idx="1081">
                  <c:v/>
                </c:pt>
                <c:pt idx="1082">
                  <c:v/>
                </c:pt>
                <c:pt idx="1083">
                  <c:v/>
                </c:pt>
                <c:pt idx="1084">
                  <c:v/>
                </c:pt>
                <c:pt idx="1085">
                  <c:v/>
                </c:pt>
                <c:pt idx="1086">
                  <c:v/>
                </c:pt>
                <c:pt idx="1087">
                  <c:v/>
                </c:pt>
                <c:pt idx="1088">
                  <c:v/>
                </c:pt>
                <c:pt idx="1089">
                  <c:v/>
                </c:pt>
                <c:pt idx="1090">
                  <c:v/>
                </c:pt>
                <c:pt idx="1091">
                  <c:v/>
                </c:pt>
                <c:pt idx="1092">
                  <c:v/>
                </c:pt>
                <c:pt idx="1093">
                  <c:v/>
                </c:pt>
                <c:pt idx="1094">
                  <c:v/>
                </c:pt>
                <c:pt idx="1095">
                  <c:v/>
                </c:pt>
                <c:pt idx="1096">
                  <c:v/>
                </c:pt>
                <c:pt idx="1097">
                  <c:v/>
                </c:pt>
                <c:pt idx="1098">
                  <c:v/>
                </c:pt>
                <c:pt idx="1099">
                  <c:v/>
                </c:pt>
                <c:pt idx="1100">
                  <c:v/>
                </c:pt>
                <c:pt idx="1101">
                  <c:v/>
                </c:pt>
                <c:pt idx="1102">
                  <c:v/>
                </c:pt>
                <c:pt idx="1103">
                  <c:v/>
                </c:pt>
                <c:pt idx="1104">
                  <c:v/>
                </c:pt>
                <c:pt idx="1105">
                  <c:v/>
                </c:pt>
                <c:pt idx="1106">
                  <c:v/>
                </c:pt>
                <c:pt idx="1107">
                  <c:v/>
                </c:pt>
                <c:pt idx="1108">
                  <c:v/>
                </c:pt>
                <c:pt idx="1109">
                  <c:v/>
                </c:pt>
                <c:pt idx="1110">
                  <c:v/>
                </c:pt>
                <c:pt idx="1111">
                  <c:v/>
                </c:pt>
                <c:pt idx="1112">
                  <c:v/>
                </c:pt>
                <c:pt idx="1113">
                  <c:v/>
                </c:pt>
                <c:pt idx="1114">
                  <c:v/>
                </c:pt>
                <c:pt idx="1115">
                  <c:v/>
                </c:pt>
                <c:pt idx="1116">
                  <c:v/>
                </c:pt>
                <c:pt idx="1117">
                  <c:v/>
                </c:pt>
                <c:pt idx="1118">
                  <c:v/>
                </c:pt>
                <c:pt idx="1119">
                  <c:v/>
                </c:pt>
                <c:pt idx="1120">
                  <c:v/>
                </c:pt>
                <c:pt idx="1121">
                  <c:v/>
                </c:pt>
                <c:pt idx="1122">
                  <c:v/>
                </c:pt>
                <c:pt idx="1123">
                  <c:v/>
                </c:pt>
                <c:pt idx="1124">
                  <c:v/>
                </c:pt>
                <c:pt idx="1125">
                  <c:v/>
                </c:pt>
                <c:pt idx="1126">
                  <c:v/>
                </c:pt>
                <c:pt idx="1127">
                  <c:v/>
                </c:pt>
                <c:pt idx="1128">
                  <c:v/>
                </c:pt>
                <c:pt idx="1129">
                  <c:v/>
                </c:pt>
                <c:pt idx="1130">
                  <c:v/>
                </c:pt>
                <c:pt idx="1131">
                  <c:v/>
                </c:pt>
                <c:pt idx="1132">
                  <c:v/>
                </c:pt>
                <c:pt idx="1133">
                  <c:v/>
                </c:pt>
                <c:pt idx="1134">
                  <c:v/>
                </c:pt>
                <c:pt idx="1135">
                  <c:v/>
                </c:pt>
                <c:pt idx="1136">
                  <c:v/>
                </c:pt>
                <c:pt idx="1137">
                  <c:v/>
                </c:pt>
                <c:pt idx="1138">
                  <c:v/>
                </c:pt>
                <c:pt idx="1139">
                  <c:v/>
                </c:pt>
                <c:pt idx="1140">
                  <c:v/>
                </c:pt>
                <c:pt idx="1141">
                  <c:v/>
                </c:pt>
                <c:pt idx="1142">
                  <c:v/>
                </c:pt>
                <c:pt idx="1143">
                  <c:v/>
                </c:pt>
                <c:pt idx="1144">
                  <c:v/>
                </c:pt>
                <c:pt idx="1145">
                  <c:v/>
                </c:pt>
                <c:pt idx="1146">
                  <c:v/>
                </c:pt>
                <c:pt idx="1147">
                  <c:v/>
                </c:pt>
                <c:pt idx="1148">
                  <c:v/>
                </c:pt>
                <c:pt idx="1149">
                  <c:v/>
                </c:pt>
                <c:pt idx="1150">
                  <c:v/>
                </c:pt>
                <c:pt idx="1151">
                  <c:v/>
                </c:pt>
                <c:pt idx="1152">
                  <c:v/>
                </c:pt>
                <c:pt idx="1153">
                  <c:v/>
                </c:pt>
                <c:pt idx="1154">
                  <c:v/>
                </c:pt>
                <c:pt idx="1155">
                  <c:v/>
                </c:pt>
                <c:pt idx="1156">
                  <c:v/>
                </c:pt>
                <c:pt idx="1157">
                  <c:v/>
                </c:pt>
                <c:pt idx="1158">
                  <c:v/>
                </c:pt>
                <c:pt idx="1159">
                  <c:v/>
                </c:pt>
                <c:pt idx="1160">
                  <c:v/>
                </c:pt>
                <c:pt idx="1161">
                  <c:v/>
                </c:pt>
                <c:pt idx="1162">
                  <c:v/>
                </c:pt>
                <c:pt idx="1163">
                  <c:v/>
                </c:pt>
                <c:pt idx="1164">
                  <c:v/>
                </c:pt>
                <c:pt idx="1165">
                  <c:v/>
                </c:pt>
                <c:pt idx="1166">
                  <c:v/>
                </c:pt>
                <c:pt idx="1167">
                  <c:v/>
                </c:pt>
                <c:pt idx="1168">
                  <c:v/>
                </c:pt>
                <c:pt idx="1169">
                  <c:v/>
                </c:pt>
                <c:pt idx="1170">
                  <c:v/>
                </c:pt>
                <c:pt idx="1171">
                  <c:v/>
                </c:pt>
                <c:pt idx="1172">
                  <c:v/>
                </c:pt>
                <c:pt idx="1173">
                  <c:v/>
                </c:pt>
                <c:pt idx="1174">
                  <c:v/>
                </c:pt>
                <c:pt idx="1175">
                  <c:v/>
                </c:pt>
                <c:pt idx="1176">
                  <c:v/>
                </c:pt>
                <c:pt idx="1177">
                  <c:v/>
                </c:pt>
                <c:pt idx="1178">
                  <c:v/>
                </c:pt>
                <c:pt idx="1179">
                  <c:v/>
                </c:pt>
                <c:pt idx="1180">
                  <c:v/>
                </c:pt>
                <c:pt idx="1181">
                  <c:v/>
                </c:pt>
                <c:pt idx="1182">
                  <c:v/>
                </c:pt>
                <c:pt idx="1183">
                  <c:v/>
                </c:pt>
                <c:pt idx="1184">
                  <c:v/>
                </c:pt>
                <c:pt idx="1185">
                  <c:v/>
                </c:pt>
                <c:pt idx="1186">
                  <c:v/>
                </c:pt>
                <c:pt idx="1187">
                  <c:v/>
                </c:pt>
                <c:pt idx="1188">
                  <c:v/>
                </c:pt>
                <c:pt idx="1189">
                  <c:v/>
                </c:pt>
                <c:pt idx="1190">
                  <c:v/>
                </c:pt>
                <c:pt idx="1191">
                  <c:v/>
                </c:pt>
                <c:pt idx="1192">
                  <c:v/>
                </c:pt>
                <c:pt idx="1193">
                  <c:v/>
                </c:pt>
                <c:pt idx="1194">
                  <c:v/>
                </c:pt>
                <c:pt idx="1195">
                  <c:v/>
                </c:pt>
                <c:pt idx="1196">
                  <c:v/>
                </c:pt>
                <c:pt idx="1197">
                  <c:v/>
                </c:pt>
                <c:pt idx="1198">
                  <c:v/>
                </c:pt>
                <c:pt idx="1199">
                  <c:v/>
                </c:pt>
                <c:pt idx="1200">
                  <c:v/>
                </c:pt>
                <c:pt idx="1201">
                  <c:v/>
                </c:pt>
                <c:pt idx="1202">
                  <c:v/>
                </c:pt>
                <c:pt idx="1203">
                  <c:v/>
                </c:pt>
                <c:pt idx="1204">
                  <c:v/>
                </c:pt>
                <c:pt idx="1205">
                  <c:v/>
                </c:pt>
                <c:pt idx="1206">
                  <c:v/>
                </c:pt>
                <c:pt idx="1207">
                  <c:v/>
                </c:pt>
                <c:pt idx="1208">
                  <c:v/>
                </c:pt>
                <c:pt idx="1209">
                  <c:v/>
                </c:pt>
                <c:pt idx="1210">
                  <c:v/>
                </c:pt>
                <c:pt idx="1211">
                  <c:v/>
                </c:pt>
                <c:pt idx="1212">
                  <c:v/>
                </c:pt>
                <c:pt idx="1213">
                  <c:v/>
                </c:pt>
                <c:pt idx="1214">
                  <c:v/>
                </c:pt>
                <c:pt idx="1215">
                  <c:v/>
                </c:pt>
              </c:strCache>
            </c:strRef>
          </c:cat>
          <c:val>
            <c:numRef>
              <c:f>1</c:f>
              <c:numCache>
                <c:formatCode>General</c:formatCode>
                <c:ptCount val="1216"/>
                <c:pt idx="0">
                  <c:v>110.5</c:v>
                </c:pt>
                <c:pt idx="1">
                  <c:v>111.8</c:v>
                </c:pt>
                <c:pt idx="2">
                  <c:v>110.5</c:v>
                </c:pt>
                <c:pt idx="3">
                  <c:v>113.2</c:v>
                </c:pt>
                <c:pt idx="4">
                  <c:v>114</c:v>
                </c:pt>
                <c:pt idx="5">
                  <c:v>111.8</c:v>
                </c:pt>
                <c:pt idx="6">
                  <c:v>111.9</c:v>
                </c:pt>
                <c:pt idx="7">
                  <c:v>112.3</c:v>
                </c:pt>
                <c:pt idx="8">
                  <c:v>112.1</c:v>
                </c:pt>
                <c:pt idx="9">
                  <c:v>112.5</c:v>
                </c:pt>
                <c:pt idx="10">
                  <c:v>111.6</c:v>
                </c:pt>
                <c:pt idx="11">
                  <c:v>111.3</c:v>
                </c:pt>
                <c:pt idx="12">
                  <c:v>109.9</c:v>
                </c:pt>
                <c:pt idx="13">
                  <c:v>109.8</c:v>
                </c:pt>
                <c:pt idx="14">
                  <c:v>107.8</c:v>
                </c:pt>
                <c:pt idx="15">
                  <c:v>110.1</c:v>
                </c:pt>
                <c:pt idx="16">
                  <c:v>108</c:v>
                </c:pt>
                <c:pt idx="17">
                  <c:v>107</c:v>
                </c:pt>
                <c:pt idx="18">
                  <c:v>107.2</c:v>
                </c:pt>
                <c:pt idx="19">
                  <c:v>107.4</c:v>
                </c:pt>
                <c:pt idx="20">
                  <c:v>106.3</c:v>
                </c:pt>
                <c:pt idx="21">
                  <c:v>106.5</c:v>
                </c:pt>
                <c:pt idx="22">
                  <c:v>94.2</c:v>
                </c:pt>
                <c:pt idx="23">
                  <c:v>89.3</c:v>
                </c:pt>
                <c:pt idx="24">
                  <c:v>86.4</c:v>
                </c:pt>
                <c:pt idx="25">
                  <c:v>77.3</c:v>
                </c:pt>
                <c:pt idx="26">
                  <c:v>73.9</c:v>
                </c:pt>
                <c:pt idx="27">
                  <c:v>75.3</c:v>
                </c:pt>
                <c:pt idx="28">
                  <c:v>80.2</c:v>
                </c:pt>
                <c:pt idx="29">
                  <c:v>80.1</c:v>
                </c:pt>
                <c:pt idx="30">
                  <c:v>79.8</c:v>
                </c:pt>
                <c:pt idx="31">
                  <c:v>81.2</c:v>
                </c:pt>
                <c:pt idx="32">
                  <c:v>83</c:v>
                </c:pt>
                <c:pt idx="33">
                  <c:v>79.2</c:v>
                </c:pt>
                <c:pt idx="34">
                  <c:v>80.6</c:v>
                </c:pt>
                <c:pt idx="35">
                  <c:v>84.8</c:v>
                </c:pt>
                <c:pt idx="36">
                  <c:v>84.3</c:v>
                </c:pt>
                <c:pt idx="37">
                  <c:v>84.2</c:v>
                </c:pt>
                <c:pt idx="38">
                  <c:v>85.9</c:v>
                </c:pt>
                <c:pt idx="39">
                  <c:v>86.5</c:v>
                </c:pt>
                <c:pt idx="40">
                  <c:v>79.7</c:v>
                </c:pt>
                <c:pt idx="41">
                  <c:v>79</c:v>
                </c:pt>
                <c:pt idx="42">
                  <c:v>80.5</c:v>
                </c:pt>
                <c:pt idx="43">
                  <c:v>83.5</c:v>
                </c:pt>
                <c:pt idx="44">
                  <c:v>83.1</c:v>
                </c:pt>
                <c:pt idx="45">
                  <c:v>84.6</c:v>
                </c:pt>
                <c:pt idx="46">
                  <c:v>86.3</c:v>
                </c:pt>
                <c:pt idx="47">
                  <c:v>87.5</c:v>
                </c:pt>
                <c:pt idx="48">
                  <c:v>88.4</c:v>
                </c:pt>
                <c:pt idx="49">
                  <c:v>87.7</c:v>
                </c:pt>
                <c:pt idx="50">
                  <c:v>91.1</c:v>
                </c:pt>
                <c:pt idx="51">
                  <c:v>89.7</c:v>
                </c:pt>
                <c:pt idx="52">
                  <c:v>91.9</c:v>
                </c:pt>
                <c:pt idx="53">
                  <c:v>91.2</c:v>
                </c:pt>
                <c:pt idx="54">
                  <c:v>92.5</c:v>
                </c:pt>
                <c:pt idx="55">
                  <c:v>91.7</c:v>
                </c:pt>
                <c:pt idx="56">
                  <c:v>91.7</c:v>
                </c:pt>
                <c:pt idx="57">
                  <c:v>91.5</c:v>
                </c:pt>
                <c:pt idx="58">
                  <c:v>92.3</c:v>
                </c:pt>
                <c:pt idx="59">
                  <c:v>90</c:v>
                </c:pt>
                <c:pt idx="60">
                  <c:v>93.6</c:v>
                </c:pt>
                <c:pt idx="61">
                  <c:v>91.1</c:v>
                </c:pt>
                <c:pt idx="62">
                  <c:v>90.6</c:v>
                </c:pt>
                <c:pt idx="63">
                  <c:v>93.1</c:v>
                </c:pt>
                <c:pt idx="64">
                  <c:v>95.4</c:v>
                </c:pt>
                <c:pt idx="65">
                  <c:v>95.3</c:v>
                </c:pt>
                <c:pt idx="66">
                  <c:v>93.4</c:v>
                </c:pt>
                <c:pt idx="67">
                  <c:v>93.2</c:v>
                </c:pt>
                <c:pt idx="68">
                  <c:v>91.3</c:v>
                </c:pt>
                <c:pt idx="69">
                  <c:v>91.3</c:v>
                </c:pt>
                <c:pt idx="70">
                  <c:v>93.2</c:v>
                </c:pt>
                <c:pt idx="71">
                  <c:v>94.1</c:v>
                </c:pt>
                <c:pt idx="72">
                  <c:v>93.5</c:v>
                </c:pt>
                <c:pt idx="73">
                  <c:v>94.2</c:v>
                </c:pt>
                <c:pt idx="74">
                  <c:v>93.8</c:v>
                </c:pt>
                <c:pt idx="75">
                  <c:v>93.6</c:v>
                </c:pt>
                <c:pt idx="76">
                  <c:v>93.3</c:v>
                </c:pt>
                <c:pt idx="77">
                  <c:v>94.4</c:v>
                </c:pt>
                <c:pt idx="78">
                  <c:v>92.7</c:v>
                </c:pt>
                <c:pt idx="79">
                  <c:v>92.8</c:v>
                </c:pt>
                <c:pt idx="80">
                  <c:v>95.7</c:v>
                </c:pt>
                <c:pt idx="81">
                  <c:v>93.2</c:v>
                </c:pt>
                <c:pt idx="82">
                  <c:v>93.4</c:v>
                </c:pt>
                <c:pt idx="83">
                  <c:v>94.3</c:v>
                </c:pt>
                <c:pt idx="84">
                  <c:v>94.2</c:v>
                </c:pt>
                <c:pt idx="85">
                  <c:v>96.9</c:v>
                </c:pt>
                <c:pt idx="86">
                  <c:v>97.1</c:v>
                </c:pt>
                <c:pt idx="87">
                  <c:v>95.5</c:v>
                </c:pt>
                <c:pt idx="88">
                  <c:v>96.7</c:v>
                </c:pt>
                <c:pt idx="89">
                  <c:v>96.1</c:v>
                </c:pt>
                <c:pt idx="90">
                  <c:v>98.9</c:v>
                </c:pt>
                <c:pt idx="91">
                  <c:v>99.8</c:v>
                </c:pt>
                <c:pt idx="92">
                  <c:v>98.9</c:v>
                </c:pt>
                <c:pt idx="93">
                  <c:v>100.6</c:v>
                </c:pt>
                <c:pt idx="94">
                  <c:v>99.9</c:v>
                </c:pt>
                <c:pt idx="95">
                  <c:v>101.9</c:v>
                </c:pt>
                <c:pt idx="96">
                  <c:v>101.8</c:v>
                </c:pt>
                <c:pt idx="97">
                  <c:v>101.6</c:v>
                </c:pt>
                <c:pt idx="98">
                  <c:v>101.1</c:v>
                </c:pt>
                <c:pt idx="99">
                  <c:v>102.9</c:v>
                </c:pt>
                <c:pt idx="100">
                  <c:v>103</c:v>
                </c:pt>
                <c:pt idx="101">
                  <c:v>103.5</c:v>
                </c:pt>
                <c:pt idx="102">
                  <c:v>103.7</c:v>
                </c:pt>
                <c:pt idx="103">
                  <c:v>103.7</c:v>
                </c:pt>
                <c:pt idx="104">
                  <c:v>103.7</c:v>
                </c:pt>
                <c:pt idx="105">
                  <c:v>104.4</c:v>
                </c:pt>
                <c:pt idx="106">
                  <c:v>102.7</c:v>
                </c:pt>
                <c:pt idx="107">
                  <c:v>103.1</c:v>
                </c:pt>
                <c:pt idx="108">
                  <c:v>104</c:v>
                </c:pt>
                <c:pt idx="109">
                  <c:v>103.2</c:v>
                </c:pt>
                <c:pt idx="110">
                  <c:v>103.1</c:v>
                </c:pt>
                <c:pt idx="111">
                  <c:v>104.6</c:v>
                </c:pt>
                <c:pt idx="112">
                  <c:v>104.2</c:v>
                </c:pt>
                <c:pt idx="113">
                  <c:v>104.7</c:v>
                </c:pt>
                <c:pt idx="114">
                  <c:v>103.9</c:v>
                </c:pt>
                <c:pt idx="115">
                  <c:v>104.3</c:v>
                </c:pt>
                <c:pt idx="116">
                  <c:v>103.3</c:v>
                </c:pt>
                <c:pt idx="117">
                  <c:v>103</c:v>
                </c:pt>
                <c:pt idx="118">
                  <c:v>105.3</c:v>
                </c:pt>
                <c:pt idx="119">
                  <c:v>104.4</c:v>
                </c:pt>
                <c:pt idx="120">
                  <c:v>104.2</c:v>
                </c:pt>
                <c:pt idx="121">
                  <c:v>105.9</c:v>
                </c:pt>
                <c:pt idx="122">
                  <c:v>107.2</c:v>
                </c:pt>
                <c:pt idx="123">
                  <c:v>106.6</c:v>
                </c:pt>
                <c:pt idx="124">
                  <c:v>106.6</c:v>
                </c:pt>
                <c:pt idx="125">
                  <c:v>106</c:v>
                </c:pt>
                <c:pt idx="126">
                  <c:v>106.7</c:v>
                </c:pt>
                <c:pt idx="127">
                  <c:v>106.6</c:v>
                </c:pt>
                <c:pt idx="128">
                  <c:v>106.3</c:v>
                </c:pt>
                <c:pt idx="129">
                  <c:v>105.8</c:v>
                </c:pt>
                <c:pt idx="130">
                  <c:v>105</c:v>
                </c:pt>
                <c:pt idx="131">
                  <c:v>104.6</c:v>
                </c:pt>
                <c:pt idx="132">
                  <c:v>104.1</c:v>
                </c:pt>
                <c:pt idx="133">
                  <c:v>103.6</c:v>
                </c:pt>
                <c:pt idx="134">
                  <c:v>102.8</c:v>
                </c:pt>
                <c:pt idx="135">
                  <c:v>102.7</c:v>
                </c:pt>
                <c:pt idx="136">
                  <c:v>102.8</c:v>
                </c:pt>
                <c:pt idx="137">
                  <c:v>102</c:v>
                </c:pt>
                <c:pt idx="138">
                  <c:v>101.2</c:v>
                </c:pt>
                <c:pt idx="139">
                  <c:v>102.2</c:v>
                </c:pt>
                <c:pt idx="140">
                  <c:v>104.5</c:v>
                </c:pt>
                <c:pt idx="141">
                  <c:v>103.8</c:v>
                </c:pt>
                <c:pt idx="142">
                  <c:v>102.6</c:v>
                </c:pt>
                <c:pt idx="143">
                  <c:v>102.5</c:v>
                </c:pt>
                <c:pt idx="144">
                  <c:v>102.2</c:v>
                </c:pt>
                <c:pt idx="145">
                  <c:v>103.1</c:v>
                </c:pt>
                <c:pt idx="146">
                  <c:v>104.8</c:v>
                </c:pt>
                <c:pt idx="147">
                  <c:v>103.9</c:v>
                </c:pt>
                <c:pt idx="148">
                  <c:v>103.2</c:v>
                </c:pt>
                <c:pt idx="149">
                  <c:v>104.3</c:v>
                </c:pt>
                <c:pt idx="150">
                  <c:v>104.8</c:v>
                </c:pt>
                <c:pt idx="151">
                  <c:v>103.7</c:v>
                </c:pt>
                <c:pt idx="152">
                  <c:v>103.5</c:v>
                </c:pt>
                <c:pt idx="153">
                  <c:v>103.6</c:v>
                </c:pt>
                <c:pt idx="154">
                  <c:v>105.4</c:v>
                </c:pt>
                <c:pt idx="155">
                  <c:v>105.5</c:v>
                </c:pt>
                <c:pt idx="156">
                  <c:v>104.8</c:v>
                </c:pt>
                <c:pt idx="157">
                  <c:v>103.9</c:v>
                </c:pt>
                <c:pt idx="158">
                  <c:v>100.2</c:v>
                </c:pt>
                <c:pt idx="159">
                  <c:v>60.4</c:v>
                </c:pt>
                <c:pt idx="160">
                  <c:v>67.1</c:v>
                </c:pt>
                <c:pt idx="161">
                  <c:v>79.4</c:v>
                </c:pt>
                <c:pt idx="162">
                  <c:v>85.7</c:v>
                </c:pt>
                <c:pt idx="163">
                  <c:v>89.9</c:v>
                </c:pt>
                <c:pt idx="164">
                  <c:v>92</c:v>
                </c:pt>
                <c:pt idx="165">
                  <c:v>92</c:v>
                </c:pt>
                <c:pt idx="166">
                  <c:v>90.4</c:v>
                </c:pt>
                <c:pt idx="167">
                  <c:v>91.9</c:v>
                </c:pt>
                <c:pt idx="168">
                  <c:v>94.5</c:v>
                </c:pt>
                <c:pt idx="169">
                  <c:v>95.5</c:v>
                </c:pt>
                <c:pt idx="170">
                  <c:v>96</c:v>
                </c:pt>
                <c:pt idx="171">
                  <c:v>96.7</c:v>
                </c:pt>
                <c:pt idx="172">
                  <c:v>100.1</c:v>
                </c:pt>
                <c:pt idx="173">
                  <c:v>99.9</c:v>
                </c:pt>
                <c:pt idx="174">
                  <c:v>101.4</c:v>
                </c:pt>
                <c:pt idx="175">
                  <c:v>101.4</c:v>
                </c:pt>
                <c:pt idx="176">
                  <c:v>101.2</c:v>
                </c:pt>
                <c:pt idx="177">
                  <c:v>101.6</c:v>
                </c:pt>
                <c:pt idx="178">
                  <c:v>101.7</c:v>
                </c:pt>
                <c:pt idx="179">
                  <c:v>103.4</c:v>
                </c:pt>
                <c:pt idx="180">
                  <c:v>102.2</c:v>
                </c:pt>
                <c:pt idx="181">
                  <c:v>102.4</c:v>
                </c:pt>
                <c:pt idx="182">
                  <c:v>103.1</c:v>
                </c:pt>
                <c:pt idx="183">
                  <c:v>103.6</c:v>
                </c:pt>
                <c:pt idx="184">
                  <c:v>101.8</c:v>
                </c:pt>
                <c:pt idx="185">
                  <c:v>100.8</c:v>
                </c:pt>
                <c:pt idx="186">
                  <c:v>101.1</c:v>
                </c:pt>
                <c:pt idx="187">
                  <c:v>100.1</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pt idx="952">
                  <c:v/>
                </c:pt>
                <c:pt idx="953">
                  <c:v/>
                </c:pt>
                <c:pt idx="954">
                  <c:v/>
                </c:pt>
                <c:pt idx="955">
                  <c:v/>
                </c:pt>
                <c:pt idx="956">
                  <c:v/>
                </c:pt>
                <c:pt idx="957">
                  <c:v/>
                </c:pt>
                <c:pt idx="958">
                  <c:v/>
                </c:pt>
                <c:pt idx="959">
                  <c:v/>
                </c:pt>
                <c:pt idx="960">
                  <c:v/>
                </c:pt>
                <c:pt idx="961">
                  <c:v/>
                </c:pt>
                <c:pt idx="962">
                  <c:v/>
                </c:pt>
                <c:pt idx="963">
                  <c:v/>
                </c:pt>
                <c:pt idx="964">
                  <c:v/>
                </c:pt>
                <c:pt idx="965">
                  <c:v/>
                </c:pt>
                <c:pt idx="966">
                  <c:v/>
                </c:pt>
                <c:pt idx="967">
                  <c:v/>
                </c:pt>
                <c:pt idx="968">
                  <c:v/>
                </c:pt>
                <c:pt idx="969">
                  <c:v/>
                </c:pt>
                <c:pt idx="970">
                  <c:v/>
                </c:pt>
                <c:pt idx="971">
                  <c:v/>
                </c:pt>
                <c:pt idx="972">
                  <c:v/>
                </c:pt>
                <c:pt idx="973">
                  <c:v/>
                </c:pt>
                <c:pt idx="974">
                  <c:v/>
                </c:pt>
                <c:pt idx="975">
                  <c:v/>
                </c:pt>
                <c:pt idx="976">
                  <c:v/>
                </c:pt>
                <c:pt idx="977">
                  <c:v/>
                </c:pt>
                <c:pt idx="978">
                  <c:v/>
                </c:pt>
                <c:pt idx="979">
                  <c:v/>
                </c:pt>
                <c:pt idx="980">
                  <c:v/>
                </c:pt>
                <c:pt idx="981">
                  <c:v/>
                </c:pt>
                <c:pt idx="982">
                  <c:v/>
                </c:pt>
                <c:pt idx="983">
                  <c:v/>
                </c:pt>
                <c:pt idx="984">
                  <c:v/>
                </c:pt>
                <c:pt idx="985">
                  <c:v/>
                </c:pt>
                <c:pt idx="986">
                  <c:v/>
                </c:pt>
                <c:pt idx="987">
                  <c:v/>
                </c:pt>
                <c:pt idx="988">
                  <c:v/>
                </c:pt>
                <c:pt idx="989">
                  <c:v/>
                </c:pt>
                <c:pt idx="990">
                  <c:v/>
                </c:pt>
                <c:pt idx="991">
                  <c:v/>
                </c:pt>
                <c:pt idx="992">
                  <c:v/>
                </c:pt>
                <c:pt idx="993">
                  <c:v/>
                </c:pt>
                <c:pt idx="994">
                  <c:v/>
                </c:pt>
                <c:pt idx="995">
                  <c:v/>
                </c:pt>
                <c:pt idx="996">
                  <c:v/>
                </c:pt>
                <c:pt idx="997">
                  <c:v/>
                </c:pt>
                <c:pt idx="998">
                  <c:v/>
                </c:pt>
                <c:pt idx="999">
                  <c:v/>
                </c:pt>
                <c:pt idx="1000">
                  <c:v/>
                </c:pt>
                <c:pt idx="1001">
                  <c:v/>
                </c:pt>
                <c:pt idx="1002">
                  <c:v/>
                </c:pt>
                <c:pt idx="1003">
                  <c:v/>
                </c:pt>
                <c:pt idx="1004">
                  <c:v/>
                </c:pt>
                <c:pt idx="1005">
                  <c:v/>
                </c:pt>
                <c:pt idx="1006">
                  <c:v/>
                </c:pt>
                <c:pt idx="1007">
                  <c:v/>
                </c:pt>
                <c:pt idx="1008">
                  <c:v/>
                </c:pt>
                <c:pt idx="1009">
                  <c:v/>
                </c:pt>
                <c:pt idx="1010">
                  <c:v/>
                </c:pt>
                <c:pt idx="1011">
                  <c:v/>
                </c:pt>
                <c:pt idx="1012">
                  <c:v/>
                </c:pt>
                <c:pt idx="1013">
                  <c:v/>
                </c:pt>
                <c:pt idx="1014">
                  <c:v/>
                </c:pt>
                <c:pt idx="1015">
                  <c:v/>
                </c:pt>
                <c:pt idx="1016">
                  <c:v/>
                </c:pt>
                <c:pt idx="1017">
                  <c:v/>
                </c:pt>
                <c:pt idx="1018">
                  <c:v/>
                </c:pt>
                <c:pt idx="1019">
                  <c:v/>
                </c:pt>
                <c:pt idx="1020">
                  <c:v/>
                </c:pt>
                <c:pt idx="1021">
                  <c:v/>
                </c:pt>
                <c:pt idx="1022">
                  <c:v/>
                </c:pt>
                <c:pt idx="1023">
                  <c:v/>
                </c:pt>
                <c:pt idx="1024">
                  <c:v/>
                </c:pt>
                <c:pt idx="1025">
                  <c:v/>
                </c:pt>
                <c:pt idx="1026">
                  <c:v/>
                </c:pt>
                <c:pt idx="1027">
                  <c:v/>
                </c:pt>
                <c:pt idx="1028">
                  <c:v/>
                </c:pt>
                <c:pt idx="1029">
                  <c:v/>
                </c:pt>
                <c:pt idx="1030">
                  <c:v/>
                </c:pt>
                <c:pt idx="1031">
                  <c:v/>
                </c:pt>
                <c:pt idx="1032">
                  <c:v/>
                </c:pt>
                <c:pt idx="1033">
                  <c:v/>
                </c:pt>
                <c:pt idx="1034">
                  <c:v/>
                </c:pt>
                <c:pt idx="1035">
                  <c:v/>
                </c:pt>
                <c:pt idx="1036">
                  <c:v/>
                </c:pt>
                <c:pt idx="1037">
                  <c:v/>
                </c:pt>
                <c:pt idx="1038">
                  <c:v/>
                </c:pt>
                <c:pt idx="1039">
                  <c:v/>
                </c:pt>
                <c:pt idx="1040">
                  <c:v/>
                </c:pt>
                <c:pt idx="1041">
                  <c:v/>
                </c:pt>
                <c:pt idx="1042">
                  <c:v/>
                </c:pt>
                <c:pt idx="1043">
                  <c:v/>
                </c:pt>
                <c:pt idx="1044">
                  <c:v/>
                </c:pt>
                <c:pt idx="1045">
                  <c:v/>
                </c:pt>
                <c:pt idx="1046">
                  <c:v/>
                </c:pt>
                <c:pt idx="1047">
                  <c:v/>
                </c:pt>
                <c:pt idx="1048">
                  <c:v/>
                </c:pt>
                <c:pt idx="1049">
                  <c:v/>
                </c:pt>
                <c:pt idx="1050">
                  <c:v/>
                </c:pt>
                <c:pt idx="1051">
                  <c:v/>
                </c:pt>
                <c:pt idx="1052">
                  <c:v/>
                </c:pt>
                <c:pt idx="1053">
                  <c:v/>
                </c:pt>
                <c:pt idx="1054">
                  <c:v/>
                </c:pt>
                <c:pt idx="1055">
                  <c:v/>
                </c:pt>
                <c:pt idx="1056">
                  <c:v/>
                </c:pt>
                <c:pt idx="1057">
                  <c:v/>
                </c:pt>
                <c:pt idx="1058">
                  <c:v/>
                </c:pt>
                <c:pt idx="1059">
                  <c:v/>
                </c:pt>
                <c:pt idx="1060">
                  <c:v/>
                </c:pt>
                <c:pt idx="1061">
                  <c:v/>
                </c:pt>
                <c:pt idx="1062">
                  <c:v/>
                </c:pt>
                <c:pt idx="1063">
                  <c:v/>
                </c:pt>
                <c:pt idx="1064">
                  <c:v/>
                </c:pt>
                <c:pt idx="1065">
                  <c:v/>
                </c:pt>
                <c:pt idx="1066">
                  <c:v/>
                </c:pt>
                <c:pt idx="1067">
                  <c:v/>
                </c:pt>
                <c:pt idx="1068">
                  <c:v/>
                </c:pt>
                <c:pt idx="1069">
                  <c:v/>
                </c:pt>
                <c:pt idx="1070">
                  <c:v/>
                </c:pt>
                <c:pt idx="1071">
                  <c:v/>
                </c:pt>
                <c:pt idx="1072">
                  <c:v/>
                </c:pt>
                <c:pt idx="1073">
                  <c:v/>
                </c:pt>
                <c:pt idx="1074">
                  <c:v/>
                </c:pt>
                <c:pt idx="1075">
                  <c:v/>
                </c:pt>
                <c:pt idx="1076">
                  <c:v/>
                </c:pt>
                <c:pt idx="1077">
                  <c:v/>
                </c:pt>
                <c:pt idx="1078">
                  <c:v/>
                </c:pt>
                <c:pt idx="1079">
                  <c:v/>
                </c:pt>
                <c:pt idx="1080">
                  <c:v/>
                </c:pt>
                <c:pt idx="1081">
                  <c:v/>
                </c:pt>
                <c:pt idx="1082">
                  <c:v/>
                </c:pt>
                <c:pt idx="1083">
                  <c:v/>
                </c:pt>
                <c:pt idx="1084">
                  <c:v/>
                </c:pt>
                <c:pt idx="1085">
                  <c:v/>
                </c:pt>
                <c:pt idx="1086">
                  <c:v/>
                </c:pt>
                <c:pt idx="1087">
                  <c:v/>
                </c:pt>
                <c:pt idx="1088">
                  <c:v/>
                </c:pt>
                <c:pt idx="1089">
                  <c:v/>
                </c:pt>
                <c:pt idx="1090">
                  <c:v/>
                </c:pt>
                <c:pt idx="1091">
                  <c:v/>
                </c:pt>
                <c:pt idx="1092">
                  <c:v/>
                </c:pt>
                <c:pt idx="1093">
                  <c:v/>
                </c:pt>
                <c:pt idx="1094">
                  <c:v/>
                </c:pt>
                <c:pt idx="1095">
                  <c:v/>
                </c:pt>
                <c:pt idx="1096">
                  <c:v/>
                </c:pt>
                <c:pt idx="1097">
                  <c:v/>
                </c:pt>
                <c:pt idx="1098">
                  <c:v/>
                </c:pt>
                <c:pt idx="1099">
                  <c:v/>
                </c:pt>
                <c:pt idx="1100">
                  <c:v/>
                </c:pt>
                <c:pt idx="1101">
                  <c:v/>
                </c:pt>
                <c:pt idx="1102">
                  <c:v/>
                </c:pt>
                <c:pt idx="1103">
                  <c:v/>
                </c:pt>
                <c:pt idx="1104">
                  <c:v/>
                </c:pt>
                <c:pt idx="1105">
                  <c:v/>
                </c:pt>
                <c:pt idx="1106">
                  <c:v/>
                </c:pt>
                <c:pt idx="1107">
                  <c:v/>
                </c:pt>
                <c:pt idx="1108">
                  <c:v/>
                </c:pt>
                <c:pt idx="1109">
                  <c:v/>
                </c:pt>
                <c:pt idx="1110">
                  <c:v/>
                </c:pt>
                <c:pt idx="1111">
                  <c:v/>
                </c:pt>
                <c:pt idx="1112">
                  <c:v/>
                </c:pt>
                <c:pt idx="1113">
                  <c:v/>
                </c:pt>
                <c:pt idx="1114">
                  <c:v/>
                </c:pt>
                <c:pt idx="1115">
                  <c:v/>
                </c:pt>
                <c:pt idx="1116">
                  <c:v/>
                </c:pt>
                <c:pt idx="1117">
                  <c:v/>
                </c:pt>
                <c:pt idx="1118">
                  <c:v/>
                </c:pt>
                <c:pt idx="1119">
                  <c:v/>
                </c:pt>
                <c:pt idx="1120">
                  <c:v/>
                </c:pt>
                <c:pt idx="1121">
                  <c:v/>
                </c:pt>
                <c:pt idx="1122">
                  <c:v/>
                </c:pt>
                <c:pt idx="1123">
                  <c:v/>
                </c:pt>
                <c:pt idx="1124">
                  <c:v/>
                </c:pt>
                <c:pt idx="1125">
                  <c:v/>
                </c:pt>
                <c:pt idx="1126">
                  <c:v/>
                </c:pt>
                <c:pt idx="1127">
                  <c:v/>
                </c:pt>
                <c:pt idx="1128">
                  <c:v/>
                </c:pt>
                <c:pt idx="1129">
                  <c:v/>
                </c:pt>
                <c:pt idx="1130">
                  <c:v/>
                </c:pt>
                <c:pt idx="1131">
                  <c:v/>
                </c:pt>
                <c:pt idx="1132">
                  <c:v/>
                </c:pt>
                <c:pt idx="1133">
                  <c:v/>
                </c:pt>
                <c:pt idx="1134">
                  <c:v/>
                </c:pt>
                <c:pt idx="1135">
                  <c:v/>
                </c:pt>
                <c:pt idx="1136">
                  <c:v/>
                </c:pt>
                <c:pt idx="1137">
                  <c:v/>
                </c:pt>
                <c:pt idx="1138">
                  <c:v/>
                </c:pt>
                <c:pt idx="1139">
                  <c:v/>
                </c:pt>
                <c:pt idx="1140">
                  <c:v/>
                </c:pt>
                <c:pt idx="1141">
                  <c:v/>
                </c:pt>
                <c:pt idx="1142">
                  <c:v/>
                </c:pt>
                <c:pt idx="1143">
                  <c:v/>
                </c:pt>
                <c:pt idx="1144">
                  <c:v/>
                </c:pt>
                <c:pt idx="1145">
                  <c:v/>
                </c:pt>
                <c:pt idx="1146">
                  <c:v/>
                </c:pt>
                <c:pt idx="1147">
                  <c:v/>
                </c:pt>
                <c:pt idx="1148">
                  <c:v/>
                </c:pt>
                <c:pt idx="1149">
                  <c:v/>
                </c:pt>
                <c:pt idx="1150">
                  <c:v/>
                </c:pt>
                <c:pt idx="1151">
                  <c:v/>
                </c:pt>
                <c:pt idx="1152">
                  <c:v/>
                </c:pt>
                <c:pt idx="1153">
                  <c:v/>
                </c:pt>
                <c:pt idx="1154">
                  <c:v/>
                </c:pt>
                <c:pt idx="1155">
                  <c:v/>
                </c:pt>
                <c:pt idx="1156">
                  <c:v/>
                </c:pt>
                <c:pt idx="1157">
                  <c:v/>
                </c:pt>
                <c:pt idx="1158">
                  <c:v/>
                </c:pt>
                <c:pt idx="1159">
                  <c:v/>
                </c:pt>
                <c:pt idx="1160">
                  <c:v/>
                </c:pt>
                <c:pt idx="1161">
                  <c:v/>
                </c:pt>
                <c:pt idx="1162">
                  <c:v/>
                </c:pt>
                <c:pt idx="1163">
                  <c:v/>
                </c:pt>
                <c:pt idx="1164">
                  <c:v/>
                </c:pt>
                <c:pt idx="1165">
                  <c:v/>
                </c:pt>
                <c:pt idx="1166">
                  <c:v/>
                </c:pt>
                <c:pt idx="1167">
                  <c:v/>
                </c:pt>
                <c:pt idx="1168">
                  <c:v/>
                </c:pt>
                <c:pt idx="1169">
                  <c:v/>
                </c:pt>
                <c:pt idx="1170">
                  <c:v/>
                </c:pt>
                <c:pt idx="1171">
                  <c:v/>
                </c:pt>
                <c:pt idx="1172">
                  <c:v/>
                </c:pt>
                <c:pt idx="1173">
                  <c:v/>
                </c:pt>
                <c:pt idx="1174">
                  <c:v/>
                </c:pt>
                <c:pt idx="1175">
                  <c:v/>
                </c:pt>
                <c:pt idx="1176">
                  <c:v/>
                </c:pt>
                <c:pt idx="1177">
                  <c:v/>
                </c:pt>
                <c:pt idx="1178">
                  <c:v/>
                </c:pt>
                <c:pt idx="1179">
                  <c:v/>
                </c:pt>
                <c:pt idx="1180">
                  <c:v/>
                </c:pt>
                <c:pt idx="1181">
                  <c:v/>
                </c:pt>
                <c:pt idx="1182">
                  <c:v/>
                </c:pt>
                <c:pt idx="1183">
                  <c:v/>
                </c:pt>
                <c:pt idx="1184">
                  <c:v/>
                </c:pt>
                <c:pt idx="1185">
                  <c:v/>
                </c:pt>
                <c:pt idx="1186">
                  <c:v/>
                </c:pt>
                <c:pt idx="1187">
                  <c:v/>
                </c:pt>
                <c:pt idx="1188">
                  <c:v/>
                </c:pt>
                <c:pt idx="1189">
                  <c:v/>
                </c:pt>
                <c:pt idx="1190">
                  <c:v/>
                </c:pt>
                <c:pt idx="1191">
                  <c:v/>
                </c:pt>
                <c:pt idx="1192">
                  <c:v/>
                </c:pt>
                <c:pt idx="1193">
                  <c:v/>
                </c:pt>
                <c:pt idx="1194">
                  <c:v/>
                </c:pt>
                <c:pt idx="1195">
                  <c:v/>
                </c:pt>
                <c:pt idx="1196">
                  <c:v/>
                </c:pt>
                <c:pt idx="1197">
                  <c:v/>
                </c:pt>
                <c:pt idx="1198">
                  <c:v/>
                </c:pt>
                <c:pt idx="1199">
                  <c:v/>
                </c:pt>
                <c:pt idx="1200">
                  <c:v/>
                </c:pt>
                <c:pt idx="1201">
                  <c:v/>
                </c:pt>
                <c:pt idx="1202">
                  <c:v/>
                </c:pt>
                <c:pt idx="1203">
                  <c:v/>
                </c:pt>
                <c:pt idx="1204">
                  <c:v/>
                </c:pt>
                <c:pt idx="1205">
                  <c:v/>
                </c:pt>
                <c:pt idx="1206">
                  <c:v/>
                </c:pt>
                <c:pt idx="1207">
                  <c:v/>
                </c:pt>
                <c:pt idx="1208">
                  <c:v/>
                </c:pt>
                <c:pt idx="1209">
                  <c:v/>
                </c:pt>
                <c:pt idx="1210">
                  <c:v/>
                </c:pt>
                <c:pt idx="1211">
                  <c:v/>
                </c:pt>
                <c:pt idx="1212">
                  <c:v/>
                </c:pt>
                <c:pt idx="1213">
                  <c:v/>
                </c:pt>
                <c:pt idx="1214">
                  <c:v/>
                </c:pt>
                <c:pt idx="1215">
                  <c:v/>
                </c:pt>
              </c:numCache>
            </c:numRef>
          </c:val>
          <c:smooth val="0"/>
        </c:ser>
        <c:hiLowLines>
          <c:spPr>
            <a:ln>
              <a:noFill/>
            </a:ln>
          </c:spPr>
        </c:hiLowLines>
        <c:marker val="0"/>
        <c:axId val="49014764"/>
        <c:axId val="44809407"/>
      </c:lineChart>
      <c:catAx>
        <c:axId val="49014764"/>
        <c:scaling>
          <c:orientation val="minMax"/>
          <c:min val="39295"/>
        </c:scaling>
        <c:delete val="0"/>
        <c:axPos val="b"/>
        <c:numFmt formatCode="DD/MM/YYYY" sourceLinked="1"/>
        <c:majorTickMark val="out"/>
        <c:minorTickMark val="none"/>
        <c:tickLblPos val="nextTo"/>
        <c:spPr>
          <a:ln w="9360">
            <a:solidFill>
              <a:srgbClr val="d9d9d9"/>
            </a:solidFill>
            <a:round/>
          </a:ln>
        </c:spPr>
        <c:txPr>
          <a:bodyPr/>
          <a:lstStyle/>
          <a:p>
            <a:pPr>
              <a:defRPr b="0" sz="800" spc="-1" strike="noStrike">
                <a:solidFill>
                  <a:srgbClr val="000000"/>
                </a:solidFill>
                <a:latin typeface="Calibri"/>
              </a:defRPr>
            </a:pPr>
          </a:p>
        </c:txPr>
        <c:crossAx val="44809407"/>
        <c:crosses val="autoZero"/>
        <c:auto val="1"/>
        <c:lblAlgn val="ctr"/>
        <c:lblOffset val="100"/>
      </c:catAx>
      <c:valAx>
        <c:axId val="44809407"/>
        <c:scaling>
          <c:orientation val="minMax"/>
          <c:min val="50"/>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800" spc="-1" strike="noStrike">
                <a:solidFill>
                  <a:srgbClr val="595959"/>
                </a:solidFill>
                <a:latin typeface="Calibri"/>
              </a:defRPr>
            </a:pPr>
          </a:p>
        </c:txPr>
        <c:crossAx val="49014764"/>
        <c:crosses val="autoZero"/>
        <c:crossBetween val="midCat"/>
      </c:valAx>
      <c:spPr>
        <a:noFill/>
        <a:ln>
          <a:noFill/>
        </a:ln>
      </c:spPr>
    </c:plotArea>
    <c:legend>
      <c:legendPos val="b"/>
      <c:overlay val="0"/>
      <c:spPr>
        <a:noFill/>
        <a:ln>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050" spc="-1" strike="noStrike">
                <a:solidFill>
                  <a:srgbClr val="000000"/>
                </a:solidFill>
                <a:latin typeface="Calibri"/>
              </a:defRPr>
            </a:pPr>
            <a:r>
              <a:rPr b="0" sz="1050" spc="-1" strike="noStrike">
                <a:solidFill>
                  <a:srgbClr val="000000"/>
                </a:solidFill>
                <a:latin typeface="Calibri"/>
              </a:rPr>
              <a:t>România</a:t>
            </a:r>
          </a:p>
        </c:rich>
      </c:tx>
      <c:overlay val="0"/>
      <c:spPr>
        <a:noFill/>
        <a:ln>
          <a:noFill/>
        </a:ln>
      </c:spPr>
    </c:title>
    <c:autoTitleDeleted val="0"/>
    <c:plotArea>
      <c:lineChart>
        <c:grouping val="standard"/>
        <c:varyColors val="0"/>
        <c:ser>
          <c:idx val="0"/>
          <c:order val="0"/>
          <c:tx>
            <c:strRef>
              <c:f>label 0</c:f>
              <c:strCache>
                <c:ptCount val="1"/>
                <c:pt idx="0">
                  <c:v>Industrie</c:v>
                </c:pt>
              </c:strCache>
            </c:strRef>
          </c:tx>
          <c:spPr>
            <a:solidFill>
              <a:srgbClr val="5b9bd5"/>
            </a:solidFill>
            <a:ln w="28440">
              <a:solidFill>
                <a:srgbClr val="5b9bd5"/>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0</c:f>
              <c:numCache>
                <c:formatCode>General</c:formatCode>
                <c:ptCount val="952"/>
                <c:pt idx="0">
                  <c:v>2.1</c:v>
                </c:pt>
                <c:pt idx="1">
                  <c:v>1.6</c:v>
                </c:pt>
                <c:pt idx="2">
                  <c:v>1.1</c:v>
                </c:pt>
                <c:pt idx="3">
                  <c:v>0.7</c:v>
                </c:pt>
                <c:pt idx="4">
                  <c:v>0.6</c:v>
                </c:pt>
                <c:pt idx="5">
                  <c:v>1.1</c:v>
                </c:pt>
                <c:pt idx="6">
                  <c:v>0.4</c:v>
                </c:pt>
                <c:pt idx="7">
                  <c:v>0.5</c:v>
                </c:pt>
                <c:pt idx="8">
                  <c:v>1.4</c:v>
                </c:pt>
                <c:pt idx="9">
                  <c:v>0.9</c:v>
                </c:pt>
                <c:pt idx="10">
                  <c:v>0.5</c:v>
                </c:pt>
                <c:pt idx="11">
                  <c:v>-0.1</c:v>
                </c:pt>
                <c:pt idx="12">
                  <c:v>0.3</c:v>
                </c:pt>
                <c:pt idx="13">
                  <c:v>0.6</c:v>
                </c:pt>
                <c:pt idx="14">
                  <c:v>1.7</c:v>
                </c:pt>
                <c:pt idx="15">
                  <c:v>1</c:v>
                </c:pt>
                <c:pt idx="16">
                  <c:v>-0.1</c:v>
                </c:pt>
                <c:pt idx="17">
                  <c:v>-0.2</c:v>
                </c:pt>
                <c:pt idx="18">
                  <c:v>-1.1</c:v>
                </c:pt>
                <c:pt idx="19">
                  <c:v>-0.4</c:v>
                </c:pt>
                <c:pt idx="20">
                  <c:v>-0.5</c:v>
                </c:pt>
                <c:pt idx="21">
                  <c:v>0</c:v>
                </c:pt>
                <c:pt idx="22">
                  <c:v>0.5</c:v>
                </c:pt>
                <c:pt idx="23">
                  <c:v>0.2</c:v>
                </c:pt>
                <c:pt idx="24">
                  <c:v>-0.9</c:v>
                </c:pt>
                <c:pt idx="25">
                  <c:v>-0.6</c:v>
                </c:pt>
                <c:pt idx="26">
                  <c:v>-2</c:v>
                </c:pt>
                <c:pt idx="27">
                  <c:v>-31.9</c:v>
                </c:pt>
                <c:pt idx="28">
                  <c:v>-19.2</c:v>
                </c:pt>
                <c:pt idx="29">
                  <c:v>-9.8</c:v>
                </c:pt>
                <c:pt idx="30">
                  <c:v>-5.6</c:v>
                </c:pt>
                <c:pt idx="31">
                  <c:v>-5</c:v>
                </c:pt>
                <c:pt idx="32">
                  <c:v>-4.1</c:v>
                </c:pt>
                <c:pt idx="33">
                  <c:v>-4.3</c:v>
                </c:pt>
                <c:pt idx="34">
                  <c:v>-5.1</c:v>
                </c:pt>
                <c:pt idx="35">
                  <c:v>-4</c:v>
                </c:pt>
                <c:pt idx="36">
                  <c:v>-1.5</c:v>
                </c:pt>
                <c:pt idx="37">
                  <c:v>-1.5</c:v>
                </c:pt>
                <c:pt idx="38">
                  <c:v>-1.3</c:v>
                </c:pt>
                <c:pt idx="39">
                  <c:v>-1.6</c:v>
                </c:pt>
                <c:pt idx="40">
                  <c:v>-0.5</c:v>
                </c:pt>
                <c:pt idx="41">
                  <c:v>-0.6</c:v>
                </c:pt>
                <c:pt idx="42">
                  <c:v>-0.8</c:v>
                </c:pt>
                <c:pt idx="43">
                  <c:v>-0.3</c:v>
                </c:pt>
                <c:pt idx="44">
                  <c:v>-0.9</c:v>
                </c:pt>
                <c:pt idx="45">
                  <c:v>-1.4</c:v>
                </c:pt>
                <c:pt idx="46">
                  <c:v>-0.3</c:v>
                </c:pt>
                <c:pt idx="47">
                  <c:v>0</c:v>
                </c:pt>
                <c:pt idx="48">
                  <c:v>-0.8</c:v>
                </c:pt>
                <c:pt idx="49">
                  <c:v>-0.3</c:v>
                </c:pt>
                <c:pt idx="50">
                  <c:v>-0.2</c:v>
                </c:pt>
                <c:pt idx="51">
                  <c:v>0.8</c:v>
                </c:pt>
                <c:pt idx="52">
                  <c:v>-0.1</c:v>
                </c:pt>
                <c:pt idx="53">
                  <c:v>-0.6</c:v>
                </c:pt>
                <c:pt idx="54">
                  <c:v>-1</c:v>
                </c:pt>
                <c:pt idx="55">
                  <c:v>-1.6</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ser>
          <c:idx val="1"/>
          <c:order val="1"/>
          <c:tx>
            <c:strRef>
              <c:f>label 1</c:f>
              <c:strCache>
                <c:ptCount val="1"/>
                <c:pt idx="0">
                  <c:v>Servicii</c:v>
                </c:pt>
              </c:strCache>
            </c:strRef>
          </c:tx>
          <c:spPr>
            <a:solidFill>
              <a:srgbClr val="ed7d31"/>
            </a:solidFill>
            <a:ln w="28440">
              <a:solidFill>
                <a:srgbClr val="ed7d31"/>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1</c:f>
              <c:numCache>
                <c:formatCode>General</c:formatCode>
                <c:ptCount val="952"/>
                <c:pt idx="0">
                  <c:v>9.2</c:v>
                </c:pt>
                <c:pt idx="1">
                  <c:v>9.2</c:v>
                </c:pt>
                <c:pt idx="2">
                  <c:v>8.7</c:v>
                </c:pt>
                <c:pt idx="3">
                  <c:v>7.6</c:v>
                </c:pt>
                <c:pt idx="4">
                  <c:v>9</c:v>
                </c:pt>
                <c:pt idx="5">
                  <c:v>8.2</c:v>
                </c:pt>
                <c:pt idx="6">
                  <c:v>4.6</c:v>
                </c:pt>
                <c:pt idx="7">
                  <c:v>5.8</c:v>
                </c:pt>
                <c:pt idx="8">
                  <c:v>6.3</c:v>
                </c:pt>
                <c:pt idx="9">
                  <c:v>8.2</c:v>
                </c:pt>
                <c:pt idx="10">
                  <c:v>7.5</c:v>
                </c:pt>
                <c:pt idx="11">
                  <c:v>7.3</c:v>
                </c:pt>
                <c:pt idx="12">
                  <c:v>8.8</c:v>
                </c:pt>
                <c:pt idx="13">
                  <c:v>9.8</c:v>
                </c:pt>
                <c:pt idx="14">
                  <c:v>8.7</c:v>
                </c:pt>
                <c:pt idx="15">
                  <c:v>8</c:v>
                </c:pt>
                <c:pt idx="16">
                  <c:v>7.7</c:v>
                </c:pt>
                <c:pt idx="17">
                  <c:v>7.1</c:v>
                </c:pt>
                <c:pt idx="18">
                  <c:v>8.9</c:v>
                </c:pt>
                <c:pt idx="19">
                  <c:v>8.6</c:v>
                </c:pt>
                <c:pt idx="20">
                  <c:v>8.2</c:v>
                </c:pt>
                <c:pt idx="21">
                  <c:v>7.2</c:v>
                </c:pt>
                <c:pt idx="22">
                  <c:v>10.6</c:v>
                </c:pt>
                <c:pt idx="23">
                  <c:v>9.1</c:v>
                </c:pt>
                <c:pt idx="24">
                  <c:v>8.4</c:v>
                </c:pt>
                <c:pt idx="25">
                  <c:v>6.6</c:v>
                </c:pt>
                <c:pt idx="26">
                  <c:v>3.1</c:v>
                </c:pt>
                <c:pt idx="27">
                  <c:v>-44.5</c:v>
                </c:pt>
                <c:pt idx="28">
                  <c:v>-43.9</c:v>
                </c:pt>
                <c:pt idx="29">
                  <c:v>-33.2</c:v>
                </c:pt>
                <c:pt idx="30">
                  <c:v>-26.3</c:v>
                </c:pt>
                <c:pt idx="31">
                  <c:v>-18.4</c:v>
                </c:pt>
                <c:pt idx="32">
                  <c:v>-12.8</c:v>
                </c:pt>
                <c:pt idx="33">
                  <c:v>-13.2</c:v>
                </c:pt>
                <c:pt idx="34">
                  <c:v>-17</c:v>
                </c:pt>
                <c:pt idx="35">
                  <c:v>-14.2</c:v>
                </c:pt>
                <c:pt idx="36">
                  <c:v>-12.1</c:v>
                </c:pt>
                <c:pt idx="37">
                  <c:v>-9.9</c:v>
                </c:pt>
                <c:pt idx="38">
                  <c:v>-8.1</c:v>
                </c:pt>
                <c:pt idx="39">
                  <c:v>-7.5</c:v>
                </c:pt>
                <c:pt idx="40">
                  <c:v>1.4</c:v>
                </c:pt>
                <c:pt idx="41">
                  <c:v>3.5</c:v>
                </c:pt>
                <c:pt idx="42">
                  <c:v>5.7</c:v>
                </c:pt>
                <c:pt idx="43">
                  <c:v>5.6</c:v>
                </c:pt>
                <c:pt idx="44">
                  <c:v>5.5</c:v>
                </c:pt>
                <c:pt idx="45">
                  <c:v>6.1</c:v>
                </c:pt>
                <c:pt idx="46">
                  <c:v>6.7</c:v>
                </c:pt>
                <c:pt idx="47">
                  <c:v>8.8</c:v>
                </c:pt>
                <c:pt idx="48">
                  <c:v>9.4</c:v>
                </c:pt>
                <c:pt idx="49">
                  <c:v>8.2</c:v>
                </c:pt>
                <c:pt idx="50">
                  <c:v>7.9</c:v>
                </c:pt>
                <c:pt idx="51">
                  <c:v>9.2</c:v>
                </c:pt>
                <c:pt idx="52">
                  <c:v>6.4</c:v>
                </c:pt>
                <c:pt idx="53">
                  <c:v>4.1</c:v>
                </c:pt>
                <c:pt idx="54">
                  <c:v>5.3</c:v>
                </c:pt>
                <c:pt idx="55">
                  <c:v>4.9</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ser>
          <c:idx val="2"/>
          <c:order val="2"/>
          <c:tx>
            <c:strRef>
              <c:f>label 2</c:f>
              <c:strCache>
                <c:ptCount val="1"/>
                <c:pt idx="0">
                  <c:v>Încrederea consumatorilor</c:v>
                </c:pt>
              </c:strCache>
            </c:strRef>
          </c:tx>
          <c:spPr>
            <a:solidFill>
              <a:srgbClr val="a5a5a5"/>
            </a:solidFill>
            <a:ln w="28440">
              <a:solidFill>
                <a:srgbClr val="a5a5a5"/>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2</c:f>
              <c:numCache>
                <c:formatCode>General</c:formatCode>
                <c:ptCount val="952"/>
                <c:pt idx="0">
                  <c:v>-15.9</c:v>
                </c:pt>
                <c:pt idx="1">
                  <c:v>-16.6</c:v>
                </c:pt>
                <c:pt idx="2">
                  <c:v>-15.2</c:v>
                </c:pt>
                <c:pt idx="3">
                  <c:v>-13.8</c:v>
                </c:pt>
                <c:pt idx="4">
                  <c:v>-15.1</c:v>
                </c:pt>
                <c:pt idx="5">
                  <c:v>-17</c:v>
                </c:pt>
                <c:pt idx="6">
                  <c:v>-13</c:v>
                </c:pt>
                <c:pt idx="7">
                  <c:v>-13.7</c:v>
                </c:pt>
                <c:pt idx="8">
                  <c:v>-10.5</c:v>
                </c:pt>
                <c:pt idx="9">
                  <c:v>-11.4</c:v>
                </c:pt>
                <c:pt idx="10">
                  <c:v>-13.8</c:v>
                </c:pt>
                <c:pt idx="11">
                  <c:v>-13.6</c:v>
                </c:pt>
                <c:pt idx="12">
                  <c:v>-14.7</c:v>
                </c:pt>
                <c:pt idx="13">
                  <c:v>-13.8</c:v>
                </c:pt>
                <c:pt idx="14">
                  <c:v>-12.2</c:v>
                </c:pt>
                <c:pt idx="15">
                  <c:v>-11.5</c:v>
                </c:pt>
                <c:pt idx="16">
                  <c:v>-9</c:v>
                </c:pt>
                <c:pt idx="17">
                  <c:v>-6.7</c:v>
                </c:pt>
                <c:pt idx="18">
                  <c:v>-5.3</c:v>
                </c:pt>
                <c:pt idx="19">
                  <c:v>-9.7</c:v>
                </c:pt>
                <c:pt idx="20">
                  <c:v>-9.4</c:v>
                </c:pt>
                <c:pt idx="21">
                  <c:v>-8.8</c:v>
                </c:pt>
                <c:pt idx="22">
                  <c:v>-8.6</c:v>
                </c:pt>
                <c:pt idx="23">
                  <c:v>-6.4</c:v>
                </c:pt>
                <c:pt idx="24">
                  <c:v>-8.5</c:v>
                </c:pt>
                <c:pt idx="25">
                  <c:v>-9.2</c:v>
                </c:pt>
                <c:pt idx="26">
                  <c:v>-11.9</c:v>
                </c:pt>
                <c:pt idx="27">
                  <c:v>-30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ser>
          <c:idx val="3"/>
          <c:order val="3"/>
          <c:tx>
            <c:strRef>
              <c:f>label 3</c:f>
              <c:strCache>
                <c:ptCount val="1"/>
                <c:pt idx="0">
                  <c:v>Comerț</c:v>
                </c:pt>
              </c:strCache>
            </c:strRef>
          </c:tx>
          <c:spPr>
            <a:solidFill>
              <a:srgbClr val="ffc000"/>
            </a:solidFill>
            <a:ln w="28440">
              <a:solidFill>
                <a:srgbClr val="ffc000"/>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3</c:f>
              <c:numCache>
                <c:formatCode>General</c:formatCode>
                <c:ptCount val="952"/>
                <c:pt idx="0">
                  <c:v>10.3</c:v>
                </c:pt>
                <c:pt idx="1">
                  <c:v>10.1</c:v>
                </c:pt>
                <c:pt idx="2">
                  <c:v>5.9</c:v>
                </c:pt>
                <c:pt idx="3">
                  <c:v>8.9</c:v>
                </c:pt>
                <c:pt idx="4">
                  <c:v>10.2</c:v>
                </c:pt>
                <c:pt idx="5">
                  <c:v>7.1</c:v>
                </c:pt>
                <c:pt idx="6">
                  <c:v>9.1</c:v>
                </c:pt>
                <c:pt idx="7">
                  <c:v>6.4</c:v>
                </c:pt>
                <c:pt idx="8">
                  <c:v>12.9</c:v>
                </c:pt>
                <c:pt idx="9">
                  <c:v>9.9</c:v>
                </c:pt>
                <c:pt idx="10">
                  <c:v>7</c:v>
                </c:pt>
                <c:pt idx="11">
                  <c:v>10.7</c:v>
                </c:pt>
                <c:pt idx="12">
                  <c:v>5.3</c:v>
                </c:pt>
                <c:pt idx="13">
                  <c:v>2.8</c:v>
                </c:pt>
                <c:pt idx="14">
                  <c:v>12</c:v>
                </c:pt>
                <c:pt idx="15">
                  <c:v>10.4</c:v>
                </c:pt>
                <c:pt idx="16">
                  <c:v>7</c:v>
                </c:pt>
                <c:pt idx="17">
                  <c:v>8.8</c:v>
                </c:pt>
                <c:pt idx="18">
                  <c:v>10.5</c:v>
                </c:pt>
                <c:pt idx="19">
                  <c:v>5.7</c:v>
                </c:pt>
                <c:pt idx="20">
                  <c:v>5.4</c:v>
                </c:pt>
                <c:pt idx="21">
                  <c:v>3.8</c:v>
                </c:pt>
                <c:pt idx="22">
                  <c:v>7.9</c:v>
                </c:pt>
                <c:pt idx="23">
                  <c:v>7.6</c:v>
                </c:pt>
                <c:pt idx="24">
                  <c:v>11.8</c:v>
                </c:pt>
                <c:pt idx="25">
                  <c:v>14.3</c:v>
                </c:pt>
                <c:pt idx="26">
                  <c:v>10.2</c:v>
                </c:pt>
                <c:pt idx="27">
                  <c:v>-28.2</c:v>
                </c:pt>
                <c:pt idx="28">
                  <c:v>-22.6</c:v>
                </c:pt>
                <c:pt idx="29">
                  <c:v>-14.1</c:v>
                </c:pt>
                <c:pt idx="30">
                  <c:v>-10</c:v>
                </c:pt>
                <c:pt idx="31">
                  <c:v>0.5</c:v>
                </c:pt>
                <c:pt idx="32">
                  <c:v>-0.3</c:v>
                </c:pt>
                <c:pt idx="33">
                  <c:v>4.8</c:v>
                </c:pt>
                <c:pt idx="34">
                  <c:v>1.7</c:v>
                </c:pt>
                <c:pt idx="35">
                  <c:v>2.3</c:v>
                </c:pt>
                <c:pt idx="36">
                  <c:v>1.6</c:v>
                </c:pt>
                <c:pt idx="37">
                  <c:v>12.7</c:v>
                </c:pt>
                <c:pt idx="38">
                  <c:v>5</c:v>
                </c:pt>
                <c:pt idx="39">
                  <c:v>7.2</c:v>
                </c:pt>
                <c:pt idx="40">
                  <c:v>9.2</c:v>
                </c:pt>
                <c:pt idx="41">
                  <c:v>8</c:v>
                </c:pt>
                <c:pt idx="42">
                  <c:v>8.2</c:v>
                </c:pt>
                <c:pt idx="43">
                  <c:v>7.4</c:v>
                </c:pt>
                <c:pt idx="44">
                  <c:v>7.5</c:v>
                </c:pt>
                <c:pt idx="45">
                  <c:v>4.9</c:v>
                </c:pt>
                <c:pt idx="46">
                  <c:v>4.3</c:v>
                </c:pt>
                <c:pt idx="47">
                  <c:v>5.8</c:v>
                </c:pt>
                <c:pt idx="48">
                  <c:v>7.3</c:v>
                </c:pt>
                <c:pt idx="49">
                  <c:v>5.5</c:v>
                </c:pt>
                <c:pt idx="50">
                  <c:v>2.4</c:v>
                </c:pt>
                <c:pt idx="51">
                  <c:v>1.3</c:v>
                </c:pt>
                <c:pt idx="52">
                  <c:v>6.9</c:v>
                </c:pt>
                <c:pt idx="53">
                  <c:v>8.5</c:v>
                </c:pt>
                <c:pt idx="54">
                  <c:v>9.1</c:v>
                </c:pt>
                <c:pt idx="55">
                  <c:v>7.5</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ser>
          <c:idx val="4"/>
          <c:order val="4"/>
          <c:tx>
            <c:strRef>
              <c:f>label 4</c:f>
              <c:strCache>
                <c:ptCount val="1"/>
                <c:pt idx="0">
                  <c:v>Construcții</c:v>
                </c:pt>
              </c:strCache>
            </c:strRef>
          </c:tx>
          <c:spPr>
            <a:solidFill>
              <a:srgbClr val="4472c4"/>
            </a:solidFill>
            <a:ln w="28440">
              <a:solidFill>
                <a:srgbClr val="4472c4"/>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4</c:f>
              <c:numCache>
                <c:formatCode>General</c:formatCode>
                <c:ptCount val="952"/>
                <c:pt idx="0">
                  <c:v>-11.4</c:v>
                </c:pt>
                <c:pt idx="1">
                  <c:v>-14</c:v>
                </c:pt>
                <c:pt idx="2">
                  <c:v>-12.7</c:v>
                </c:pt>
                <c:pt idx="3">
                  <c:v>-13.2</c:v>
                </c:pt>
                <c:pt idx="4">
                  <c:v>-12.9</c:v>
                </c:pt>
                <c:pt idx="5">
                  <c:v>-11.6</c:v>
                </c:pt>
                <c:pt idx="6">
                  <c:v>-10.9</c:v>
                </c:pt>
                <c:pt idx="7">
                  <c:v>-8.7</c:v>
                </c:pt>
                <c:pt idx="8">
                  <c:v>-8.8</c:v>
                </c:pt>
                <c:pt idx="9">
                  <c:v>-7.8</c:v>
                </c:pt>
                <c:pt idx="10">
                  <c:v>-7.1</c:v>
                </c:pt>
                <c:pt idx="11">
                  <c:v>-7.2</c:v>
                </c:pt>
                <c:pt idx="12">
                  <c:v>-9.1</c:v>
                </c:pt>
                <c:pt idx="13">
                  <c:v>-6.4</c:v>
                </c:pt>
                <c:pt idx="14">
                  <c:v>-6.1</c:v>
                </c:pt>
                <c:pt idx="15">
                  <c:v>-5.5</c:v>
                </c:pt>
                <c:pt idx="16">
                  <c:v>-5.1</c:v>
                </c:pt>
                <c:pt idx="17">
                  <c:v>-6.6</c:v>
                </c:pt>
                <c:pt idx="18">
                  <c:v>-5.3</c:v>
                </c:pt>
                <c:pt idx="19">
                  <c:v>-6.2</c:v>
                </c:pt>
                <c:pt idx="20">
                  <c:v>-4.9</c:v>
                </c:pt>
                <c:pt idx="21">
                  <c:v>-5.3</c:v>
                </c:pt>
                <c:pt idx="22">
                  <c:v>-3.1</c:v>
                </c:pt>
                <c:pt idx="23">
                  <c:v>-4.1</c:v>
                </c:pt>
                <c:pt idx="24">
                  <c:v>-4.3</c:v>
                </c:pt>
                <c:pt idx="25">
                  <c:v>-4.2</c:v>
                </c:pt>
                <c:pt idx="26">
                  <c:v>-4.1</c:v>
                </c:pt>
                <c:pt idx="27">
                  <c:v>-45.8</c:v>
                </c:pt>
                <c:pt idx="28">
                  <c:v>-32.1</c:v>
                </c:pt>
                <c:pt idx="29">
                  <c:v>-19</c:v>
                </c:pt>
                <c:pt idx="30">
                  <c:v>-14.7</c:v>
                </c:pt>
                <c:pt idx="31">
                  <c:v>-12.2</c:v>
                </c:pt>
                <c:pt idx="32">
                  <c:v>-9.8</c:v>
                </c:pt>
                <c:pt idx="33">
                  <c:v>-8.4</c:v>
                </c:pt>
                <c:pt idx="34">
                  <c:v>-10.4</c:v>
                </c:pt>
                <c:pt idx="35">
                  <c:v>-10</c:v>
                </c:pt>
                <c:pt idx="36">
                  <c:v>-7.5</c:v>
                </c:pt>
                <c:pt idx="37">
                  <c:v>-8</c:v>
                </c:pt>
                <c:pt idx="38">
                  <c:v>-8.3</c:v>
                </c:pt>
                <c:pt idx="39">
                  <c:v>-7.9</c:v>
                </c:pt>
                <c:pt idx="40">
                  <c:v>-9</c:v>
                </c:pt>
                <c:pt idx="41">
                  <c:v>-10.9</c:v>
                </c:pt>
                <c:pt idx="42">
                  <c:v>-9.9</c:v>
                </c:pt>
                <c:pt idx="43">
                  <c:v>-8.6</c:v>
                </c:pt>
                <c:pt idx="44">
                  <c:v>-8.7</c:v>
                </c:pt>
                <c:pt idx="45">
                  <c:v>-8.1</c:v>
                </c:pt>
                <c:pt idx="46">
                  <c:v>-7.2</c:v>
                </c:pt>
                <c:pt idx="47">
                  <c:v>-6.1</c:v>
                </c:pt>
                <c:pt idx="48">
                  <c:v>-8.6</c:v>
                </c:pt>
                <c:pt idx="49">
                  <c:v>-9.3</c:v>
                </c:pt>
                <c:pt idx="50">
                  <c:v>-9.7</c:v>
                </c:pt>
                <c:pt idx="51">
                  <c:v>-10.1</c:v>
                </c:pt>
                <c:pt idx="52">
                  <c:v>-10.7</c:v>
                </c:pt>
                <c:pt idx="53">
                  <c:v>-10.8</c:v>
                </c:pt>
                <c:pt idx="54">
                  <c:v>-11.3</c:v>
                </c:pt>
                <c:pt idx="55">
                  <c:v>-12.1</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hiLowLines>
          <c:spPr>
            <a:ln>
              <a:noFill/>
            </a:ln>
          </c:spPr>
        </c:hiLowLines>
        <c:marker val="0"/>
        <c:axId val="78208440"/>
        <c:axId val="3602029"/>
      </c:lineChart>
      <c:catAx>
        <c:axId val="78208440"/>
        <c:scaling>
          <c:orientation val="minMax"/>
          <c:min val="43313"/>
        </c:scaling>
        <c:delete val="0"/>
        <c:axPos val="b"/>
        <c:numFmt formatCode="DD/MM/YYYY" sourceLinked="1"/>
        <c:majorTickMark val="none"/>
        <c:minorTickMark val="none"/>
        <c:tickLblPos val="low"/>
        <c:spPr>
          <a:ln w="9360">
            <a:solidFill>
              <a:srgbClr val="d9d9d9"/>
            </a:solidFill>
            <a:round/>
          </a:ln>
        </c:spPr>
        <c:txPr>
          <a:bodyPr/>
          <a:lstStyle/>
          <a:p>
            <a:pPr>
              <a:defRPr b="0" sz="800" spc="-1" strike="noStrike">
                <a:solidFill>
                  <a:srgbClr val="000000"/>
                </a:solidFill>
                <a:latin typeface="Calibri"/>
              </a:defRPr>
            </a:pPr>
          </a:p>
        </c:txPr>
        <c:crossAx val="3602029"/>
        <c:crosses val="autoZero"/>
        <c:auto val="1"/>
        <c:lblAlgn val="ctr"/>
        <c:lblOffset val="100"/>
      </c:catAx>
      <c:valAx>
        <c:axId val="3602029"/>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78208440"/>
        <c:crosses val="autoZero"/>
        <c:crossBetween val="midCat"/>
      </c:valAx>
      <c:spPr>
        <a:noFill/>
        <a:ln>
          <a:noFill/>
        </a:ln>
      </c:spPr>
    </c:plotArea>
    <c:legend>
      <c:layout>
        <c:manualLayout>
          <c:xMode val="edge"/>
          <c:yMode val="edge"/>
          <c:x val="0.013875"/>
          <c:y val="0.777555555555556"/>
          <c:w val="0.960310019376211"/>
          <c:h val="0.190576730747861"/>
        </c:manualLayout>
      </c:layout>
      <c:spPr>
        <a:noFill/>
        <a:ln>
          <a:noFill/>
        </a:ln>
      </c:spPr>
      <c:txPr>
        <a:bodyPr/>
        <a:lstStyle/>
        <a:p>
          <a:pPr>
            <a:defRPr b="0" sz="800" spc="-1" strike="noStrike">
              <a:solidFill>
                <a:srgbClr val="595959"/>
              </a:solidFill>
              <a:latin typeface="Calibri"/>
            </a:defRPr>
          </a:pPr>
        </a:p>
      </c:txPr>
    </c:legend>
    <c:plotVisOnly val="1"/>
    <c:dispBlanksAs val="gap"/>
  </c:chart>
  <c:spPr>
    <a:solidFill>
      <a:srgbClr val="ffffff"/>
    </a:solidFill>
    <a:ln w="9360">
      <a:noFill/>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050" spc="-1" strike="noStrike">
                <a:solidFill>
                  <a:srgbClr val="000000"/>
                </a:solidFill>
                <a:latin typeface="Calibri"/>
              </a:defRPr>
            </a:pPr>
            <a:r>
              <a:rPr b="0" sz="1050" spc="-1" strike="noStrike">
                <a:solidFill>
                  <a:srgbClr val="000000"/>
                </a:solidFill>
                <a:latin typeface="Calibri"/>
              </a:rPr>
              <a:t>Uniunea Europeană</a:t>
            </a:r>
          </a:p>
        </c:rich>
      </c:tx>
      <c:overlay val="0"/>
      <c:spPr>
        <a:noFill/>
        <a:ln>
          <a:noFill/>
        </a:ln>
      </c:spPr>
    </c:title>
    <c:autoTitleDeleted val="0"/>
    <c:plotArea>
      <c:lineChart>
        <c:grouping val="standard"/>
        <c:varyColors val="0"/>
        <c:ser>
          <c:idx val="0"/>
          <c:order val="0"/>
          <c:tx>
            <c:strRef>
              <c:f>label 0</c:f>
              <c:strCache>
                <c:ptCount val="1"/>
                <c:pt idx="0">
                  <c:v>Industrie</c:v>
                </c:pt>
              </c:strCache>
            </c:strRef>
          </c:tx>
          <c:spPr>
            <a:solidFill>
              <a:srgbClr val="5b9bd5"/>
            </a:solidFill>
            <a:ln w="28440">
              <a:solidFill>
                <a:srgbClr val="5b9bd5"/>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0</c:f>
              <c:numCache>
                <c:formatCode>General</c:formatCode>
                <c:ptCount val="952"/>
                <c:pt idx="0">
                  <c:v>8.9</c:v>
                </c:pt>
                <c:pt idx="1">
                  <c:v>7.9</c:v>
                </c:pt>
                <c:pt idx="2">
                  <c:v>7</c:v>
                </c:pt>
                <c:pt idx="3">
                  <c:v>7.8</c:v>
                </c:pt>
                <c:pt idx="4">
                  <c:v>6.2</c:v>
                </c:pt>
                <c:pt idx="5">
                  <c:v>6.2</c:v>
                </c:pt>
                <c:pt idx="6">
                  <c:v>5.1</c:v>
                </c:pt>
                <c:pt idx="7">
                  <c:v>4.8</c:v>
                </c:pt>
                <c:pt idx="8">
                  <c:v>4.5</c:v>
                </c:pt>
                <c:pt idx="9">
                  <c:v>3.8</c:v>
                </c:pt>
                <c:pt idx="10">
                  <c:v>4</c:v>
                </c:pt>
                <c:pt idx="11">
                  <c:v>2.8</c:v>
                </c:pt>
                <c:pt idx="12">
                  <c:v>0.8</c:v>
                </c:pt>
                <c:pt idx="13">
                  <c:v>-0.1</c:v>
                </c:pt>
                <c:pt idx="14">
                  <c:v>-0.8</c:v>
                </c:pt>
                <c:pt idx="15">
                  <c:v>-3.1</c:v>
                </c:pt>
                <c:pt idx="16">
                  <c:v>-2.9</c:v>
                </c:pt>
                <c:pt idx="17">
                  <c:v>-5.4</c:v>
                </c:pt>
                <c:pt idx="18">
                  <c:v>-6.9</c:v>
                </c:pt>
                <c:pt idx="19">
                  <c:v>-6</c:v>
                </c:pt>
                <c:pt idx="20">
                  <c:v>-7.8</c:v>
                </c:pt>
                <c:pt idx="21">
                  <c:v>-8</c:v>
                </c:pt>
                <c:pt idx="22">
                  <c:v>-7.2</c:v>
                </c:pt>
                <c:pt idx="23">
                  <c:v>-7.2</c:v>
                </c:pt>
                <c:pt idx="24">
                  <c:v>-5</c:v>
                </c:pt>
                <c:pt idx="25">
                  <c:v>-4.4</c:v>
                </c:pt>
                <c:pt idx="26">
                  <c:v>-9.7</c:v>
                </c:pt>
                <c:pt idx="27">
                  <c:v>-35.9</c:v>
                </c:pt>
                <c:pt idx="28">
                  <c:v>-29.7</c:v>
                </c:pt>
                <c:pt idx="29">
                  <c:v>-21.5</c:v>
                </c:pt>
                <c:pt idx="30">
                  <c:v>-14.7</c:v>
                </c:pt>
                <c:pt idx="31">
                  <c:v>-11.1</c:v>
                </c:pt>
                <c:pt idx="32">
                  <c:v>-8.9</c:v>
                </c:pt>
                <c:pt idx="33">
                  <c:v>-6.6</c:v>
                </c:pt>
                <c:pt idx="34">
                  <c:v>-7.5</c:v>
                </c:pt>
                <c:pt idx="35">
                  <c:v>-3.6</c:v>
                </c:pt>
                <c:pt idx="36">
                  <c:v>-2.3</c:v>
                </c:pt>
                <c:pt idx="37">
                  <c:v>0.2</c:v>
                </c:pt>
                <c:pt idx="38">
                  <c:v>3.7</c:v>
                </c:pt>
                <c:pt idx="39">
                  <c:v>6.1</c:v>
                </c:pt>
                <c:pt idx="40">
                  <c:v>7.3</c:v>
                </c:pt>
                <c:pt idx="41">
                  <c:v>9</c:v>
                </c:pt>
                <c:pt idx="42">
                  <c:v>11.4</c:v>
                </c:pt>
                <c:pt idx="43">
                  <c:v>11.4</c:v>
                </c:pt>
                <c:pt idx="44">
                  <c:v>11.5</c:v>
                </c:pt>
                <c:pt idx="45">
                  <c:v>12.2</c:v>
                </c:pt>
                <c:pt idx="46">
                  <c:v>12</c:v>
                </c:pt>
                <c:pt idx="47">
                  <c:v>12.9</c:v>
                </c:pt>
                <c:pt idx="48">
                  <c:v>12</c:v>
                </c:pt>
                <c:pt idx="49">
                  <c:v>12.3</c:v>
                </c:pt>
                <c:pt idx="50">
                  <c:v>7.7</c:v>
                </c:pt>
                <c:pt idx="51">
                  <c:v>6.6</c:v>
                </c:pt>
                <c:pt idx="52">
                  <c:v>5.1</c:v>
                </c:pt>
                <c:pt idx="53">
                  <c:v>4.7</c:v>
                </c:pt>
                <c:pt idx="54">
                  <c:v>1.8</c:v>
                </c:pt>
                <c:pt idx="55">
                  <c:v>0.4</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ser>
          <c:idx val="1"/>
          <c:order val="1"/>
          <c:tx>
            <c:strRef>
              <c:f>label 1</c:f>
              <c:strCache>
                <c:ptCount val="1"/>
                <c:pt idx="0">
                  <c:v>Servicii</c:v>
                </c:pt>
              </c:strCache>
            </c:strRef>
          </c:tx>
          <c:spPr>
            <a:solidFill>
              <a:srgbClr val="ed7d31"/>
            </a:solidFill>
            <a:ln w="28440">
              <a:solidFill>
                <a:srgbClr val="ed7d31"/>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1</c:f>
              <c:numCache>
                <c:formatCode>General</c:formatCode>
                <c:ptCount val="952"/>
                <c:pt idx="0">
                  <c:v>17.2</c:v>
                </c:pt>
                <c:pt idx="1">
                  <c:v>17.4</c:v>
                </c:pt>
                <c:pt idx="2">
                  <c:v>16.6</c:v>
                </c:pt>
                <c:pt idx="3">
                  <c:v>15.8</c:v>
                </c:pt>
                <c:pt idx="4">
                  <c:v>14.8</c:v>
                </c:pt>
                <c:pt idx="5">
                  <c:v>15</c:v>
                </c:pt>
                <c:pt idx="6">
                  <c:v>14.7</c:v>
                </c:pt>
                <c:pt idx="7">
                  <c:v>14.6</c:v>
                </c:pt>
                <c:pt idx="8">
                  <c:v>14.5</c:v>
                </c:pt>
                <c:pt idx="9">
                  <c:v>13.5</c:v>
                </c:pt>
                <c:pt idx="10">
                  <c:v>13.8</c:v>
                </c:pt>
                <c:pt idx="11">
                  <c:v>13.1</c:v>
                </c:pt>
                <c:pt idx="12">
                  <c:v>12.8</c:v>
                </c:pt>
                <c:pt idx="13">
                  <c:v>12.9</c:v>
                </c:pt>
                <c:pt idx="14">
                  <c:v>12.7</c:v>
                </c:pt>
                <c:pt idx="15">
                  <c:v>12.4</c:v>
                </c:pt>
                <c:pt idx="16">
                  <c:v>11.8</c:v>
                </c:pt>
                <c:pt idx="17">
                  <c:v>10.7</c:v>
                </c:pt>
                <c:pt idx="18">
                  <c:v>8.8</c:v>
                </c:pt>
                <c:pt idx="19">
                  <c:v>9</c:v>
                </c:pt>
                <c:pt idx="20">
                  <c:v>9.1</c:v>
                </c:pt>
                <c:pt idx="21">
                  <c:v>8.7</c:v>
                </c:pt>
                <c:pt idx="22">
                  <c:v>9.7</c:v>
                </c:pt>
                <c:pt idx="23">
                  <c:v>13.4</c:v>
                </c:pt>
                <c:pt idx="24">
                  <c:v>14</c:v>
                </c:pt>
                <c:pt idx="25">
                  <c:v>13.3</c:v>
                </c:pt>
                <c:pt idx="26">
                  <c:v>-2.2</c:v>
                </c:pt>
                <c:pt idx="27">
                  <c:v>-46.5</c:v>
                </c:pt>
                <c:pt idx="28">
                  <c:v>-51.3</c:v>
                </c:pt>
                <c:pt idx="29">
                  <c:v>-39</c:v>
                </c:pt>
                <c:pt idx="30">
                  <c:v>-29</c:v>
                </c:pt>
                <c:pt idx="31">
                  <c:v>-15.5</c:v>
                </c:pt>
                <c:pt idx="32">
                  <c:v>-7.2</c:v>
                </c:pt>
                <c:pt idx="33">
                  <c:v>-8.6</c:v>
                </c:pt>
                <c:pt idx="34">
                  <c:v>-12.4</c:v>
                </c:pt>
                <c:pt idx="35">
                  <c:v>-7.8</c:v>
                </c:pt>
                <c:pt idx="36">
                  <c:v>-6.8</c:v>
                </c:pt>
                <c:pt idx="37">
                  <c:v>-6.5</c:v>
                </c:pt>
                <c:pt idx="38">
                  <c:v>-3</c:v>
                </c:pt>
                <c:pt idx="39">
                  <c:v>-1</c:v>
                </c:pt>
                <c:pt idx="40">
                  <c:v>5.3</c:v>
                </c:pt>
                <c:pt idx="41">
                  <c:v>13.7</c:v>
                </c:pt>
                <c:pt idx="42">
                  <c:v>15.6</c:v>
                </c:pt>
                <c:pt idx="43">
                  <c:v>16.5</c:v>
                </c:pt>
                <c:pt idx="44">
                  <c:v>16.1</c:v>
                </c:pt>
                <c:pt idx="45">
                  <c:v>17.1</c:v>
                </c:pt>
                <c:pt idx="46">
                  <c:v>17</c:v>
                </c:pt>
                <c:pt idx="47">
                  <c:v>13.8</c:v>
                </c:pt>
                <c:pt idx="48">
                  <c:v>12.6</c:v>
                </c:pt>
                <c:pt idx="49">
                  <c:v>14.9</c:v>
                </c:pt>
                <c:pt idx="50">
                  <c:v>13.5</c:v>
                </c:pt>
                <c:pt idx="51">
                  <c:v>13.1</c:v>
                </c:pt>
                <c:pt idx="52">
                  <c:v>13</c:v>
                </c:pt>
                <c:pt idx="53">
                  <c:v>12.4</c:v>
                </c:pt>
                <c:pt idx="54">
                  <c:v>9.4</c:v>
                </c:pt>
                <c:pt idx="55">
                  <c:v>8.5</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ser>
          <c:idx val="2"/>
          <c:order val="2"/>
          <c:tx>
            <c:strRef>
              <c:f>label 2</c:f>
              <c:strCache>
                <c:ptCount val="1"/>
                <c:pt idx="0">
                  <c:v>Încrederea consumatorilor</c:v>
                </c:pt>
              </c:strCache>
            </c:strRef>
          </c:tx>
          <c:spPr>
            <a:solidFill>
              <a:srgbClr val="a5a5a5"/>
            </a:solidFill>
            <a:ln w="28440">
              <a:solidFill>
                <a:srgbClr val="a5a5a5"/>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2</c:f>
              <c:numCache>
                <c:formatCode>General</c:formatCode>
                <c:ptCount val="952"/>
                <c:pt idx="0">
                  <c:v>-2.7</c:v>
                </c:pt>
                <c:pt idx="1">
                  <c:v>-3.3</c:v>
                </c:pt>
                <c:pt idx="2">
                  <c:v>-3.6</c:v>
                </c:pt>
                <c:pt idx="3">
                  <c:v>-3.4</c:v>
                </c:pt>
                <c:pt idx="4">
                  <c:v>-4.3</c:v>
                </c:pt>
                <c:pt idx="5">
                  <c:v>-4.3</c:v>
                </c:pt>
                <c:pt idx="6">
                  <c:v>-4.4</c:v>
                </c:pt>
                <c:pt idx="7">
                  <c:v>-4.8</c:v>
                </c:pt>
                <c:pt idx="8">
                  <c:v>-5.4</c:v>
                </c:pt>
                <c:pt idx="9">
                  <c:v>-4.9</c:v>
                </c:pt>
                <c:pt idx="10">
                  <c:v>-5.3</c:v>
                </c:pt>
                <c:pt idx="11">
                  <c:v>-6.5</c:v>
                </c:pt>
                <c:pt idx="12">
                  <c:v>-6</c:v>
                </c:pt>
                <c:pt idx="13">
                  <c:v>-6</c:v>
                </c:pt>
                <c:pt idx="14">
                  <c:v>-5.3</c:v>
                </c:pt>
                <c:pt idx="15">
                  <c:v>-5.9</c:v>
                </c:pt>
                <c:pt idx="16">
                  <c:v>-5.5</c:v>
                </c:pt>
                <c:pt idx="17">
                  <c:v>-6.1</c:v>
                </c:pt>
                <c:pt idx="18">
                  <c:v>-5.7</c:v>
                </c:pt>
                <c:pt idx="19">
                  <c:v>-6.3</c:v>
                </c:pt>
                <c:pt idx="20">
                  <c:v>-6</c:v>
                </c:pt>
                <c:pt idx="21">
                  <c:v>-6.4</c:v>
                </c:pt>
                <c:pt idx="22">
                  <c:v>-5.8</c:v>
                </c:pt>
                <c:pt idx="23">
                  <c:v>-6.4</c:v>
                </c:pt>
                <c:pt idx="24">
                  <c:v>-6.1</c:v>
                </c:pt>
                <c:pt idx="25">
                  <c:v>-5.5</c:v>
                </c:pt>
                <c:pt idx="26">
                  <c:v>-11</c:v>
                </c:pt>
                <c:pt idx="27">
                  <c:v>-24.7</c:v>
                </c:pt>
                <c:pt idx="28">
                  <c:v>-21.2</c:v>
                </c:pt>
                <c:pt idx="29">
                  <c:v>-16.3</c:v>
                </c:pt>
                <c:pt idx="30">
                  <c:v>-15.5</c:v>
                </c:pt>
                <c:pt idx="31">
                  <c:v>-14.9</c:v>
                </c:pt>
                <c:pt idx="32">
                  <c:v>-14.4</c:v>
                </c:pt>
                <c:pt idx="33">
                  <c:v>-15.1</c:v>
                </c:pt>
                <c:pt idx="34">
                  <c:v>-17</c:v>
                </c:pt>
                <c:pt idx="35">
                  <c:v>-13.1</c:v>
                </c:pt>
                <c:pt idx="36">
                  <c:v>-14</c:v>
                </c:pt>
                <c:pt idx="37">
                  <c:v>-13.4</c:v>
                </c:pt>
                <c:pt idx="38">
                  <c:v>-10.4</c:v>
                </c:pt>
                <c:pt idx="39">
                  <c:v>-10.3</c:v>
                </c:pt>
                <c:pt idx="40">
                  <c:v>-6.1</c:v>
                </c:pt>
                <c:pt idx="41">
                  <c:v>-4.2</c:v>
                </c:pt>
                <c:pt idx="42">
                  <c:v>-5.3</c:v>
                </c:pt>
                <c:pt idx="43">
                  <c:v>-6.5</c:v>
                </c:pt>
                <c:pt idx="44">
                  <c:v>-5.9</c:v>
                </c:pt>
                <c:pt idx="45">
                  <c:v>-7.2</c:v>
                </c:pt>
                <c:pt idx="46">
                  <c:v>-10</c:v>
                </c:pt>
                <c:pt idx="47">
                  <c:v>-10.4</c:v>
                </c:pt>
                <c:pt idx="48">
                  <c:v>-11.3</c:v>
                </c:pt>
                <c:pt idx="49">
                  <c:v>-11.7</c:v>
                </c:pt>
                <c:pt idx="50">
                  <c:v>-20.9</c:v>
                </c:pt>
                <c:pt idx="51">
                  <c:v>-21.8</c:v>
                </c:pt>
                <c:pt idx="52">
                  <c:v>-22.2</c:v>
                </c:pt>
                <c:pt idx="53">
                  <c:v>-24</c:v>
                </c:pt>
                <c:pt idx="54">
                  <c:v>-27</c:v>
                </c:pt>
                <c:pt idx="55">
                  <c:v>-26</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ser>
          <c:idx val="3"/>
          <c:order val="3"/>
          <c:tx>
            <c:strRef>
              <c:f>label 3</c:f>
              <c:strCache>
                <c:ptCount val="1"/>
                <c:pt idx="0">
                  <c:v>Comerț</c:v>
                </c:pt>
              </c:strCache>
            </c:strRef>
          </c:tx>
          <c:spPr>
            <a:solidFill>
              <a:srgbClr val="ffc000"/>
            </a:solidFill>
            <a:ln w="28440">
              <a:solidFill>
                <a:srgbClr val="ffc000"/>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3</c:f>
              <c:numCache>
                <c:formatCode>General</c:formatCode>
                <c:ptCount val="952"/>
                <c:pt idx="0">
                  <c:v>6.4</c:v>
                </c:pt>
                <c:pt idx="1">
                  <c:v>5.5</c:v>
                </c:pt>
                <c:pt idx="2">
                  <c:v>3.1</c:v>
                </c:pt>
                <c:pt idx="3">
                  <c:v>1.5</c:v>
                </c:pt>
                <c:pt idx="4">
                  <c:v>2.3</c:v>
                </c:pt>
                <c:pt idx="5">
                  <c:v>1.7</c:v>
                </c:pt>
                <c:pt idx="6">
                  <c:v>1.2</c:v>
                </c:pt>
                <c:pt idx="7">
                  <c:v>1.8</c:v>
                </c:pt>
                <c:pt idx="8">
                  <c:v>3</c:v>
                </c:pt>
                <c:pt idx="9">
                  <c:v>0.3</c:v>
                </c:pt>
                <c:pt idx="10">
                  <c:v>1</c:v>
                </c:pt>
                <c:pt idx="11">
                  <c:v>2.2</c:v>
                </c:pt>
                <c:pt idx="12">
                  <c:v>0.6</c:v>
                </c:pt>
                <c:pt idx="13">
                  <c:v>1</c:v>
                </c:pt>
                <c:pt idx="14">
                  <c:v>3</c:v>
                </c:pt>
                <c:pt idx="15">
                  <c:v>1.3</c:v>
                </c:pt>
                <c:pt idx="16">
                  <c:v>0.9</c:v>
                </c:pt>
                <c:pt idx="17">
                  <c:v>0.8</c:v>
                </c:pt>
                <c:pt idx="18">
                  <c:v>0.2</c:v>
                </c:pt>
                <c:pt idx="19">
                  <c:v>0.3</c:v>
                </c:pt>
                <c:pt idx="20">
                  <c:v>0.3</c:v>
                </c:pt>
                <c:pt idx="21">
                  <c:v>-0.6</c:v>
                </c:pt>
                <c:pt idx="22">
                  <c:v>0.9</c:v>
                </c:pt>
                <c:pt idx="23">
                  <c:v>3</c:v>
                </c:pt>
                <c:pt idx="24">
                  <c:v>2.6</c:v>
                </c:pt>
                <c:pt idx="25">
                  <c:v>2.1</c:v>
                </c:pt>
                <c:pt idx="26">
                  <c:v>-6.8</c:v>
                </c:pt>
                <c:pt idx="27">
                  <c:v>-34.2</c:v>
                </c:pt>
                <c:pt idx="28">
                  <c:v>-32.6</c:v>
                </c:pt>
                <c:pt idx="29">
                  <c:v>-19.5</c:v>
                </c:pt>
                <c:pt idx="30">
                  <c:v>-13.1</c:v>
                </c:pt>
                <c:pt idx="31">
                  <c:v>-8</c:v>
                </c:pt>
                <c:pt idx="32">
                  <c:v>-4.7</c:v>
                </c:pt>
                <c:pt idx="33">
                  <c:v>-3.1</c:v>
                </c:pt>
                <c:pt idx="34">
                  <c:v>-9.8</c:v>
                </c:pt>
                <c:pt idx="35">
                  <c:v>-8.1</c:v>
                </c:pt>
                <c:pt idx="36">
                  <c:v>-13.5</c:v>
                </c:pt>
                <c:pt idx="37">
                  <c:v>-14.4</c:v>
                </c:pt>
                <c:pt idx="38">
                  <c:v>-8.4</c:v>
                </c:pt>
                <c:pt idx="39">
                  <c:v>-4.9</c:v>
                </c:pt>
                <c:pt idx="40">
                  <c:v>-2</c:v>
                </c:pt>
                <c:pt idx="41">
                  <c:v>5.4</c:v>
                </c:pt>
                <c:pt idx="42">
                  <c:v>6.2</c:v>
                </c:pt>
                <c:pt idx="43">
                  <c:v>6.3</c:v>
                </c:pt>
                <c:pt idx="44">
                  <c:v>3.9</c:v>
                </c:pt>
                <c:pt idx="45">
                  <c:v>4.2</c:v>
                </c:pt>
                <c:pt idx="46">
                  <c:v>4.8</c:v>
                </c:pt>
                <c:pt idx="47">
                  <c:v>3.1</c:v>
                </c:pt>
                <c:pt idx="48">
                  <c:v>4</c:v>
                </c:pt>
                <c:pt idx="49">
                  <c:v>5.1</c:v>
                </c:pt>
                <c:pt idx="50">
                  <c:v>-1</c:v>
                </c:pt>
                <c:pt idx="51">
                  <c:v>-3</c:v>
                </c:pt>
                <c:pt idx="52">
                  <c:v>-3.1</c:v>
                </c:pt>
                <c:pt idx="53">
                  <c:v>-3.9</c:v>
                </c:pt>
                <c:pt idx="54">
                  <c:v>-6.1</c:v>
                </c:pt>
                <c:pt idx="55">
                  <c:v>-5.8</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ser>
          <c:idx val="4"/>
          <c:order val="4"/>
          <c:tx>
            <c:strRef>
              <c:f>label 4</c:f>
              <c:strCache>
                <c:ptCount val="1"/>
                <c:pt idx="0">
                  <c:v>Construcții</c:v>
                </c:pt>
              </c:strCache>
            </c:strRef>
          </c:tx>
          <c:spPr>
            <a:solidFill>
              <a:srgbClr val="4472c4"/>
            </a:solidFill>
            <a:ln w="28440">
              <a:solidFill>
                <a:srgbClr val="4472c4"/>
              </a:solidFill>
              <a:round/>
            </a:ln>
          </c:spPr>
          <c:marker>
            <c:symbol val="none"/>
          </c:marker>
          <c:dLbls>
            <c:numFmt formatCode="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952"/>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strCache>
            </c:strRef>
          </c:cat>
          <c:val>
            <c:numRef>
              <c:f>4</c:f>
              <c:numCache>
                <c:formatCode>General</c:formatCode>
                <c:ptCount val="952"/>
                <c:pt idx="0">
                  <c:v>4.6</c:v>
                </c:pt>
                <c:pt idx="1">
                  <c:v>4.6</c:v>
                </c:pt>
                <c:pt idx="2">
                  <c:v>5.3</c:v>
                </c:pt>
                <c:pt idx="3">
                  <c:v>5</c:v>
                </c:pt>
                <c:pt idx="4">
                  <c:v>6.2</c:v>
                </c:pt>
                <c:pt idx="5">
                  <c:v>4.8</c:v>
                </c:pt>
                <c:pt idx="6">
                  <c:v>5.8</c:v>
                </c:pt>
                <c:pt idx="7">
                  <c:v>6.6</c:v>
                </c:pt>
                <c:pt idx="8">
                  <c:v>7.6</c:v>
                </c:pt>
                <c:pt idx="9">
                  <c:v>7.6</c:v>
                </c:pt>
                <c:pt idx="10">
                  <c:v>8</c:v>
                </c:pt>
                <c:pt idx="11">
                  <c:v>7.4</c:v>
                </c:pt>
                <c:pt idx="12">
                  <c:v>7.4</c:v>
                </c:pt>
                <c:pt idx="13">
                  <c:v>7.3</c:v>
                </c:pt>
                <c:pt idx="14">
                  <c:v>7.1</c:v>
                </c:pt>
                <c:pt idx="15">
                  <c:v>6.6</c:v>
                </c:pt>
                <c:pt idx="16">
                  <c:v>5.5</c:v>
                </c:pt>
                <c:pt idx="17">
                  <c:v>5.8</c:v>
                </c:pt>
                <c:pt idx="18">
                  <c:v>4.5</c:v>
                </c:pt>
                <c:pt idx="19">
                  <c:v>4.4</c:v>
                </c:pt>
                <c:pt idx="20">
                  <c:v>3.6</c:v>
                </c:pt>
                <c:pt idx="21">
                  <c:v>4.6</c:v>
                </c:pt>
                <c:pt idx="22">
                  <c:v>3.9</c:v>
                </c:pt>
                <c:pt idx="23">
                  <c:v>5.1</c:v>
                </c:pt>
                <c:pt idx="24">
                  <c:v>4.3</c:v>
                </c:pt>
                <c:pt idx="25">
                  <c:v>4.1</c:v>
                </c:pt>
                <c:pt idx="26">
                  <c:v>-0.2</c:v>
                </c:pt>
                <c:pt idx="27">
                  <c:v>-22.3</c:v>
                </c:pt>
                <c:pt idx="28">
                  <c:v>-20.5</c:v>
                </c:pt>
                <c:pt idx="29">
                  <c:v>-14.8</c:v>
                </c:pt>
                <c:pt idx="30">
                  <c:v>-13</c:v>
                </c:pt>
                <c:pt idx="31">
                  <c:v>-11.2</c:v>
                </c:pt>
                <c:pt idx="32">
                  <c:v>-9.5</c:v>
                </c:pt>
                <c:pt idx="33">
                  <c:v>-8.1</c:v>
                </c:pt>
                <c:pt idx="34">
                  <c:v>-7.8</c:v>
                </c:pt>
                <c:pt idx="35">
                  <c:v>-6.8</c:v>
                </c:pt>
                <c:pt idx="36">
                  <c:v>-6.3</c:v>
                </c:pt>
                <c:pt idx="37">
                  <c:v>-5.1</c:v>
                </c:pt>
                <c:pt idx="38">
                  <c:v>-2.3</c:v>
                </c:pt>
                <c:pt idx="39">
                  <c:v>-0.3</c:v>
                </c:pt>
                <c:pt idx="40">
                  <c:v>1.4</c:v>
                </c:pt>
                <c:pt idx="41">
                  <c:v>3</c:v>
                </c:pt>
                <c:pt idx="42">
                  <c:v>3.1</c:v>
                </c:pt>
                <c:pt idx="43">
                  <c:v>4</c:v>
                </c:pt>
                <c:pt idx="44">
                  <c:v>5.7</c:v>
                </c:pt>
                <c:pt idx="45">
                  <c:v>7.1</c:v>
                </c:pt>
                <c:pt idx="46">
                  <c:v>7.8</c:v>
                </c:pt>
                <c:pt idx="47">
                  <c:v>8.4</c:v>
                </c:pt>
                <c:pt idx="48">
                  <c:v>7.5</c:v>
                </c:pt>
                <c:pt idx="49">
                  <c:v>7.8</c:v>
                </c:pt>
                <c:pt idx="50">
                  <c:v>6.8</c:v>
                </c:pt>
                <c:pt idx="51">
                  <c:v>4.6</c:v>
                </c:pt>
                <c:pt idx="52">
                  <c:v>4.1</c:v>
                </c:pt>
                <c:pt idx="53">
                  <c:v>1.8</c:v>
                </c:pt>
                <c:pt idx="54">
                  <c:v>1</c:v>
                </c:pt>
                <c:pt idx="55">
                  <c:v>1.4</c:v>
                </c:pt>
                <c:pt idx="56">
                  <c:v/>
                </c:pt>
                <c:pt idx="57">
                  <c:v/>
                </c:pt>
                <c:pt idx="58">
                  <c:v/>
                </c:pt>
                <c:pt idx="59">
                  <c:v/>
                </c:pt>
                <c:pt idx="60">
                  <c:v/>
                </c:pt>
                <c:pt idx="61">
                  <c:v/>
                </c:pt>
                <c:pt idx="62">
                  <c:v/>
                </c:pt>
                <c:pt idx="63">
                  <c:v/>
                </c:pt>
                <c:pt idx="64">
                  <c:v/>
                </c:pt>
                <c:pt idx="65">
                  <c:v/>
                </c:pt>
                <c:pt idx="66">
                  <c:v/>
                </c:pt>
                <c:pt idx="67">
                  <c:v/>
                </c:pt>
                <c:pt idx="68">
                  <c:v/>
                </c:pt>
                <c:pt idx="69">
                  <c:v/>
                </c:pt>
                <c:pt idx="70">
                  <c:v/>
                </c:pt>
                <c:pt idx="71">
                  <c:v/>
                </c:pt>
                <c:pt idx="72">
                  <c:v/>
                </c:pt>
                <c:pt idx="73">
                  <c:v/>
                </c:pt>
                <c:pt idx="74">
                  <c:v/>
                </c:pt>
                <c:pt idx="75">
                  <c:v/>
                </c:pt>
                <c:pt idx="76">
                  <c:v/>
                </c:pt>
                <c:pt idx="77">
                  <c:v/>
                </c:pt>
                <c:pt idx="78">
                  <c:v/>
                </c:pt>
                <c:pt idx="79">
                  <c:v/>
                </c:pt>
                <c:pt idx="80">
                  <c:v/>
                </c:pt>
                <c:pt idx="81">
                  <c:v/>
                </c:pt>
                <c:pt idx="82">
                  <c:v/>
                </c:pt>
                <c:pt idx="83">
                  <c:v/>
                </c:pt>
                <c:pt idx="84">
                  <c:v/>
                </c:pt>
                <c:pt idx="85">
                  <c:v/>
                </c:pt>
                <c:pt idx="86">
                  <c:v/>
                </c:pt>
                <c:pt idx="87">
                  <c:v/>
                </c:pt>
                <c:pt idx="88">
                  <c:v/>
                </c:pt>
                <c:pt idx="89">
                  <c:v/>
                </c:pt>
                <c:pt idx="90">
                  <c:v/>
                </c:pt>
                <c:pt idx="91">
                  <c:v/>
                </c:pt>
                <c:pt idx="92">
                  <c:v/>
                </c:pt>
                <c:pt idx="93">
                  <c:v/>
                </c:pt>
                <c:pt idx="94">
                  <c:v/>
                </c:pt>
                <c:pt idx="95">
                  <c:v/>
                </c:pt>
                <c:pt idx="96">
                  <c:v/>
                </c:pt>
                <c:pt idx="97">
                  <c:v/>
                </c:pt>
                <c:pt idx="98">
                  <c:v/>
                </c:pt>
                <c:pt idx="99">
                  <c:v/>
                </c:pt>
                <c:pt idx="100">
                  <c:v/>
                </c:pt>
                <c:pt idx="101">
                  <c:v/>
                </c:pt>
                <c:pt idx="102">
                  <c:v/>
                </c:pt>
                <c:pt idx="103">
                  <c:v/>
                </c:pt>
                <c:pt idx="104">
                  <c:v/>
                </c:pt>
                <c:pt idx="105">
                  <c:v/>
                </c:pt>
                <c:pt idx="106">
                  <c:v/>
                </c:pt>
                <c:pt idx="107">
                  <c:v/>
                </c:pt>
                <c:pt idx="108">
                  <c:v/>
                </c:pt>
                <c:pt idx="109">
                  <c:v/>
                </c:pt>
                <c:pt idx="110">
                  <c:v/>
                </c:pt>
                <c:pt idx="111">
                  <c:v/>
                </c:pt>
                <c:pt idx="112">
                  <c:v/>
                </c:pt>
                <c:pt idx="113">
                  <c:v/>
                </c:pt>
                <c:pt idx="114">
                  <c:v/>
                </c:pt>
                <c:pt idx="115">
                  <c:v/>
                </c:pt>
                <c:pt idx="116">
                  <c:v/>
                </c:pt>
                <c:pt idx="117">
                  <c:v/>
                </c:pt>
                <c:pt idx="118">
                  <c:v/>
                </c:pt>
                <c:pt idx="119">
                  <c:v/>
                </c:pt>
                <c:pt idx="120">
                  <c:v/>
                </c:pt>
                <c:pt idx="121">
                  <c:v/>
                </c:pt>
                <c:pt idx="122">
                  <c:v/>
                </c:pt>
                <c:pt idx="123">
                  <c:v/>
                </c:pt>
                <c:pt idx="124">
                  <c:v/>
                </c:pt>
                <c:pt idx="125">
                  <c:v/>
                </c:pt>
                <c:pt idx="126">
                  <c:v/>
                </c:pt>
                <c:pt idx="127">
                  <c:v/>
                </c:pt>
                <c:pt idx="128">
                  <c:v/>
                </c:pt>
                <c:pt idx="129">
                  <c:v/>
                </c:pt>
                <c:pt idx="130">
                  <c:v/>
                </c:pt>
                <c:pt idx="131">
                  <c:v/>
                </c:pt>
                <c:pt idx="132">
                  <c:v/>
                </c:pt>
                <c:pt idx="133">
                  <c:v/>
                </c:pt>
                <c:pt idx="134">
                  <c:v/>
                </c:pt>
                <c:pt idx="135">
                  <c:v/>
                </c:pt>
                <c:pt idx="136">
                  <c:v/>
                </c:pt>
                <c:pt idx="137">
                  <c:v/>
                </c:pt>
                <c:pt idx="138">
                  <c:v/>
                </c:pt>
                <c:pt idx="139">
                  <c:v/>
                </c:pt>
                <c:pt idx="140">
                  <c:v/>
                </c:pt>
                <c:pt idx="141">
                  <c:v/>
                </c:pt>
                <c:pt idx="142">
                  <c:v/>
                </c:pt>
                <c:pt idx="143">
                  <c:v/>
                </c:pt>
                <c:pt idx="144">
                  <c:v/>
                </c:pt>
                <c:pt idx="145">
                  <c:v/>
                </c:pt>
                <c:pt idx="146">
                  <c:v/>
                </c:pt>
                <c:pt idx="147">
                  <c:v/>
                </c:pt>
                <c:pt idx="148">
                  <c:v/>
                </c:pt>
                <c:pt idx="149">
                  <c:v/>
                </c:pt>
                <c:pt idx="150">
                  <c:v/>
                </c:pt>
                <c:pt idx="151">
                  <c:v/>
                </c:pt>
                <c:pt idx="152">
                  <c:v/>
                </c:pt>
                <c:pt idx="153">
                  <c:v/>
                </c:pt>
                <c:pt idx="154">
                  <c:v/>
                </c:pt>
                <c:pt idx="155">
                  <c:v/>
                </c:pt>
                <c:pt idx="156">
                  <c:v/>
                </c:pt>
                <c:pt idx="157">
                  <c:v/>
                </c:pt>
                <c:pt idx="158">
                  <c:v/>
                </c:pt>
                <c:pt idx="159">
                  <c:v/>
                </c:pt>
                <c:pt idx="160">
                  <c:v/>
                </c:pt>
                <c:pt idx="161">
                  <c:v/>
                </c:pt>
                <c:pt idx="162">
                  <c:v/>
                </c:pt>
                <c:pt idx="163">
                  <c:v/>
                </c:pt>
                <c:pt idx="164">
                  <c:v/>
                </c:pt>
                <c:pt idx="165">
                  <c:v/>
                </c:pt>
                <c:pt idx="166">
                  <c:v/>
                </c:pt>
                <c:pt idx="167">
                  <c:v/>
                </c:pt>
                <c:pt idx="168">
                  <c:v/>
                </c:pt>
                <c:pt idx="169">
                  <c:v/>
                </c:pt>
                <c:pt idx="170">
                  <c:v/>
                </c:pt>
                <c:pt idx="171">
                  <c:v/>
                </c:pt>
                <c:pt idx="172">
                  <c:v/>
                </c:pt>
                <c:pt idx="173">
                  <c:v/>
                </c:pt>
                <c:pt idx="174">
                  <c:v/>
                </c:pt>
                <c:pt idx="175">
                  <c:v/>
                </c:pt>
                <c:pt idx="176">
                  <c:v/>
                </c:pt>
                <c:pt idx="177">
                  <c:v/>
                </c:pt>
                <c:pt idx="178">
                  <c:v/>
                </c:pt>
                <c:pt idx="179">
                  <c:v/>
                </c:pt>
                <c:pt idx="180">
                  <c:v/>
                </c:pt>
                <c:pt idx="181">
                  <c:v/>
                </c:pt>
                <c:pt idx="182">
                  <c:v/>
                </c:pt>
                <c:pt idx="183">
                  <c:v/>
                </c:pt>
                <c:pt idx="184">
                  <c:v/>
                </c:pt>
                <c:pt idx="185">
                  <c:v/>
                </c:pt>
                <c:pt idx="186">
                  <c:v/>
                </c:pt>
                <c:pt idx="187">
                  <c:v/>
                </c:pt>
                <c:pt idx="188">
                  <c:v/>
                </c:pt>
                <c:pt idx="189">
                  <c:v/>
                </c:pt>
                <c:pt idx="190">
                  <c:v/>
                </c:pt>
                <c:pt idx="191">
                  <c:v/>
                </c:pt>
                <c:pt idx="192">
                  <c:v/>
                </c:pt>
                <c:pt idx="193">
                  <c:v/>
                </c:pt>
                <c:pt idx="194">
                  <c:v/>
                </c:pt>
                <c:pt idx="195">
                  <c:v/>
                </c:pt>
                <c:pt idx="196">
                  <c:v/>
                </c:pt>
                <c:pt idx="197">
                  <c:v/>
                </c:pt>
                <c:pt idx="198">
                  <c:v/>
                </c:pt>
                <c:pt idx="199">
                  <c:v/>
                </c:pt>
                <c:pt idx="200">
                  <c:v/>
                </c:pt>
                <c:pt idx="201">
                  <c:v/>
                </c:pt>
                <c:pt idx="202">
                  <c:v/>
                </c:pt>
                <c:pt idx="203">
                  <c:v/>
                </c:pt>
                <c:pt idx="204">
                  <c:v/>
                </c:pt>
                <c:pt idx="205">
                  <c:v/>
                </c:pt>
                <c:pt idx="206">
                  <c:v/>
                </c:pt>
                <c:pt idx="207">
                  <c:v/>
                </c:pt>
                <c:pt idx="208">
                  <c:v/>
                </c:pt>
                <c:pt idx="209">
                  <c:v/>
                </c:pt>
                <c:pt idx="210">
                  <c:v/>
                </c:pt>
                <c:pt idx="211">
                  <c:v/>
                </c:pt>
                <c:pt idx="212">
                  <c:v/>
                </c:pt>
                <c:pt idx="213">
                  <c:v/>
                </c:pt>
                <c:pt idx="214">
                  <c:v/>
                </c:pt>
                <c:pt idx="215">
                  <c:v/>
                </c:pt>
                <c:pt idx="216">
                  <c:v/>
                </c:pt>
                <c:pt idx="217">
                  <c:v/>
                </c:pt>
                <c:pt idx="218">
                  <c:v/>
                </c:pt>
                <c:pt idx="219">
                  <c:v/>
                </c:pt>
                <c:pt idx="220">
                  <c:v/>
                </c:pt>
                <c:pt idx="221">
                  <c:v/>
                </c:pt>
                <c:pt idx="222">
                  <c:v/>
                </c:pt>
                <c:pt idx="223">
                  <c:v/>
                </c:pt>
                <c:pt idx="224">
                  <c:v/>
                </c:pt>
                <c:pt idx="225">
                  <c:v/>
                </c:pt>
                <c:pt idx="226">
                  <c:v/>
                </c:pt>
                <c:pt idx="227">
                  <c:v/>
                </c:pt>
                <c:pt idx="228">
                  <c:v/>
                </c:pt>
                <c:pt idx="229">
                  <c:v/>
                </c:pt>
                <c:pt idx="230">
                  <c:v/>
                </c:pt>
                <c:pt idx="231">
                  <c:v/>
                </c:pt>
                <c:pt idx="232">
                  <c:v/>
                </c:pt>
                <c:pt idx="233">
                  <c:v/>
                </c:pt>
                <c:pt idx="234">
                  <c:v/>
                </c:pt>
                <c:pt idx="235">
                  <c:v/>
                </c:pt>
                <c:pt idx="236">
                  <c:v/>
                </c:pt>
                <c:pt idx="237">
                  <c:v/>
                </c:pt>
                <c:pt idx="238">
                  <c:v/>
                </c:pt>
                <c:pt idx="239">
                  <c:v/>
                </c:pt>
                <c:pt idx="240">
                  <c:v/>
                </c:pt>
                <c:pt idx="241">
                  <c:v/>
                </c:pt>
                <c:pt idx="242">
                  <c:v/>
                </c:pt>
                <c:pt idx="243">
                  <c:v/>
                </c:pt>
                <c:pt idx="244">
                  <c:v/>
                </c:pt>
                <c:pt idx="245">
                  <c:v/>
                </c:pt>
                <c:pt idx="246">
                  <c:v/>
                </c:pt>
                <c:pt idx="247">
                  <c:v/>
                </c:pt>
                <c:pt idx="248">
                  <c:v/>
                </c:pt>
                <c:pt idx="249">
                  <c:v/>
                </c:pt>
                <c:pt idx="250">
                  <c:v/>
                </c:pt>
                <c:pt idx="251">
                  <c:v/>
                </c:pt>
                <c:pt idx="252">
                  <c:v/>
                </c:pt>
                <c:pt idx="253">
                  <c:v/>
                </c:pt>
                <c:pt idx="254">
                  <c:v/>
                </c:pt>
                <c:pt idx="255">
                  <c:v/>
                </c:pt>
                <c:pt idx="256">
                  <c:v/>
                </c:pt>
                <c:pt idx="257">
                  <c:v/>
                </c:pt>
                <c:pt idx="258">
                  <c:v/>
                </c:pt>
                <c:pt idx="259">
                  <c:v/>
                </c:pt>
                <c:pt idx="260">
                  <c:v/>
                </c:pt>
                <c:pt idx="261">
                  <c:v/>
                </c:pt>
                <c:pt idx="262">
                  <c:v/>
                </c:pt>
                <c:pt idx="263">
                  <c:v/>
                </c:pt>
                <c:pt idx="264">
                  <c:v/>
                </c:pt>
                <c:pt idx="265">
                  <c:v/>
                </c:pt>
                <c:pt idx="266">
                  <c:v/>
                </c:pt>
                <c:pt idx="267">
                  <c:v/>
                </c:pt>
                <c:pt idx="268">
                  <c:v/>
                </c:pt>
                <c:pt idx="269">
                  <c:v/>
                </c:pt>
                <c:pt idx="270">
                  <c:v/>
                </c:pt>
                <c:pt idx="271">
                  <c:v/>
                </c:pt>
                <c:pt idx="272">
                  <c:v/>
                </c:pt>
                <c:pt idx="273">
                  <c:v/>
                </c:pt>
                <c:pt idx="274">
                  <c:v/>
                </c:pt>
                <c:pt idx="275">
                  <c:v/>
                </c:pt>
                <c:pt idx="276">
                  <c:v/>
                </c:pt>
                <c:pt idx="277">
                  <c:v/>
                </c:pt>
                <c:pt idx="278">
                  <c:v/>
                </c:pt>
                <c:pt idx="279">
                  <c:v/>
                </c:pt>
                <c:pt idx="280">
                  <c:v/>
                </c:pt>
                <c:pt idx="281">
                  <c:v/>
                </c:pt>
                <c:pt idx="282">
                  <c:v/>
                </c:pt>
                <c:pt idx="283">
                  <c:v/>
                </c:pt>
                <c:pt idx="284">
                  <c:v/>
                </c:pt>
                <c:pt idx="285">
                  <c:v/>
                </c:pt>
                <c:pt idx="286">
                  <c:v/>
                </c:pt>
                <c:pt idx="287">
                  <c:v/>
                </c:pt>
                <c:pt idx="288">
                  <c:v/>
                </c:pt>
                <c:pt idx="289">
                  <c:v/>
                </c:pt>
                <c:pt idx="290">
                  <c:v/>
                </c:pt>
                <c:pt idx="291">
                  <c:v/>
                </c:pt>
                <c:pt idx="292">
                  <c:v/>
                </c:pt>
                <c:pt idx="293">
                  <c:v/>
                </c:pt>
                <c:pt idx="294">
                  <c:v/>
                </c:pt>
                <c:pt idx="295">
                  <c:v/>
                </c:pt>
                <c:pt idx="296">
                  <c:v/>
                </c:pt>
                <c:pt idx="297">
                  <c:v/>
                </c:pt>
                <c:pt idx="298">
                  <c:v/>
                </c:pt>
                <c:pt idx="299">
                  <c:v/>
                </c:pt>
                <c:pt idx="300">
                  <c:v/>
                </c:pt>
                <c:pt idx="301">
                  <c:v/>
                </c:pt>
                <c:pt idx="302">
                  <c:v/>
                </c:pt>
                <c:pt idx="303">
                  <c:v/>
                </c:pt>
                <c:pt idx="304">
                  <c:v/>
                </c:pt>
                <c:pt idx="305">
                  <c:v/>
                </c:pt>
                <c:pt idx="306">
                  <c:v/>
                </c:pt>
                <c:pt idx="307">
                  <c:v/>
                </c:pt>
                <c:pt idx="308">
                  <c:v/>
                </c:pt>
                <c:pt idx="309">
                  <c:v/>
                </c:pt>
                <c:pt idx="310">
                  <c:v/>
                </c:pt>
                <c:pt idx="311">
                  <c:v/>
                </c:pt>
                <c:pt idx="312">
                  <c:v/>
                </c:pt>
                <c:pt idx="313">
                  <c:v/>
                </c:pt>
                <c:pt idx="314">
                  <c:v/>
                </c:pt>
                <c:pt idx="315">
                  <c:v/>
                </c:pt>
                <c:pt idx="316">
                  <c:v/>
                </c:pt>
                <c:pt idx="317">
                  <c:v/>
                </c:pt>
                <c:pt idx="318">
                  <c:v/>
                </c:pt>
                <c:pt idx="319">
                  <c:v/>
                </c:pt>
                <c:pt idx="320">
                  <c:v/>
                </c:pt>
                <c:pt idx="321">
                  <c:v/>
                </c:pt>
                <c:pt idx="322">
                  <c:v/>
                </c:pt>
                <c:pt idx="323">
                  <c:v/>
                </c:pt>
                <c:pt idx="324">
                  <c:v/>
                </c:pt>
                <c:pt idx="325">
                  <c:v/>
                </c:pt>
                <c:pt idx="326">
                  <c:v/>
                </c:pt>
                <c:pt idx="327">
                  <c:v/>
                </c:pt>
                <c:pt idx="328">
                  <c:v/>
                </c:pt>
                <c:pt idx="329">
                  <c:v/>
                </c:pt>
                <c:pt idx="330">
                  <c:v/>
                </c:pt>
                <c:pt idx="331">
                  <c:v/>
                </c:pt>
                <c:pt idx="332">
                  <c:v/>
                </c:pt>
                <c:pt idx="333">
                  <c:v/>
                </c:pt>
                <c:pt idx="334">
                  <c:v/>
                </c:pt>
                <c:pt idx="335">
                  <c:v/>
                </c:pt>
                <c:pt idx="336">
                  <c:v/>
                </c:pt>
                <c:pt idx="337">
                  <c:v/>
                </c:pt>
                <c:pt idx="338">
                  <c:v/>
                </c:pt>
                <c:pt idx="339">
                  <c:v/>
                </c:pt>
                <c:pt idx="340">
                  <c:v/>
                </c:pt>
                <c:pt idx="341">
                  <c:v/>
                </c:pt>
                <c:pt idx="342">
                  <c:v/>
                </c:pt>
                <c:pt idx="343">
                  <c:v/>
                </c:pt>
                <c:pt idx="344">
                  <c:v/>
                </c:pt>
                <c:pt idx="345">
                  <c:v/>
                </c:pt>
                <c:pt idx="346">
                  <c:v/>
                </c:pt>
                <c:pt idx="347">
                  <c:v/>
                </c:pt>
                <c:pt idx="348">
                  <c:v/>
                </c:pt>
                <c:pt idx="349">
                  <c:v/>
                </c:pt>
                <c:pt idx="350">
                  <c:v/>
                </c:pt>
                <c:pt idx="351">
                  <c:v/>
                </c:pt>
                <c:pt idx="352">
                  <c:v/>
                </c:pt>
                <c:pt idx="353">
                  <c:v/>
                </c:pt>
                <c:pt idx="354">
                  <c:v/>
                </c:pt>
                <c:pt idx="355">
                  <c:v/>
                </c:pt>
                <c:pt idx="356">
                  <c:v/>
                </c:pt>
                <c:pt idx="357">
                  <c:v/>
                </c:pt>
                <c:pt idx="358">
                  <c:v/>
                </c:pt>
                <c:pt idx="359">
                  <c:v/>
                </c:pt>
                <c:pt idx="360">
                  <c:v/>
                </c:pt>
                <c:pt idx="361">
                  <c:v/>
                </c:pt>
                <c:pt idx="362">
                  <c:v/>
                </c:pt>
                <c:pt idx="363">
                  <c:v/>
                </c:pt>
                <c:pt idx="364">
                  <c:v/>
                </c:pt>
                <c:pt idx="365">
                  <c:v/>
                </c:pt>
                <c:pt idx="366">
                  <c:v/>
                </c:pt>
                <c:pt idx="367">
                  <c:v/>
                </c:pt>
                <c:pt idx="368">
                  <c:v/>
                </c:pt>
                <c:pt idx="369">
                  <c:v/>
                </c:pt>
                <c:pt idx="370">
                  <c:v/>
                </c:pt>
                <c:pt idx="371">
                  <c:v/>
                </c:pt>
                <c:pt idx="372">
                  <c:v/>
                </c:pt>
                <c:pt idx="373">
                  <c:v/>
                </c:pt>
                <c:pt idx="374">
                  <c:v/>
                </c:pt>
                <c:pt idx="375">
                  <c:v/>
                </c:pt>
                <c:pt idx="376">
                  <c:v/>
                </c:pt>
                <c:pt idx="377">
                  <c:v/>
                </c:pt>
                <c:pt idx="378">
                  <c:v/>
                </c:pt>
                <c:pt idx="379">
                  <c:v/>
                </c:pt>
                <c:pt idx="380">
                  <c:v/>
                </c:pt>
                <c:pt idx="381">
                  <c:v/>
                </c:pt>
                <c:pt idx="382">
                  <c:v/>
                </c:pt>
                <c:pt idx="383">
                  <c:v/>
                </c:pt>
                <c:pt idx="384">
                  <c:v/>
                </c:pt>
                <c:pt idx="385">
                  <c:v/>
                </c:pt>
                <c:pt idx="386">
                  <c:v/>
                </c:pt>
                <c:pt idx="387">
                  <c:v/>
                </c:pt>
                <c:pt idx="388">
                  <c:v/>
                </c:pt>
                <c:pt idx="389">
                  <c:v/>
                </c:pt>
                <c:pt idx="390">
                  <c:v/>
                </c:pt>
                <c:pt idx="391">
                  <c:v/>
                </c:pt>
                <c:pt idx="392">
                  <c:v/>
                </c:pt>
                <c:pt idx="393">
                  <c:v/>
                </c:pt>
                <c:pt idx="394">
                  <c:v/>
                </c:pt>
                <c:pt idx="395">
                  <c:v/>
                </c:pt>
                <c:pt idx="396">
                  <c:v/>
                </c:pt>
                <c:pt idx="397">
                  <c:v/>
                </c:pt>
                <c:pt idx="398">
                  <c:v/>
                </c:pt>
                <c:pt idx="399">
                  <c:v/>
                </c:pt>
                <c:pt idx="400">
                  <c:v/>
                </c:pt>
                <c:pt idx="401">
                  <c:v/>
                </c:pt>
                <c:pt idx="402">
                  <c:v/>
                </c:pt>
                <c:pt idx="403">
                  <c:v/>
                </c:pt>
                <c:pt idx="404">
                  <c:v/>
                </c:pt>
                <c:pt idx="405">
                  <c:v/>
                </c:pt>
                <c:pt idx="406">
                  <c:v/>
                </c:pt>
                <c:pt idx="407">
                  <c:v/>
                </c:pt>
                <c:pt idx="408">
                  <c:v/>
                </c:pt>
                <c:pt idx="409">
                  <c:v/>
                </c:pt>
                <c:pt idx="410">
                  <c:v/>
                </c:pt>
                <c:pt idx="411">
                  <c:v/>
                </c:pt>
                <c:pt idx="412">
                  <c:v/>
                </c:pt>
                <c:pt idx="413">
                  <c:v/>
                </c:pt>
                <c:pt idx="414">
                  <c:v/>
                </c:pt>
                <c:pt idx="415">
                  <c:v/>
                </c:pt>
                <c:pt idx="416">
                  <c:v/>
                </c:pt>
                <c:pt idx="417">
                  <c:v/>
                </c:pt>
                <c:pt idx="418">
                  <c:v/>
                </c:pt>
                <c:pt idx="419">
                  <c:v/>
                </c:pt>
                <c:pt idx="420">
                  <c:v/>
                </c:pt>
                <c:pt idx="421">
                  <c:v/>
                </c:pt>
                <c:pt idx="422">
                  <c:v/>
                </c:pt>
                <c:pt idx="423">
                  <c:v/>
                </c:pt>
                <c:pt idx="424">
                  <c:v/>
                </c:pt>
                <c:pt idx="425">
                  <c:v/>
                </c:pt>
                <c:pt idx="426">
                  <c:v/>
                </c:pt>
                <c:pt idx="427">
                  <c:v/>
                </c:pt>
                <c:pt idx="428">
                  <c:v/>
                </c:pt>
                <c:pt idx="429">
                  <c:v/>
                </c:pt>
                <c:pt idx="430">
                  <c:v/>
                </c:pt>
                <c:pt idx="431">
                  <c:v/>
                </c:pt>
                <c:pt idx="432">
                  <c:v/>
                </c:pt>
                <c:pt idx="433">
                  <c:v/>
                </c:pt>
                <c:pt idx="434">
                  <c:v/>
                </c:pt>
                <c:pt idx="435">
                  <c:v/>
                </c:pt>
                <c:pt idx="436">
                  <c:v/>
                </c:pt>
                <c:pt idx="437">
                  <c:v/>
                </c:pt>
                <c:pt idx="438">
                  <c:v/>
                </c:pt>
                <c:pt idx="439">
                  <c:v/>
                </c:pt>
                <c:pt idx="440">
                  <c:v/>
                </c:pt>
                <c:pt idx="441">
                  <c:v/>
                </c:pt>
                <c:pt idx="442">
                  <c:v/>
                </c:pt>
                <c:pt idx="443">
                  <c:v/>
                </c:pt>
                <c:pt idx="444">
                  <c:v/>
                </c:pt>
                <c:pt idx="445">
                  <c:v/>
                </c:pt>
                <c:pt idx="446">
                  <c:v/>
                </c:pt>
                <c:pt idx="447">
                  <c:v/>
                </c:pt>
                <c:pt idx="448">
                  <c:v/>
                </c:pt>
                <c:pt idx="449">
                  <c:v/>
                </c:pt>
                <c:pt idx="450">
                  <c:v/>
                </c:pt>
                <c:pt idx="451">
                  <c:v/>
                </c:pt>
                <c:pt idx="452">
                  <c:v/>
                </c:pt>
                <c:pt idx="453">
                  <c:v/>
                </c:pt>
                <c:pt idx="454">
                  <c:v/>
                </c:pt>
                <c:pt idx="455">
                  <c:v/>
                </c:pt>
                <c:pt idx="456">
                  <c:v/>
                </c:pt>
                <c:pt idx="457">
                  <c:v/>
                </c:pt>
                <c:pt idx="458">
                  <c:v/>
                </c:pt>
                <c:pt idx="459">
                  <c:v/>
                </c:pt>
                <c:pt idx="460">
                  <c:v/>
                </c:pt>
                <c:pt idx="461">
                  <c:v/>
                </c:pt>
                <c:pt idx="462">
                  <c:v/>
                </c:pt>
                <c:pt idx="463">
                  <c:v/>
                </c:pt>
                <c:pt idx="464">
                  <c:v/>
                </c:pt>
                <c:pt idx="465">
                  <c:v/>
                </c:pt>
                <c:pt idx="466">
                  <c:v/>
                </c:pt>
                <c:pt idx="467">
                  <c:v/>
                </c:pt>
                <c:pt idx="468">
                  <c:v/>
                </c:pt>
                <c:pt idx="469">
                  <c:v/>
                </c:pt>
                <c:pt idx="470">
                  <c:v/>
                </c:pt>
                <c:pt idx="471">
                  <c:v/>
                </c:pt>
                <c:pt idx="472">
                  <c:v/>
                </c:pt>
                <c:pt idx="473">
                  <c:v/>
                </c:pt>
                <c:pt idx="474">
                  <c:v/>
                </c:pt>
                <c:pt idx="475">
                  <c:v/>
                </c:pt>
                <c:pt idx="476">
                  <c:v/>
                </c:pt>
                <c:pt idx="477">
                  <c:v/>
                </c:pt>
                <c:pt idx="478">
                  <c:v/>
                </c:pt>
                <c:pt idx="479">
                  <c:v/>
                </c:pt>
                <c:pt idx="480">
                  <c:v/>
                </c:pt>
                <c:pt idx="481">
                  <c:v/>
                </c:pt>
                <c:pt idx="482">
                  <c:v/>
                </c:pt>
                <c:pt idx="483">
                  <c:v/>
                </c:pt>
                <c:pt idx="484">
                  <c:v/>
                </c:pt>
                <c:pt idx="485">
                  <c:v/>
                </c:pt>
                <c:pt idx="486">
                  <c:v/>
                </c:pt>
                <c:pt idx="487">
                  <c:v/>
                </c:pt>
                <c:pt idx="488">
                  <c:v/>
                </c:pt>
                <c:pt idx="489">
                  <c:v/>
                </c:pt>
                <c:pt idx="490">
                  <c:v/>
                </c:pt>
                <c:pt idx="491">
                  <c:v/>
                </c:pt>
                <c:pt idx="492">
                  <c:v/>
                </c:pt>
                <c:pt idx="493">
                  <c:v/>
                </c:pt>
                <c:pt idx="494">
                  <c:v/>
                </c:pt>
                <c:pt idx="495">
                  <c:v/>
                </c:pt>
                <c:pt idx="496">
                  <c:v/>
                </c:pt>
                <c:pt idx="497">
                  <c:v/>
                </c:pt>
                <c:pt idx="498">
                  <c:v/>
                </c:pt>
                <c:pt idx="499">
                  <c:v/>
                </c:pt>
                <c:pt idx="500">
                  <c:v/>
                </c:pt>
                <c:pt idx="501">
                  <c:v/>
                </c:pt>
                <c:pt idx="502">
                  <c:v/>
                </c:pt>
                <c:pt idx="503">
                  <c:v/>
                </c:pt>
                <c:pt idx="504">
                  <c:v/>
                </c:pt>
                <c:pt idx="505">
                  <c:v/>
                </c:pt>
                <c:pt idx="506">
                  <c:v/>
                </c:pt>
                <c:pt idx="507">
                  <c:v/>
                </c:pt>
                <c:pt idx="508">
                  <c:v/>
                </c:pt>
                <c:pt idx="509">
                  <c:v/>
                </c:pt>
                <c:pt idx="510">
                  <c:v/>
                </c:pt>
                <c:pt idx="511">
                  <c:v/>
                </c:pt>
                <c:pt idx="512">
                  <c:v/>
                </c:pt>
                <c:pt idx="513">
                  <c:v/>
                </c:pt>
                <c:pt idx="514">
                  <c:v/>
                </c:pt>
                <c:pt idx="515">
                  <c:v/>
                </c:pt>
                <c:pt idx="516">
                  <c:v/>
                </c:pt>
                <c:pt idx="517">
                  <c:v/>
                </c:pt>
                <c:pt idx="518">
                  <c:v/>
                </c:pt>
                <c:pt idx="519">
                  <c:v/>
                </c:pt>
                <c:pt idx="520">
                  <c:v/>
                </c:pt>
                <c:pt idx="521">
                  <c:v/>
                </c:pt>
                <c:pt idx="522">
                  <c:v/>
                </c:pt>
                <c:pt idx="523">
                  <c:v/>
                </c:pt>
                <c:pt idx="524">
                  <c:v/>
                </c:pt>
                <c:pt idx="525">
                  <c:v/>
                </c:pt>
                <c:pt idx="526">
                  <c:v/>
                </c:pt>
                <c:pt idx="527">
                  <c:v/>
                </c:pt>
                <c:pt idx="528">
                  <c:v/>
                </c:pt>
                <c:pt idx="529">
                  <c:v/>
                </c:pt>
                <c:pt idx="530">
                  <c:v/>
                </c:pt>
                <c:pt idx="531">
                  <c:v/>
                </c:pt>
                <c:pt idx="532">
                  <c:v/>
                </c:pt>
                <c:pt idx="533">
                  <c:v/>
                </c:pt>
                <c:pt idx="534">
                  <c:v/>
                </c:pt>
                <c:pt idx="535">
                  <c:v/>
                </c:pt>
                <c:pt idx="536">
                  <c:v/>
                </c:pt>
                <c:pt idx="537">
                  <c:v/>
                </c:pt>
                <c:pt idx="538">
                  <c:v/>
                </c:pt>
                <c:pt idx="539">
                  <c:v/>
                </c:pt>
                <c:pt idx="540">
                  <c:v/>
                </c:pt>
                <c:pt idx="541">
                  <c:v/>
                </c:pt>
                <c:pt idx="542">
                  <c:v/>
                </c:pt>
                <c:pt idx="543">
                  <c:v/>
                </c:pt>
                <c:pt idx="544">
                  <c:v/>
                </c:pt>
                <c:pt idx="545">
                  <c:v/>
                </c:pt>
                <c:pt idx="546">
                  <c:v/>
                </c:pt>
                <c:pt idx="547">
                  <c:v/>
                </c:pt>
                <c:pt idx="548">
                  <c:v/>
                </c:pt>
                <c:pt idx="549">
                  <c:v/>
                </c:pt>
                <c:pt idx="550">
                  <c:v/>
                </c:pt>
                <c:pt idx="551">
                  <c:v/>
                </c:pt>
                <c:pt idx="552">
                  <c:v/>
                </c:pt>
                <c:pt idx="553">
                  <c:v/>
                </c:pt>
                <c:pt idx="554">
                  <c:v/>
                </c:pt>
                <c:pt idx="555">
                  <c:v/>
                </c:pt>
                <c:pt idx="556">
                  <c:v/>
                </c:pt>
                <c:pt idx="557">
                  <c:v/>
                </c:pt>
                <c:pt idx="558">
                  <c:v/>
                </c:pt>
                <c:pt idx="559">
                  <c:v/>
                </c:pt>
                <c:pt idx="560">
                  <c:v/>
                </c:pt>
                <c:pt idx="561">
                  <c:v/>
                </c:pt>
                <c:pt idx="562">
                  <c:v/>
                </c:pt>
                <c:pt idx="563">
                  <c:v/>
                </c:pt>
                <c:pt idx="564">
                  <c:v/>
                </c:pt>
                <c:pt idx="565">
                  <c:v/>
                </c:pt>
                <c:pt idx="566">
                  <c:v/>
                </c:pt>
                <c:pt idx="567">
                  <c:v/>
                </c:pt>
                <c:pt idx="568">
                  <c:v/>
                </c:pt>
                <c:pt idx="569">
                  <c:v/>
                </c:pt>
                <c:pt idx="570">
                  <c:v/>
                </c:pt>
                <c:pt idx="571">
                  <c:v/>
                </c:pt>
                <c:pt idx="572">
                  <c:v/>
                </c:pt>
                <c:pt idx="573">
                  <c:v/>
                </c:pt>
                <c:pt idx="574">
                  <c:v/>
                </c:pt>
                <c:pt idx="575">
                  <c:v/>
                </c:pt>
                <c:pt idx="576">
                  <c:v/>
                </c:pt>
                <c:pt idx="577">
                  <c:v/>
                </c:pt>
                <c:pt idx="578">
                  <c:v/>
                </c:pt>
                <c:pt idx="579">
                  <c:v/>
                </c:pt>
                <c:pt idx="580">
                  <c:v/>
                </c:pt>
                <c:pt idx="581">
                  <c:v/>
                </c:pt>
                <c:pt idx="582">
                  <c:v/>
                </c:pt>
                <c:pt idx="583">
                  <c:v/>
                </c:pt>
                <c:pt idx="584">
                  <c:v/>
                </c:pt>
                <c:pt idx="585">
                  <c:v/>
                </c:pt>
                <c:pt idx="586">
                  <c:v/>
                </c:pt>
                <c:pt idx="587">
                  <c:v/>
                </c:pt>
                <c:pt idx="588">
                  <c:v/>
                </c:pt>
                <c:pt idx="589">
                  <c:v/>
                </c:pt>
                <c:pt idx="590">
                  <c:v/>
                </c:pt>
                <c:pt idx="591">
                  <c:v/>
                </c:pt>
                <c:pt idx="592">
                  <c:v/>
                </c:pt>
                <c:pt idx="593">
                  <c:v/>
                </c:pt>
                <c:pt idx="594">
                  <c:v/>
                </c:pt>
                <c:pt idx="595">
                  <c:v/>
                </c:pt>
                <c:pt idx="596">
                  <c:v/>
                </c:pt>
                <c:pt idx="597">
                  <c:v/>
                </c:pt>
                <c:pt idx="598">
                  <c:v/>
                </c:pt>
                <c:pt idx="599">
                  <c:v/>
                </c:pt>
                <c:pt idx="600">
                  <c:v/>
                </c:pt>
                <c:pt idx="601">
                  <c:v/>
                </c:pt>
                <c:pt idx="602">
                  <c:v/>
                </c:pt>
                <c:pt idx="603">
                  <c:v/>
                </c:pt>
                <c:pt idx="604">
                  <c:v/>
                </c:pt>
                <c:pt idx="605">
                  <c:v/>
                </c:pt>
                <c:pt idx="606">
                  <c:v/>
                </c:pt>
                <c:pt idx="607">
                  <c:v/>
                </c:pt>
                <c:pt idx="608">
                  <c:v/>
                </c:pt>
                <c:pt idx="609">
                  <c:v/>
                </c:pt>
                <c:pt idx="610">
                  <c:v/>
                </c:pt>
                <c:pt idx="611">
                  <c:v/>
                </c:pt>
                <c:pt idx="612">
                  <c:v/>
                </c:pt>
                <c:pt idx="613">
                  <c:v/>
                </c:pt>
                <c:pt idx="614">
                  <c:v/>
                </c:pt>
                <c:pt idx="615">
                  <c:v/>
                </c:pt>
                <c:pt idx="616">
                  <c:v/>
                </c:pt>
                <c:pt idx="617">
                  <c:v/>
                </c:pt>
                <c:pt idx="618">
                  <c:v/>
                </c:pt>
                <c:pt idx="619">
                  <c:v/>
                </c:pt>
                <c:pt idx="620">
                  <c:v/>
                </c:pt>
                <c:pt idx="621">
                  <c:v/>
                </c:pt>
                <c:pt idx="622">
                  <c:v/>
                </c:pt>
                <c:pt idx="623">
                  <c:v/>
                </c:pt>
                <c:pt idx="624">
                  <c:v/>
                </c:pt>
                <c:pt idx="625">
                  <c:v/>
                </c:pt>
                <c:pt idx="626">
                  <c:v/>
                </c:pt>
                <c:pt idx="627">
                  <c:v/>
                </c:pt>
                <c:pt idx="628">
                  <c:v/>
                </c:pt>
                <c:pt idx="629">
                  <c:v/>
                </c:pt>
                <c:pt idx="630">
                  <c:v/>
                </c:pt>
                <c:pt idx="631">
                  <c:v/>
                </c:pt>
                <c:pt idx="632">
                  <c:v/>
                </c:pt>
                <c:pt idx="633">
                  <c:v/>
                </c:pt>
                <c:pt idx="634">
                  <c:v/>
                </c:pt>
                <c:pt idx="635">
                  <c:v/>
                </c:pt>
                <c:pt idx="636">
                  <c:v/>
                </c:pt>
                <c:pt idx="637">
                  <c:v/>
                </c:pt>
                <c:pt idx="638">
                  <c:v/>
                </c:pt>
                <c:pt idx="639">
                  <c:v/>
                </c:pt>
                <c:pt idx="640">
                  <c:v/>
                </c:pt>
                <c:pt idx="641">
                  <c:v/>
                </c:pt>
                <c:pt idx="642">
                  <c:v/>
                </c:pt>
                <c:pt idx="643">
                  <c:v/>
                </c:pt>
                <c:pt idx="644">
                  <c:v/>
                </c:pt>
                <c:pt idx="645">
                  <c:v/>
                </c:pt>
                <c:pt idx="646">
                  <c:v/>
                </c:pt>
                <c:pt idx="647">
                  <c:v/>
                </c:pt>
                <c:pt idx="648">
                  <c:v/>
                </c:pt>
                <c:pt idx="649">
                  <c:v/>
                </c:pt>
                <c:pt idx="650">
                  <c:v/>
                </c:pt>
                <c:pt idx="651">
                  <c:v/>
                </c:pt>
                <c:pt idx="652">
                  <c:v/>
                </c:pt>
                <c:pt idx="653">
                  <c:v/>
                </c:pt>
                <c:pt idx="654">
                  <c:v/>
                </c:pt>
                <c:pt idx="655">
                  <c:v/>
                </c:pt>
                <c:pt idx="656">
                  <c:v/>
                </c:pt>
                <c:pt idx="657">
                  <c:v/>
                </c:pt>
                <c:pt idx="658">
                  <c:v/>
                </c:pt>
                <c:pt idx="659">
                  <c:v/>
                </c:pt>
                <c:pt idx="660">
                  <c:v/>
                </c:pt>
                <c:pt idx="661">
                  <c:v/>
                </c:pt>
                <c:pt idx="662">
                  <c:v/>
                </c:pt>
                <c:pt idx="663">
                  <c:v/>
                </c:pt>
                <c:pt idx="664">
                  <c:v/>
                </c:pt>
                <c:pt idx="665">
                  <c:v/>
                </c:pt>
                <c:pt idx="666">
                  <c:v/>
                </c:pt>
                <c:pt idx="667">
                  <c:v/>
                </c:pt>
                <c:pt idx="668">
                  <c:v/>
                </c:pt>
                <c:pt idx="669">
                  <c:v/>
                </c:pt>
                <c:pt idx="670">
                  <c:v/>
                </c:pt>
                <c:pt idx="671">
                  <c:v/>
                </c:pt>
                <c:pt idx="672">
                  <c:v/>
                </c:pt>
                <c:pt idx="673">
                  <c:v/>
                </c:pt>
                <c:pt idx="674">
                  <c:v/>
                </c:pt>
                <c:pt idx="675">
                  <c:v/>
                </c:pt>
                <c:pt idx="676">
                  <c:v/>
                </c:pt>
                <c:pt idx="677">
                  <c:v/>
                </c:pt>
                <c:pt idx="678">
                  <c:v/>
                </c:pt>
                <c:pt idx="679">
                  <c:v/>
                </c:pt>
                <c:pt idx="680">
                  <c:v/>
                </c:pt>
                <c:pt idx="681">
                  <c:v/>
                </c:pt>
                <c:pt idx="682">
                  <c:v/>
                </c:pt>
                <c:pt idx="683">
                  <c:v/>
                </c:pt>
                <c:pt idx="684">
                  <c:v/>
                </c:pt>
                <c:pt idx="685">
                  <c:v/>
                </c:pt>
                <c:pt idx="686">
                  <c:v/>
                </c:pt>
                <c:pt idx="687">
                  <c:v/>
                </c:pt>
                <c:pt idx="688">
                  <c:v/>
                </c:pt>
                <c:pt idx="689">
                  <c:v/>
                </c:pt>
                <c:pt idx="690">
                  <c:v/>
                </c:pt>
                <c:pt idx="691">
                  <c:v/>
                </c:pt>
                <c:pt idx="692">
                  <c:v/>
                </c:pt>
                <c:pt idx="693">
                  <c:v/>
                </c:pt>
                <c:pt idx="694">
                  <c:v/>
                </c:pt>
                <c:pt idx="695">
                  <c:v/>
                </c:pt>
                <c:pt idx="696">
                  <c:v/>
                </c:pt>
                <c:pt idx="697">
                  <c:v/>
                </c:pt>
                <c:pt idx="698">
                  <c:v/>
                </c:pt>
                <c:pt idx="699">
                  <c:v/>
                </c:pt>
                <c:pt idx="700">
                  <c:v/>
                </c:pt>
                <c:pt idx="701">
                  <c:v/>
                </c:pt>
                <c:pt idx="702">
                  <c:v/>
                </c:pt>
                <c:pt idx="703">
                  <c:v/>
                </c:pt>
                <c:pt idx="704">
                  <c:v/>
                </c:pt>
                <c:pt idx="705">
                  <c:v/>
                </c:pt>
                <c:pt idx="706">
                  <c:v/>
                </c:pt>
                <c:pt idx="707">
                  <c:v/>
                </c:pt>
                <c:pt idx="708">
                  <c:v/>
                </c:pt>
                <c:pt idx="709">
                  <c:v/>
                </c:pt>
                <c:pt idx="710">
                  <c:v/>
                </c:pt>
                <c:pt idx="711">
                  <c:v/>
                </c:pt>
                <c:pt idx="712">
                  <c:v/>
                </c:pt>
                <c:pt idx="713">
                  <c:v/>
                </c:pt>
                <c:pt idx="714">
                  <c:v/>
                </c:pt>
                <c:pt idx="715">
                  <c:v/>
                </c:pt>
                <c:pt idx="716">
                  <c:v/>
                </c:pt>
                <c:pt idx="717">
                  <c:v/>
                </c:pt>
                <c:pt idx="718">
                  <c:v/>
                </c:pt>
                <c:pt idx="719">
                  <c:v/>
                </c:pt>
                <c:pt idx="720">
                  <c:v/>
                </c:pt>
                <c:pt idx="721">
                  <c:v/>
                </c:pt>
                <c:pt idx="722">
                  <c:v/>
                </c:pt>
                <c:pt idx="723">
                  <c:v/>
                </c:pt>
                <c:pt idx="724">
                  <c:v/>
                </c:pt>
                <c:pt idx="725">
                  <c:v/>
                </c:pt>
                <c:pt idx="726">
                  <c:v/>
                </c:pt>
                <c:pt idx="727">
                  <c:v/>
                </c:pt>
                <c:pt idx="728">
                  <c:v/>
                </c:pt>
                <c:pt idx="729">
                  <c:v/>
                </c:pt>
                <c:pt idx="730">
                  <c:v/>
                </c:pt>
                <c:pt idx="731">
                  <c:v/>
                </c:pt>
                <c:pt idx="732">
                  <c:v/>
                </c:pt>
                <c:pt idx="733">
                  <c:v/>
                </c:pt>
                <c:pt idx="734">
                  <c:v/>
                </c:pt>
                <c:pt idx="735">
                  <c:v/>
                </c:pt>
                <c:pt idx="736">
                  <c:v/>
                </c:pt>
                <c:pt idx="737">
                  <c:v/>
                </c:pt>
                <c:pt idx="738">
                  <c:v/>
                </c:pt>
                <c:pt idx="739">
                  <c:v/>
                </c:pt>
                <c:pt idx="740">
                  <c:v/>
                </c:pt>
                <c:pt idx="741">
                  <c:v/>
                </c:pt>
                <c:pt idx="742">
                  <c:v/>
                </c:pt>
                <c:pt idx="743">
                  <c:v/>
                </c:pt>
                <c:pt idx="744">
                  <c:v/>
                </c:pt>
                <c:pt idx="745">
                  <c:v/>
                </c:pt>
                <c:pt idx="746">
                  <c:v/>
                </c:pt>
                <c:pt idx="747">
                  <c:v/>
                </c:pt>
                <c:pt idx="748">
                  <c:v/>
                </c:pt>
                <c:pt idx="749">
                  <c:v/>
                </c:pt>
                <c:pt idx="750">
                  <c:v/>
                </c:pt>
                <c:pt idx="751">
                  <c:v/>
                </c:pt>
                <c:pt idx="752">
                  <c:v/>
                </c:pt>
                <c:pt idx="753">
                  <c:v/>
                </c:pt>
                <c:pt idx="754">
                  <c:v/>
                </c:pt>
                <c:pt idx="755">
                  <c:v/>
                </c:pt>
                <c:pt idx="756">
                  <c:v/>
                </c:pt>
                <c:pt idx="757">
                  <c:v/>
                </c:pt>
                <c:pt idx="758">
                  <c:v/>
                </c:pt>
                <c:pt idx="759">
                  <c:v/>
                </c:pt>
                <c:pt idx="760">
                  <c:v/>
                </c:pt>
                <c:pt idx="761">
                  <c:v/>
                </c:pt>
                <c:pt idx="762">
                  <c:v/>
                </c:pt>
                <c:pt idx="763">
                  <c:v/>
                </c:pt>
                <c:pt idx="764">
                  <c:v/>
                </c:pt>
                <c:pt idx="765">
                  <c:v/>
                </c:pt>
                <c:pt idx="766">
                  <c:v/>
                </c:pt>
                <c:pt idx="767">
                  <c:v/>
                </c:pt>
                <c:pt idx="768">
                  <c:v/>
                </c:pt>
                <c:pt idx="769">
                  <c:v/>
                </c:pt>
                <c:pt idx="770">
                  <c:v/>
                </c:pt>
                <c:pt idx="771">
                  <c:v/>
                </c:pt>
                <c:pt idx="772">
                  <c:v/>
                </c:pt>
                <c:pt idx="773">
                  <c:v/>
                </c:pt>
                <c:pt idx="774">
                  <c:v/>
                </c:pt>
                <c:pt idx="775">
                  <c:v/>
                </c:pt>
                <c:pt idx="776">
                  <c:v/>
                </c:pt>
                <c:pt idx="777">
                  <c:v/>
                </c:pt>
                <c:pt idx="778">
                  <c:v/>
                </c:pt>
                <c:pt idx="779">
                  <c:v/>
                </c:pt>
                <c:pt idx="780">
                  <c:v/>
                </c:pt>
                <c:pt idx="781">
                  <c:v/>
                </c:pt>
                <c:pt idx="782">
                  <c:v/>
                </c:pt>
                <c:pt idx="783">
                  <c:v/>
                </c:pt>
                <c:pt idx="784">
                  <c:v/>
                </c:pt>
                <c:pt idx="785">
                  <c:v/>
                </c:pt>
                <c:pt idx="786">
                  <c:v/>
                </c:pt>
                <c:pt idx="787">
                  <c:v/>
                </c:pt>
                <c:pt idx="788">
                  <c:v/>
                </c:pt>
                <c:pt idx="789">
                  <c:v/>
                </c:pt>
                <c:pt idx="790">
                  <c:v/>
                </c:pt>
                <c:pt idx="791">
                  <c:v/>
                </c:pt>
                <c:pt idx="792">
                  <c:v/>
                </c:pt>
                <c:pt idx="793">
                  <c:v/>
                </c:pt>
                <c:pt idx="794">
                  <c:v/>
                </c:pt>
                <c:pt idx="795">
                  <c:v/>
                </c:pt>
                <c:pt idx="796">
                  <c:v/>
                </c:pt>
                <c:pt idx="797">
                  <c:v/>
                </c:pt>
                <c:pt idx="798">
                  <c:v/>
                </c:pt>
                <c:pt idx="799">
                  <c:v/>
                </c:pt>
                <c:pt idx="800">
                  <c:v/>
                </c:pt>
                <c:pt idx="801">
                  <c:v/>
                </c:pt>
                <c:pt idx="802">
                  <c:v/>
                </c:pt>
                <c:pt idx="803">
                  <c:v/>
                </c:pt>
                <c:pt idx="804">
                  <c:v/>
                </c:pt>
                <c:pt idx="805">
                  <c:v/>
                </c:pt>
                <c:pt idx="806">
                  <c:v/>
                </c:pt>
                <c:pt idx="807">
                  <c:v/>
                </c:pt>
                <c:pt idx="808">
                  <c:v/>
                </c:pt>
                <c:pt idx="809">
                  <c:v/>
                </c:pt>
                <c:pt idx="810">
                  <c:v/>
                </c:pt>
                <c:pt idx="811">
                  <c:v/>
                </c:pt>
                <c:pt idx="812">
                  <c:v/>
                </c:pt>
                <c:pt idx="813">
                  <c:v/>
                </c:pt>
                <c:pt idx="814">
                  <c:v/>
                </c:pt>
                <c:pt idx="815">
                  <c:v/>
                </c:pt>
                <c:pt idx="816">
                  <c:v/>
                </c:pt>
                <c:pt idx="817">
                  <c:v/>
                </c:pt>
                <c:pt idx="818">
                  <c:v/>
                </c:pt>
                <c:pt idx="819">
                  <c:v/>
                </c:pt>
                <c:pt idx="820">
                  <c:v/>
                </c:pt>
                <c:pt idx="821">
                  <c:v/>
                </c:pt>
                <c:pt idx="822">
                  <c:v/>
                </c:pt>
                <c:pt idx="823">
                  <c:v/>
                </c:pt>
                <c:pt idx="824">
                  <c:v/>
                </c:pt>
                <c:pt idx="825">
                  <c:v/>
                </c:pt>
                <c:pt idx="826">
                  <c:v/>
                </c:pt>
                <c:pt idx="827">
                  <c:v/>
                </c:pt>
                <c:pt idx="828">
                  <c:v/>
                </c:pt>
                <c:pt idx="829">
                  <c:v/>
                </c:pt>
                <c:pt idx="830">
                  <c:v/>
                </c:pt>
                <c:pt idx="831">
                  <c:v/>
                </c:pt>
                <c:pt idx="832">
                  <c:v/>
                </c:pt>
                <c:pt idx="833">
                  <c:v/>
                </c:pt>
                <c:pt idx="834">
                  <c:v/>
                </c:pt>
                <c:pt idx="835">
                  <c:v/>
                </c:pt>
                <c:pt idx="836">
                  <c:v/>
                </c:pt>
                <c:pt idx="837">
                  <c:v/>
                </c:pt>
                <c:pt idx="838">
                  <c:v/>
                </c:pt>
                <c:pt idx="839">
                  <c:v/>
                </c:pt>
                <c:pt idx="840">
                  <c:v/>
                </c:pt>
                <c:pt idx="841">
                  <c:v/>
                </c:pt>
                <c:pt idx="842">
                  <c:v/>
                </c:pt>
                <c:pt idx="843">
                  <c:v/>
                </c:pt>
                <c:pt idx="844">
                  <c:v/>
                </c:pt>
                <c:pt idx="845">
                  <c:v/>
                </c:pt>
                <c:pt idx="846">
                  <c:v/>
                </c:pt>
                <c:pt idx="847">
                  <c:v/>
                </c:pt>
                <c:pt idx="848">
                  <c:v/>
                </c:pt>
                <c:pt idx="849">
                  <c:v/>
                </c:pt>
                <c:pt idx="850">
                  <c:v/>
                </c:pt>
                <c:pt idx="851">
                  <c:v/>
                </c:pt>
                <c:pt idx="852">
                  <c:v/>
                </c:pt>
                <c:pt idx="853">
                  <c:v/>
                </c:pt>
                <c:pt idx="854">
                  <c:v/>
                </c:pt>
                <c:pt idx="855">
                  <c:v/>
                </c:pt>
                <c:pt idx="856">
                  <c:v/>
                </c:pt>
                <c:pt idx="857">
                  <c:v/>
                </c:pt>
                <c:pt idx="858">
                  <c:v/>
                </c:pt>
                <c:pt idx="859">
                  <c:v/>
                </c:pt>
                <c:pt idx="860">
                  <c:v/>
                </c:pt>
                <c:pt idx="861">
                  <c:v/>
                </c:pt>
                <c:pt idx="862">
                  <c:v/>
                </c:pt>
                <c:pt idx="863">
                  <c:v/>
                </c:pt>
                <c:pt idx="864">
                  <c:v/>
                </c:pt>
                <c:pt idx="865">
                  <c:v/>
                </c:pt>
                <c:pt idx="866">
                  <c:v/>
                </c:pt>
                <c:pt idx="867">
                  <c:v/>
                </c:pt>
                <c:pt idx="868">
                  <c:v/>
                </c:pt>
                <c:pt idx="869">
                  <c:v/>
                </c:pt>
                <c:pt idx="870">
                  <c:v/>
                </c:pt>
                <c:pt idx="871">
                  <c:v/>
                </c:pt>
                <c:pt idx="872">
                  <c:v/>
                </c:pt>
                <c:pt idx="873">
                  <c:v/>
                </c:pt>
                <c:pt idx="874">
                  <c:v/>
                </c:pt>
                <c:pt idx="875">
                  <c:v/>
                </c:pt>
                <c:pt idx="876">
                  <c:v/>
                </c:pt>
                <c:pt idx="877">
                  <c:v/>
                </c:pt>
                <c:pt idx="878">
                  <c:v/>
                </c:pt>
                <c:pt idx="879">
                  <c:v/>
                </c:pt>
                <c:pt idx="880">
                  <c:v/>
                </c:pt>
                <c:pt idx="881">
                  <c:v/>
                </c:pt>
                <c:pt idx="882">
                  <c:v/>
                </c:pt>
                <c:pt idx="883">
                  <c:v/>
                </c:pt>
                <c:pt idx="884">
                  <c:v/>
                </c:pt>
                <c:pt idx="885">
                  <c:v/>
                </c:pt>
                <c:pt idx="886">
                  <c:v/>
                </c:pt>
                <c:pt idx="887">
                  <c:v/>
                </c:pt>
                <c:pt idx="888">
                  <c:v/>
                </c:pt>
                <c:pt idx="889">
                  <c:v/>
                </c:pt>
                <c:pt idx="890">
                  <c:v/>
                </c:pt>
                <c:pt idx="891">
                  <c:v/>
                </c:pt>
                <c:pt idx="892">
                  <c:v/>
                </c:pt>
                <c:pt idx="893">
                  <c:v/>
                </c:pt>
                <c:pt idx="894">
                  <c:v/>
                </c:pt>
                <c:pt idx="895">
                  <c:v/>
                </c:pt>
                <c:pt idx="896">
                  <c:v/>
                </c:pt>
                <c:pt idx="897">
                  <c:v/>
                </c:pt>
                <c:pt idx="898">
                  <c:v/>
                </c:pt>
                <c:pt idx="899">
                  <c:v/>
                </c:pt>
                <c:pt idx="900">
                  <c:v/>
                </c:pt>
                <c:pt idx="901">
                  <c:v/>
                </c:pt>
                <c:pt idx="902">
                  <c:v/>
                </c:pt>
                <c:pt idx="903">
                  <c:v/>
                </c:pt>
                <c:pt idx="904">
                  <c:v/>
                </c:pt>
                <c:pt idx="905">
                  <c:v/>
                </c:pt>
                <c:pt idx="906">
                  <c:v/>
                </c:pt>
                <c:pt idx="907">
                  <c:v/>
                </c:pt>
                <c:pt idx="908">
                  <c:v/>
                </c:pt>
                <c:pt idx="909">
                  <c:v/>
                </c:pt>
                <c:pt idx="910">
                  <c:v/>
                </c:pt>
                <c:pt idx="911">
                  <c:v/>
                </c:pt>
                <c:pt idx="912">
                  <c:v/>
                </c:pt>
                <c:pt idx="913">
                  <c:v/>
                </c:pt>
                <c:pt idx="914">
                  <c:v/>
                </c:pt>
                <c:pt idx="915">
                  <c:v/>
                </c:pt>
                <c:pt idx="916">
                  <c:v/>
                </c:pt>
                <c:pt idx="917">
                  <c:v/>
                </c:pt>
                <c:pt idx="918">
                  <c:v/>
                </c:pt>
                <c:pt idx="919">
                  <c:v/>
                </c:pt>
                <c:pt idx="920">
                  <c:v/>
                </c:pt>
                <c:pt idx="921">
                  <c:v/>
                </c:pt>
                <c:pt idx="922">
                  <c:v/>
                </c:pt>
                <c:pt idx="923">
                  <c:v/>
                </c:pt>
                <c:pt idx="924">
                  <c:v/>
                </c:pt>
                <c:pt idx="925">
                  <c:v/>
                </c:pt>
                <c:pt idx="926">
                  <c:v/>
                </c:pt>
                <c:pt idx="927">
                  <c:v/>
                </c:pt>
                <c:pt idx="928">
                  <c:v/>
                </c:pt>
                <c:pt idx="929">
                  <c:v/>
                </c:pt>
                <c:pt idx="930">
                  <c:v/>
                </c:pt>
                <c:pt idx="931">
                  <c:v/>
                </c:pt>
                <c:pt idx="932">
                  <c:v/>
                </c:pt>
                <c:pt idx="933">
                  <c:v/>
                </c:pt>
                <c:pt idx="934">
                  <c:v/>
                </c:pt>
                <c:pt idx="935">
                  <c:v/>
                </c:pt>
                <c:pt idx="936">
                  <c:v/>
                </c:pt>
                <c:pt idx="937">
                  <c:v/>
                </c:pt>
                <c:pt idx="938">
                  <c:v/>
                </c:pt>
                <c:pt idx="939">
                  <c:v/>
                </c:pt>
                <c:pt idx="940">
                  <c:v/>
                </c:pt>
                <c:pt idx="941">
                  <c:v/>
                </c:pt>
                <c:pt idx="942">
                  <c:v/>
                </c:pt>
                <c:pt idx="943">
                  <c:v/>
                </c:pt>
                <c:pt idx="944">
                  <c:v/>
                </c:pt>
                <c:pt idx="945">
                  <c:v/>
                </c:pt>
                <c:pt idx="946">
                  <c:v/>
                </c:pt>
                <c:pt idx="947">
                  <c:v/>
                </c:pt>
                <c:pt idx="948">
                  <c:v/>
                </c:pt>
                <c:pt idx="949">
                  <c:v/>
                </c:pt>
                <c:pt idx="950">
                  <c:v/>
                </c:pt>
                <c:pt idx="951">
                  <c:v/>
                </c:pt>
              </c:numCache>
            </c:numRef>
          </c:val>
          <c:smooth val="0"/>
        </c:ser>
        <c:hiLowLines>
          <c:spPr>
            <a:ln>
              <a:noFill/>
            </a:ln>
          </c:spPr>
        </c:hiLowLines>
        <c:marker val="0"/>
        <c:axId val="10519489"/>
        <c:axId val="62091916"/>
      </c:lineChart>
      <c:catAx>
        <c:axId val="10519489"/>
        <c:scaling>
          <c:orientation val="minMax"/>
          <c:min val="43313"/>
        </c:scaling>
        <c:delete val="0"/>
        <c:axPos val="b"/>
        <c:numFmt formatCode="DD/MM/YYYY" sourceLinked="1"/>
        <c:majorTickMark val="none"/>
        <c:minorTickMark val="none"/>
        <c:tickLblPos val="low"/>
        <c:spPr>
          <a:ln w="9360">
            <a:solidFill>
              <a:srgbClr val="d9d9d9"/>
            </a:solidFill>
            <a:round/>
          </a:ln>
        </c:spPr>
        <c:txPr>
          <a:bodyPr/>
          <a:lstStyle/>
          <a:p>
            <a:pPr>
              <a:defRPr b="0" sz="800" spc="-1" strike="noStrike">
                <a:solidFill>
                  <a:srgbClr val="000000"/>
                </a:solidFill>
                <a:latin typeface="Calibri"/>
              </a:defRPr>
            </a:pPr>
          </a:p>
        </c:txPr>
        <c:crossAx val="62091916"/>
        <c:crosses val="autoZero"/>
        <c:auto val="1"/>
        <c:lblAlgn val="ctr"/>
        <c:lblOffset val="100"/>
      </c:catAx>
      <c:valAx>
        <c:axId val="62091916"/>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10519489"/>
        <c:crosses val="autoZero"/>
        <c:crossBetween val="midCat"/>
      </c:valAx>
      <c:spPr>
        <a:noFill/>
        <a:ln>
          <a:noFill/>
        </a:ln>
      </c:spPr>
    </c:plotArea>
    <c:legend>
      <c:layout>
        <c:manualLayout>
          <c:xMode val="edge"/>
          <c:yMode val="edge"/>
          <c:x val="0.0349375"/>
          <c:y val="0.773"/>
          <c:w val="0.95112194512157"/>
          <c:h val="0.199577730858984"/>
        </c:manualLayout>
      </c:layout>
      <c:spPr>
        <a:noFill/>
        <a:ln>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solidFill>
              <a:srgbClr val="ed7d31"/>
            </a:solidFill>
            <a:ln>
              <a:noFill/>
            </a:ln>
          </c:spPr>
          <c:invertIfNegative val="0"/>
          <c:dPt>
            <c:idx val="22"/>
            <c:invertIfNegative val="0"/>
            <c:spPr>
              <a:solidFill>
                <a:srgbClr val="ed7d31"/>
              </a:solidFill>
              <a:ln>
                <a:noFill/>
              </a:ln>
            </c:spPr>
          </c:dPt>
          <c:dLbls>
            <c:numFmt formatCode="\ * #,##0\ ;\ * \(#,##0\);\ * \-#\ ;\ @\ " sourceLinked="1"/>
            <c:dLbl>
              <c:idx val="22"/>
              <c:txPr>
                <a:bodyPr/>
                <a:lstStyle/>
                <a:p>
                  <a:pPr>
                    <a:defRPr b="0" sz="800" spc="-1" strike="noStrike">
                      <a:solidFill>
                        <a:srgbClr val="000000"/>
                      </a:solidFill>
                      <a:latin typeface="Calibri"/>
                    </a:defRPr>
                  </a:pPr>
                </a:p>
              </c:txPr>
              <c:dLblPos val="outEnd"/>
              <c:showLegendKey val="0"/>
              <c:showVal val="1"/>
              <c:showCatName val="0"/>
              <c:showSerName val="0"/>
              <c:showPercent val="0"/>
            </c:dLbl>
            <c:txPr>
              <a:bodyPr/>
              <a:lstStyle/>
              <a:p>
                <a:pPr>
                  <a:defRPr b="0" sz="800" spc="-1" strike="noStrike">
                    <a:solidFill>
                      <a:srgbClr val="000000"/>
                    </a:solidFill>
                    <a:latin typeface="Calibri"/>
                  </a:defRPr>
                </a:pPr>
              </a:p>
            </c:txPr>
            <c:dLblPos val="outEnd"/>
            <c:showLegendKey val="0"/>
            <c:showVal val="1"/>
            <c:showCatName val="0"/>
            <c:showSerName val="0"/>
            <c:showPercent val="0"/>
            <c:showLeaderLines val="0"/>
          </c:dLbls>
          <c:cat>
            <c:strRef>
              <c:f>categories</c:f>
              <c:strCache>
                <c:ptCount val="29"/>
                <c:pt idx="0">
                  <c:v>Luxembourg</c:v>
                </c:pt>
                <c:pt idx="1">
                  <c:v>Irlanda</c:v>
                </c:pt>
                <c:pt idx="2">
                  <c:v>Marea Britanie</c:v>
                </c:pt>
                <c:pt idx="3">
                  <c:v>Franța</c:v>
                </c:pt>
                <c:pt idx="4">
                  <c:v>Elveția</c:v>
                </c:pt>
                <c:pt idx="5">
                  <c:v>Suedia</c:v>
                </c:pt>
                <c:pt idx="6">
                  <c:v>Germania</c:v>
                </c:pt>
                <c:pt idx="7">
                  <c:v>Spania</c:v>
                </c:pt>
                <c:pt idx="8">
                  <c:v>Italia</c:v>
                </c:pt>
                <c:pt idx="9">
                  <c:v>Belgia</c:v>
                </c:pt>
                <c:pt idx="10">
                  <c:v>Danemarca</c:v>
                </c:pt>
                <c:pt idx="11">
                  <c:v>Norvegia</c:v>
                </c:pt>
                <c:pt idx="12">
                  <c:v>Finlanda</c:v>
                </c:pt>
                <c:pt idx="13">
                  <c:v>Austria</c:v>
                </c:pt>
                <c:pt idx="14">
                  <c:v>Olanda</c:v>
                </c:pt>
                <c:pt idx="15">
                  <c:v>Liechtenstein</c:v>
                </c:pt>
                <c:pt idx="16">
                  <c:v>Polonia</c:v>
                </c:pt>
                <c:pt idx="17">
                  <c:v>Portugalia</c:v>
                </c:pt>
                <c:pt idx="18">
                  <c:v>Turcia</c:v>
                </c:pt>
                <c:pt idx="19">
                  <c:v>Cehia</c:v>
                </c:pt>
                <c:pt idx="20">
                  <c:v>Grecia</c:v>
                </c:pt>
                <c:pt idx="21">
                  <c:v>Slovacia</c:v>
                </c:pt>
                <c:pt idx="22">
                  <c:v>România</c:v>
                </c:pt>
                <c:pt idx="23">
                  <c:v>Slovenia</c:v>
                </c:pt>
                <c:pt idx="24">
                  <c:v>Malta</c:v>
                </c:pt>
                <c:pt idx="25">
                  <c:v>Croația</c:v>
                </c:pt>
                <c:pt idx="26">
                  <c:v>Ungaria</c:v>
                </c:pt>
                <c:pt idx="27">
                  <c:v>Bulgaria</c:v>
                </c:pt>
                <c:pt idx="28">
                  <c:v>Cipru</c:v>
                </c:pt>
              </c:strCache>
            </c:strRef>
          </c:cat>
          <c:val>
            <c:numRef>
              <c:f>0</c:f>
              <c:numCache>
                <c:formatCode>General</c:formatCode>
                <c:ptCount val="29"/>
                <c:pt idx="0">
                  <c:v>4924.51</c:v>
                </c:pt>
                <c:pt idx="1">
                  <c:v>3095.76</c:v>
                </c:pt>
                <c:pt idx="2">
                  <c:v>1538.6789</c:v>
                </c:pt>
                <c:pt idx="3">
                  <c:v>936.043</c:v>
                </c:pt>
                <c:pt idx="4">
                  <c:v>718.3766</c:v>
                </c:pt>
                <c:pt idx="5">
                  <c:v>579.7827</c:v>
                </c:pt>
                <c:pt idx="6">
                  <c:v>527.6287</c:v>
                </c:pt>
                <c:pt idx="7">
                  <c:v>303.961</c:v>
                </c:pt>
                <c:pt idx="8">
                  <c:v>258.4546</c:v>
                </c:pt>
                <c:pt idx="9">
                  <c:v>199.6445</c:v>
                </c:pt>
                <c:pt idx="10">
                  <c:v>186.5061</c:v>
                </c:pt>
                <c:pt idx="11">
                  <c:v>181.095</c:v>
                </c:pt>
                <c:pt idx="12">
                  <c:v>139.5957</c:v>
                </c:pt>
                <c:pt idx="13">
                  <c:v>105.9569</c:v>
                </c:pt>
                <c:pt idx="14">
                  <c:v>47.773</c:v>
                </c:pt>
                <c:pt idx="15">
                  <c:v>32.9256</c:v>
                </c:pt>
                <c:pt idx="16">
                  <c:v>27.2964</c:v>
                </c:pt>
                <c:pt idx="17">
                  <c:v>18.9202</c:v>
                </c:pt>
                <c:pt idx="18">
                  <c:v>18.0143</c:v>
                </c:pt>
                <c:pt idx="19">
                  <c:v>16.1762</c:v>
                </c:pt>
                <c:pt idx="20">
                  <c:v>8.1019</c:v>
                </c:pt>
                <c:pt idx="21">
                  <c:v>6.7296</c:v>
                </c:pt>
                <c:pt idx="22">
                  <c:v>4.546</c:v>
                </c:pt>
                <c:pt idx="23">
                  <c:v>4.3213</c:v>
                </c:pt>
                <c:pt idx="24">
                  <c:v>3.3742</c:v>
                </c:pt>
                <c:pt idx="25">
                  <c:v>2.8624</c:v>
                </c:pt>
                <c:pt idx="26">
                  <c:v>1.5475</c:v>
                </c:pt>
                <c:pt idx="27">
                  <c:v>1.2243</c:v>
                </c:pt>
                <c:pt idx="28">
                  <c:v>0.478</c:v>
                </c:pt>
              </c:numCache>
            </c:numRef>
          </c:val>
        </c:ser>
        <c:gapWidth val="219"/>
        <c:overlap val="0"/>
        <c:axId val="93671873"/>
        <c:axId val="9320671"/>
      </c:barChart>
      <c:catAx>
        <c:axId val="93671873"/>
        <c:scaling>
          <c:orientation val="minMax"/>
        </c:scaling>
        <c:delete val="0"/>
        <c:axPos val="b"/>
        <c:numFmt formatCode="DD/MM/YYYY" sourceLinked="1"/>
        <c:majorTickMark val="none"/>
        <c:minorTickMark val="none"/>
        <c:tickLblPos val="nextTo"/>
        <c:spPr>
          <a:ln w="9360">
            <a:solidFill>
              <a:srgbClr val="d9d9d9"/>
            </a:solidFill>
            <a:round/>
          </a:ln>
        </c:spPr>
        <c:txPr>
          <a:bodyPr/>
          <a:lstStyle/>
          <a:p>
            <a:pPr>
              <a:defRPr b="0" sz="800" spc="-1" strike="noStrike">
                <a:solidFill>
                  <a:srgbClr val="000000"/>
                </a:solidFill>
                <a:latin typeface="Calibri"/>
              </a:defRPr>
            </a:pPr>
          </a:p>
        </c:txPr>
        <c:crossAx val="9320671"/>
        <c:crosses val="autoZero"/>
        <c:auto val="1"/>
        <c:lblAlgn val="ctr"/>
        <c:lblOffset val="100"/>
      </c:catAx>
      <c:valAx>
        <c:axId val="9320671"/>
        <c:scaling>
          <c:orientation val="minMax"/>
        </c:scaling>
        <c:delete val="0"/>
        <c:axPos val="l"/>
        <c:title>
          <c:tx>
            <c:rich>
              <a:bodyPr rot="-5400000"/>
              <a:lstStyle/>
              <a:p>
                <a:pPr>
                  <a:defRPr b="0" sz="800" spc="-1" strike="noStrike">
                    <a:solidFill>
                      <a:srgbClr val="000000"/>
                    </a:solidFill>
                    <a:latin typeface="Calibri"/>
                  </a:defRPr>
                </a:pPr>
                <a:r>
                  <a:rPr b="0" sz="800" spc="-1" strike="noStrike">
                    <a:solidFill>
                      <a:srgbClr val="000000"/>
                    </a:solidFill>
                    <a:latin typeface="Calibri"/>
                  </a:rPr>
                  <a:t>Miliarde EUR</a:t>
                </a:r>
              </a:p>
            </c:rich>
          </c:tx>
          <c:overlay val="0"/>
          <c:spPr>
            <a:noFill/>
            <a:ln>
              <a:noFill/>
            </a:ln>
          </c:spPr>
        </c:title>
        <c:numFmt formatCode="\ * #,##0\ ;\ * \(#,##0\);\ * &quot;- &quot;;\ @\ "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93671873"/>
        <c:crosses val="autoZero"/>
      </c:valAx>
      <c:spPr>
        <a:noFill/>
        <a:ln>
          <a:noFill/>
        </a:ln>
      </c:spPr>
    </c:plotArea>
    <c:plotVisOnly val="1"/>
    <c:dispBlanksAs val="gap"/>
  </c:chart>
  <c:spPr>
    <a:noFill/>
    <a:ln w="9360">
      <a:noFill/>
    </a:ln>
  </c:spPr>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Grecia</c:v>
                </c:pt>
              </c:strCache>
            </c:strRef>
          </c:tx>
          <c:spPr>
            <a:solidFill>
              <a:srgbClr val="ff8080"/>
            </a:solidFill>
            <a:ln w="25560">
              <a:noFill/>
            </a:ln>
          </c:spPr>
          <c:invertIfNegative val="0"/>
          <c:dLbls>
            <c:numFmt formatCode="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0</c:f>
              <c:numCache>
                <c:formatCode>General</c:formatCode>
                <c:ptCount val="10"/>
                <c:pt idx="0">
                  <c:v>18.0691960849472</c:v>
                </c:pt>
                <c:pt idx="1">
                  <c:v>33.3206437022888</c:v>
                </c:pt>
                <c:pt idx="2">
                  <c:v>25.7168351802117</c:v>
                </c:pt>
                <c:pt idx="3">
                  <c:v>21.2886058709897</c:v>
                </c:pt>
                <c:pt idx="4">
                  <c:v>20.2348559436359</c:v>
                </c:pt>
                <c:pt idx="5">
                  <c:v>23.8774608062932</c:v>
                </c:pt>
                <c:pt idx="6">
                  <c:v>18.6706612971763</c:v>
                </c:pt>
                <c:pt idx="7">
                  <c:v>26.1169143423425</c:v>
                </c:pt>
                <c:pt idx="8">
                  <c:v>25.2580713062161</c:v>
                </c:pt>
                <c:pt idx="9">
                  <c:v>28.6118212417861</c:v>
                </c:pt>
              </c:numCache>
            </c:numRef>
          </c:val>
        </c:ser>
        <c:ser>
          <c:idx val="1"/>
          <c:order val="1"/>
          <c:tx>
            <c:strRef>
              <c:f>label 1</c:f>
              <c:strCache>
                <c:ptCount val="1"/>
                <c:pt idx="0">
                  <c:v>Bulgaria</c:v>
                </c:pt>
              </c:strCache>
            </c:strRef>
          </c:tx>
          <c:spPr>
            <a:solidFill>
              <a:srgbClr val="8497b0"/>
            </a:solidFill>
            <a:ln w="25560">
              <a:noFill/>
            </a:ln>
          </c:spPr>
          <c:invertIfNegative val="0"/>
          <c:dLbls>
            <c:numFmt formatCode="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1</c:f>
              <c:numCache>
                <c:formatCode>General</c:formatCode>
                <c:ptCount val="10"/>
                <c:pt idx="0">
                  <c:v>11.8916245432688</c:v>
                </c:pt>
                <c:pt idx="1">
                  <c:v>12.1113811587103</c:v>
                </c:pt>
                <c:pt idx="2">
                  <c:v>11.5936642960071</c:v>
                </c:pt>
                <c:pt idx="3">
                  <c:v>9.58406366849078</c:v>
                </c:pt>
                <c:pt idx="4">
                  <c:v>10.150246754871</c:v>
                </c:pt>
                <c:pt idx="5">
                  <c:v>23.7439583638707</c:v>
                </c:pt>
                <c:pt idx="6">
                  <c:v>24.339658548645</c:v>
                </c:pt>
                <c:pt idx="7">
                  <c:v>23.1771012703467</c:v>
                </c:pt>
                <c:pt idx="8">
                  <c:v>23.6380134026838</c:v>
                </c:pt>
                <c:pt idx="9">
                  <c:v>23.1880551802582</c:v>
                </c:pt>
              </c:numCache>
            </c:numRef>
          </c:val>
        </c:ser>
        <c:ser>
          <c:idx val="2"/>
          <c:order val="2"/>
          <c:tx>
            <c:strRef>
              <c:f>label 2</c:f>
              <c:strCache>
                <c:ptCount val="1"/>
                <c:pt idx="0">
                  <c:v>România</c:v>
                </c:pt>
              </c:strCache>
            </c:strRef>
          </c:tx>
          <c:spPr>
            <a:solidFill>
              <a:srgbClr val="ff0000"/>
            </a:solidFill>
            <a:ln w="25560">
              <a:noFill/>
            </a:ln>
          </c:spPr>
          <c:invertIfNegative val="0"/>
          <c:dLbls>
            <c:numFmt formatCode="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2</c:f>
              <c:numCache>
                <c:formatCode>General</c:formatCode>
                <c:ptCount val="10"/>
                <c:pt idx="0">
                  <c:v>9.10858314897311</c:v>
                </c:pt>
                <c:pt idx="1">
                  <c:v>12.4112814773986</c:v>
                </c:pt>
                <c:pt idx="2">
                  <c:v>12.1988592555435</c:v>
                </c:pt>
                <c:pt idx="3">
                  <c:v>10.5942373952387</c:v>
                </c:pt>
                <c:pt idx="4">
                  <c:v>9.88542508264565</c:v>
                </c:pt>
                <c:pt idx="5">
                  <c:v>10.4849906296283</c:v>
                </c:pt>
                <c:pt idx="6">
                  <c:v>8.88024219438045</c:v>
                </c:pt>
                <c:pt idx="7">
                  <c:v>10.455089900857</c:v>
                </c:pt>
                <c:pt idx="8">
                  <c:v>9.52532471181783</c:v>
                </c:pt>
                <c:pt idx="9">
                  <c:v>11.8730481274516</c:v>
                </c:pt>
              </c:numCache>
            </c:numRef>
          </c:val>
        </c:ser>
        <c:ser>
          <c:idx val="3"/>
          <c:order val="3"/>
          <c:tx>
            <c:strRef>
              <c:f>label 3</c:f>
              <c:strCache>
                <c:ptCount val="1"/>
                <c:pt idx="0">
                  <c:v>Ungaria</c:v>
                </c:pt>
              </c:strCache>
            </c:strRef>
          </c:tx>
          <c:spPr>
            <a:solidFill>
              <a:srgbClr val="ffcc00"/>
            </a:solidFill>
            <a:ln w="25560">
              <a:noFill/>
            </a:ln>
          </c:spPr>
          <c:invertIfNegative val="0"/>
          <c:dLbls>
            <c:numFmt formatCode="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3</c:f>
              <c:numCache>
                <c:formatCode>General</c:formatCode>
                <c:ptCount val="10"/>
                <c:pt idx="0">
                  <c:v>15.6982864185909</c:v>
                </c:pt>
                <c:pt idx="1">
                  <c:v>14.0359771246655</c:v>
                </c:pt>
                <c:pt idx="2">
                  <c:v>11.3001868335939</c:v>
                </c:pt>
                <c:pt idx="3">
                  <c:v>14.3506411779096</c:v>
                </c:pt>
                <c:pt idx="4">
                  <c:v>18.2925264492249</c:v>
                </c:pt>
                <c:pt idx="5">
                  <c:v>20.7329392503503</c:v>
                </c:pt>
                <c:pt idx="6">
                  <c:v>18.5422426425738</c:v>
                </c:pt>
                <c:pt idx="7">
                  <c:v>20.0983073397886</c:v>
                </c:pt>
                <c:pt idx="8">
                  <c:v>16.5790925018335</c:v>
                </c:pt>
                <c:pt idx="9">
                  <c:v>18.0361837580552</c:v>
                </c:pt>
              </c:numCache>
            </c:numRef>
          </c:val>
        </c:ser>
        <c:ser>
          <c:idx val="4"/>
          <c:order val="4"/>
          <c:tx>
            <c:strRef>
              <c:f>label 4</c:f>
              <c:strCache>
                <c:ptCount val="1"/>
                <c:pt idx="0">
                  <c:v>Cehia</c:v>
                </c:pt>
              </c:strCache>
            </c:strRef>
          </c:tx>
          <c:spPr>
            <a:solidFill>
              <a:srgbClr val="0070c0"/>
            </a:solidFill>
            <a:ln w="25560">
              <a:noFill/>
            </a:ln>
          </c:spPr>
          <c:invertIfNegative val="0"/>
          <c:dLbls>
            <c:numFmt formatCode="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4</c:f>
              <c:numCache>
                <c:formatCode>General</c:formatCode>
                <c:ptCount val="10"/>
                <c:pt idx="0">
                  <c:v>17.3403398170216</c:v>
                </c:pt>
                <c:pt idx="1">
                  <c:v>13.7906535433318</c:v>
                </c:pt>
                <c:pt idx="2">
                  <c:v>14.347696413602</c:v>
                </c:pt>
                <c:pt idx="3">
                  <c:v>13.8847941296853</c:v>
                </c:pt>
                <c:pt idx="4">
                  <c:v>12.5083998117658</c:v>
                </c:pt>
                <c:pt idx="5">
                  <c:v>13.8616226306824</c:v>
                </c:pt>
                <c:pt idx="6">
                  <c:v>11.1765400293371</c:v>
                </c:pt>
                <c:pt idx="7">
                  <c:v>10.3855322125809</c:v>
                </c:pt>
                <c:pt idx="8">
                  <c:v>10.1127025570505</c:v>
                </c:pt>
                <c:pt idx="9">
                  <c:v>13.8443251385967</c:v>
                </c:pt>
              </c:numCache>
            </c:numRef>
          </c:val>
        </c:ser>
        <c:ser>
          <c:idx val="5"/>
          <c:order val="5"/>
          <c:tx>
            <c:strRef>
              <c:f>label 5</c:f>
              <c:strCache>
                <c:ptCount val="1"/>
                <c:pt idx="0">
                  <c:v>Austria</c:v>
                </c:pt>
              </c:strCache>
            </c:strRef>
          </c:tx>
          <c:spPr>
            <a:solidFill>
              <a:srgbClr val="ffcc99"/>
            </a:solidFill>
            <a:ln w="25560">
              <a:noFill/>
            </a:ln>
          </c:spPr>
          <c:invertIfNegative val="0"/>
          <c:dLbls>
            <c:numFmt formatCode="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5</c:f>
              <c:numCache>
                <c:formatCode>General</c:formatCode>
                <c:ptCount val="10"/>
                <c:pt idx="0">
                  <c:v>25.2402770411702</c:v>
                </c:pt>
                <c:pt idx="1">
                  <c:v>26.3635217415197</c:v>
                </c:pt>
                <c:pt idx="2">
                  <c:v>24.0097446735832</c:v>
                </c:pt>
                <c:pt idx="3">
                  <c:v>25.5415965180736</c:v>
                </c:pt>
                <c:pt idx="4">
                  <c:v>26.6215884432116</c:v>
                </c:pt>
                <c:pt idx="5">
                  <c:v>34.0436330872242</c:v>
                </c:pt>
                <c:pt idx="6">
                  <c:v>26.4773107019802</c:v>
                </c:pt>
                <c:pt idx="7">
                  <c:v>29.8661848442274</c:v>
                </c:pt>
                <c:pt idx="8">
                  <c:v>28.5184036933401</c:v>
                </c:pt>
                <c:pt idx="9">
                  <c:v>35.6572718275808</c:v>
                </c:pt>
              </c:numCache>
            </c:numRef>
          </c:val>
        </c:ser>
        <c:ser>
          <c:idx val="6"/>
          <c:order val="6"/>
          <c:tx>
            <c:strRef>
              <c:f>label 6</c:f>
              <c:strCache>
                <c:ptCount val="1"/>
                <c:pt idx="0">
                  <c:v>Polonia</c:v>
                </c:pt>
              </c:strCache>
            </c:strRef>
          </c:tx>
          <c:spPr>
            <a:solidFill>
              <a:srgbClr val="33cccc"/>
            </a:solidFill>
            <a:ln w="25560">
              <a:noFill/>
            </a:ln>
          </c:spPr>
          <c:invertIfNegative val="0"/>
          <c:dLbls>
            <c:numFmt formatCode="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6</c:f>
              <c:numCache>
                <c:formatCode>General</c:formatCode>
                <c:ptCount val="10"/>
                <c:pt idx="0">
                  <c:v>34.7355386173885</c:v>
                </c:pt>
                <c:pt idx="1">
                  <c:v>37.8980333699795</c:v>
                </c:pt>
                <c:pt idx="2">
                  <c:v>34.473022081445</c:v>
                </c:pt>
                <c:pt idx="3">
                  <c:v>29.274520763322</c:v>
                </c:pt>
                <c:pt idx="4">
                  <c:v>30.6698606716402</c:v>
                </c:pt>
                <c:pt idx="5">
                  <c:v>35.99080368982</c:v>
                </c:pt>
                <c:pt idx="6">
                  <c:v>28.1440066462814</c:v>
                </c:pt>
                <c:pt idx="7">
                  <c:v>25.3065583408093</c:v>
                </c:pt>
                <c:pt idx="8">
                  <c:v>27.9505728631778</c:v>
                </c:pt>
                <c:pt idx="9">
                  <c:v>30.5646830464607</c:v>
                </c:pt>
              </c:numCache>
            </c:numRef>
          </c:val>
        </c:ser>
        <c:ser>
          <c:idx val="7"/>
          <c:order val="7"/>
          <c:tx>
            <c:strRef>
              <c:f>label 7</c:f>
              <c:strCache>
                <c:ptCount val="1"/>
                <c:pt idx="0">
                  <c:v>Germania</c:v>
                </c:pt>
              </c:strCache>
            </c:strRef>
          </c:tx>
          <c:spPr>
            <a:solidFill>
              <a:srgbClr val="808080"/>
            </a:solidFill>
            <a:ln w="25560">
              <a:noFill/>
            </a:ln>
          </c:spPr>
          <c:invertIfNegative val="0"/>
          <c:dLbls>
            <c:numFmt formatCode="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7</c:f>
              <c:numCache>
                <c:formatCode>General</c:formatCode>
                <c:ptCount val="10"/>
                <c:pt idx="0">
                  <c:v>41.0652997293566</c:v>
                </c:pt>
                <c:pt idx="1">
                  <c:v>49.9771394525762</c:v>
                </c:pt>
                <c:pt idx="2">
                  <c:v>49.0781566083561</c:v>
                </c:pt>
                <c:pt idx="3">
                  <c:v>51.8905223747431</c:v>
                </c:pt>
                <c:pt idx="4">
                  <c:v>52.0110998041305</c:v>
                </c:pt>
                <c:pt idx="5">
                  <c:v>57.7956751429376</c:v>
                </c:pt>
                <c:pt idx="6">
                  <c:v>45.5332012019502</c:v>
                </c:pt>
                <c:pt idx="7">
                  <c:v>53.8837476787539</c:v>
                </c:pt>
                <c:pt idx="8">
                  <c:v>55.5501651047049</c:v>
                </c:pt>
                <c:pt idx="9">
                  <c:v>61.8993191658592</c:v>
                </c:pt>
              </c:numCache>
            </c:numRef>
          </c:val>
        </c:ser>
        <c:gapWidth val="150"/>
        <c:overlap val="0"/>
        <c:axId val="79631895"/>
        <c:axId val="91960432"/>
      </c:barChart>
      <c:catAx>
        <c:axId val="79631895"/>
        <c:scaling>
          <c:orientation val="minMax"/>
        </c:scaling>
        <c:delete val="0"/>
        <c:axPos val="b"/>
        <c:numFmt formatCode="DD/MM/YYYY"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91960432"/>
        <c:crosses val="autoZero"/>
        <c:auto val="1"/>
        <c:lblAlgn val="ctr"/>
        <c:lblOffset val="100"/>
      </c:catAx>
      <c:valAx>
        <c:axId val="91960432"/>
        <c:scaling>
          <c:orientation val="minMax"/>
        </c:scaling>
        <c:delete val="0"/>
        <c:axPos val="l"/>
        <c:majorGridlines>
          <c:spPr>
            <a:ln w="6480">
              <a:solidFill>
                <a:srgbClr val="8b8b8b"/>
              </a:solidFill>
              <a:round/>
            </a:ln>
          </c:spPr>
        </c:majorGridlines>
        <c:numFmt formatCode="0" sourceLinked="0"/>
        <c:majorTickMark val="none"/>
        <c:minorTickMark val="none"/>
        <c:tickLblPos val="nextTo"/>
        <c:spPr>
          <a:ln w="6480">
            <a:solidFill>
              <a:srgbClr val="8b8b8b"/>
            </a:solidFill>
            <a:round/>
          </a:ln>
        </c:spPr>
        <c:txPr>
          <a:bodyPr/>
          <a:lstStyle/>
          <a:p>
            <a:pPr>
              <a:defRPr b="0" sz="900" spc="-1" strike="noStrike">
                <a:solidFill>
                  <a:srgbClr val="000000"/>
                </a:solidFill>
                <a:latin typeface="Calibri"/>
              </a:defRPr>
            </a:pPr>
          </a:p>
        </c:txPr>
        <c:crossAx val="79631895"/>
        <c:crosses val="autoZero"/>
      </c:valAx>
      <c:dTable>
        <c:showHorzBorder val="1"/>
        <c:showVertBorder val="1"/>
        <c:showOutline val="1"/>
      </c:dTable>
      <c:spPr>
        <a:solidFill>
          <a:srgbClr val="ffffff"/>
        </a:solidFill>
        <a:ln>
          <a:noFill/>
        </a:ln>
      </c:spPr>
    </c:plotArea>
    <c:plotVisOnly val="1"/>
    <c:dispBlanksAs val="gap"/>
  </c:chart>
  <c:spPr>
    <a:solidFill>
      <a:srgbClr val="ffffff"/>
    </a:solidFill>
    <a:ln>
      <a:noFill/>
    </a:ln>
  </c:spPr>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stacked"/>
        <c:varyColors val="0"/>
        <c:ser>
          <c:idx val="0"/>
          <c:order val="0"/>
          <c:tx>
            <c:strRef>
              <c:f>label 0</c:f>
              <c:strCache>
                <c:ptCount val="1"/>
                <c:pt idx="0">
                  <c:v>Acțiuni</c:v>
                </c:pt>
              </c:strCache>
            </c:strRef>
          </c:tx>
          <c:spPr>
            <a:solidFill>
              <a:srgbClr val="5b9bd5"/>
            </a:solidFill>
            <a:ln>
              <a:noFill/>
            </a:ln>
          </c:spPr>
          <c:invertIfNegative val="0"/>
          <c:dLbls>
            <c:numFmt formatCode="#,##0\ ;\(#,##0\)" sourceLinked="1"/>
            <c:txPr>
              <a:bodyPr/>
              <a:lstStyle/>
              <a:p>
                <a:pPr>
                  <a:defRPr b="0" sz="1000" spc="-1" strike="noStrike">
                    <a:latin typeface="Arial"/>
                  </a:defRPr>
                </a:pPr>
              </a:p>
            </c:txPr>
            <c:showLegendKey val="0"/>
            <c:showVal val="0"/>
            <c:showCatName val="0"/>
            <c:showSerName val="0"/>
            <c:showPercent val="0"/>
            <c:showLeaderLines val="0"/>
          </c:dLbls>
          <c:cat>
            <c:strRef>
              <c:f>categories</c:f>
              <c:strCache>
                <c:ptCount val="9"/>
                <c:pt idx="0">
                  <c:v>T4 2019</c:v>
                </c:pt>
                <c:pt idx="1">
                  <c:v>T1 2020</c:v>
                </c:pt>
                <c:pt idx="2">
                  <c:v>T2 2020</c:v>
                </c:pt>
                <c:pt idx="3">
                  <c:v>T3 2020</c:v>
                </c:pt>
                <c:pt idx="4">
                  <c:v>T4 2020</c:v>
                </c:pt>
                <c:pt idx="5">
                  <c:v>T1 2021</c:v>
                </c:pt>
                <c:pt idx="6">
                  <c:v>T2 2021</c:v>
                </c:pt>
                <c:pt idx="7">
                  <c:v>T3 2021</c:v>
                </c:pt>
                <c:pt idx="8">
                  <c:v>T4 2021</c:v>
                </c:pt>
              </c:strCache>
            </c:strRef>
          </c:cat>
          <c:val>
            <c:numRef>
              <c:f>0</c:f>
              <c:numCache>
                <c:formatCode>General</c:formatCode>
                <c:ptCount val="9"/>
                <c:pt idx="0">
                  <c:v>2016118972.5703</c:v>
                </c:pt>
                <c:pt idx="1">
                  <c:v>3416475049.9659</c:v>
                </c:pt>
                <c:pt idx="2">
                  <c:v>2162223440.8452</c:v>
                </c:pt>
                <c:pt idx="3">
                  <c:v>4059182241.0894</c:v>
                </c:pt>
                <c:pt idx="4">
                  <c:v>2589105637.8296</c:v>
                </c:pt>
                <c:pt idx="5">
                  <c:v>2451794980.1014</c:v>
                </c:pt>
                <c:pt idx="6">
                  <c:v>2390284218.0425</c:v>
                </c:pt>
                <c:pt idx="7">
                  <c:v>2898645123.9311</c:v>
                </c:pt>
                <c:pt idx="8">
                  <c:v>3292148080.3903</c:v>
                </c:pt>
              </c:numCache>
            </c:numRef>
          </c:val>
        </c:ser>
        <c:ser>
          <c:idx val="1"/>
          <c:order val="1"/>
          <c:tx>
            <c:strRef>
              <c:f>label 1</c:f>
              <c:strCache>
                <c:ptCount val="1"/>
                <c:pt idx="0">
                  <c:v>Obligațiuni</c:v>
                </c:pt>
              </c:strCache>
            </c:strRef>
          </c:tx>
          <c:spPr>
            <a:solidFill>
              <a:srgbClr val="ed7d31"/>
            </a:solidFill>
            <a:ln>
              <a:noFill/>
            </a:ln>
          </c:spPr>
          <c:invertIfNegative val="0"/>
          <c:dLbls>
            <c:numFmt formatCode="#,##0\ ;\(#,##0\)" sourceLinked="1"/>
            <c:txPr>
              <a:bodyPr/>
              <a:lstStyle/>
              <a:p>
                <a:pPr>
                  <a:defRPr b="0" sz="1000" spc="-1" strike="noStrike">
                    <a:latin typeface="Arial"/>
                  </a:defRPr>
                </a:pPr>
              </a:p>
            </c:txPr>
            <c:showLegendKey val="0"/>
            <c:showVal val="0"/>
            <c:showCatName val="0"/>
            <c:showSerName val="0"/>
            <c:showPercent val="0"/>
            <c:showLeaderLines val="0"/>
          </c:dLbls>
          <c:cat>
            <c:strRef>
              <c:f>categories</c:f>
              <c:strCache>
                <c:ptCount val="9"/>
                <c:pt idx="0">
                  <c:v>T4 2019</c:v>
                </c:pt>
                <c:pt idx="1">
                  <c:v>T1 2020</c:v>
                </c:pt>
                <c:pt idx="2">
                  <c:v>T2 2020</c:v>
                </c:pt>
                <c:pt idx="3">
                  <c:v>T3 2020</c:v>
                </c:pt>
                <c:pt idx="4">
                  <c:v>T4 2020</c:v>
                </c:pt>
                <c:pt idx="5">
                  <c:v>T1 2021</c:v>
                </c:pt>
                <c:pt idx="6">
                  <c:v>T2 2021</c:v>
                </c:pt>
                <c:pt idx="7">
                  <c:v>T3 2021</c:v>
                </c:pt>
                <c:pt idx="8">
                  <c:v>T4 2021</c:v>
                </c:pt>
              </c:strCache>
            </c:strRef>
          </c:cat>
          <c:val>
            <c:numRef>
              <c:f>1</c:f>
              <c:numCache>
                <c:formatCode>General</c:formatCode>
                <c:ptCount val="9"/>
                <c:pt idx="0">
                  <c:v>1890091360.02</c:v>
                </c:pt>
                <c:pt idx="1">
                  <c:v>7845605.25</c:v>
                </c:pt>
                <c:pt idx="2">
                  <c:v>20289078.04</c:v>
                </c:pt>
                <c:pt idx="3">
                  <c:v>852022124.15</c:v>
                </c:pt>
                <c:pt idx="4">
                  <c:v>1595986159.06</c:v>
                </c:pt>
                <c:pt idx="5">
                  <c:v>1158908633.08</c:v>
                </c:pt>
                <c:pt idx="6">
                  <c:v>1140703862.59</c:v>
                </c:pt>
                <c:pt idx="7">
                  <c:v>552986892.66</c:v>
                </c:pt>
                <c:pt idx="8">
                  <c:v>1973330644.57</c:v>
                </c:pt>
              </c:numCache>
            </c:numRef>
          </c:val>
        </c:ser>
        <c:ser>
          <c:idx val="2"/>
          <c:order val="2"/>
          <c:tx>
            <c:strRef>
              <c:f>label 2</c:f>
              <c:strCache>
                <c:ptCount val="1"/>
                <c:pt idx="0">
                  <c:v>Drepturi</c:v>
                </c:pt>
              </c:strCache>
            </c:strRef>
          </c:tx>
          <c:spPr>
            <a:solidFill>
              <a:srgbClr val="a5a5a5"/>
            </a:solidFill>
            <a:ln>
              <a:noFill/>
            </a:ln>
          </c:spPr>
          <c:invertIfNegative val="0"/>
          <c:dLbls>
            <c:numFmt formatCode="#,##0\ ;\(#,##0\)" sourceLinked="1"/>
            <c:txPr>
              <a:bodyPr/>
              <a:lstStyle/>
              <a:p>
                <a:pPr>
                  <a:defRPr b="0" sz="1000" spc="-1" strike="noStrike">
                    <a:latin typeface="Arial"/>
                  </a:defRPr>
                </a:pPr>
              </a:p>
            </c:txPr>
            <c:showLegendKey val="0"/>
            <c:showVal val="0"/>
            <c:showCatName val="0"/>
            <c:showSerName val="0"/>
            <c:showPercent val="0"/>
            <c:showLeaderLines val="0"/>
          </c:dLbls>
          <c:cat>
            <c:strRef>
              <c:f>categories</c:f>
              <c:strCache>
                <c:ptCount val="9"/>
                <c:pt idx="0">
                  <c:v>T4 2019</c:v>
                </c:pt>
                <c:pt idx="1">
                  <c:v>T1 2020</c:v>
                </c:pt>
                <c:pt idx="2">
                  <c:v>T2 2020</c:v>
                </c:pt>
                <c:pt idx="3">
                  <c:v>T3 2020</c:v>
                </c:pt>
                <c:pt idx="4">
                  <c:v>T4 2020</c:v>
                </c:pt>
                <c:pt idx="5">
                  <c:v>T1 2021</c:v>
                </c:pt>
                <c:pt idx="6">
                  <c:v>T2 2021</c:v>
                </c:pt>
                <c:pt idx="7">
                  <c:v>T3 2021</c:v>
                </c:pt>
                <c:pt idx="8">
                  <c:v>T4 2021</c:v>
                </c:pt>
              </c:strCache>
            </c:strRef>
          </c:cat>
          <c:val>
            <c:numRef>
              <c:f>2</c:f>
              <c:numCache>
                <c:formatCode>General</c:formatCode>
                <c:ptCount val="9"/>
                <c:pt idx="0">
                  <c:v/>
                </c:pt>
                <c:pt idx="1">
                  <c:v/>
                </c:pt>
                <c:pt idx="2">
                  <c:v/>
                </c:pt>
                <c:pt idx="3">
                  <c:v/>
                </c:pt>
                <c:pt idx="4">
                  <c:v/>
                </c:pt>
                <c:pt idx="5">
                  <c:v>3036624.789</c:v>
                </c:pt>
                <c:pt idx="6">
                  <c:v/>
                </c:pt>
                <c:pt idx="7">
                  <c:v/>
                </c:pt>
                <c:pt idx="8">
                  <c:v/>
                </c:pt>
              </c:numCache>
            </c:numRef>
          </c:val>
        </c:ser>
        <c:ser>
          <c:idx val="3"/>
          <c:order val="3"/>
          <c:tx>
            <c:strRef>
              <c:f>label 3</c:f>
              <c:strCache>
                <c:ptCount val="1"/>
                <c:pt idx="0">
                  <c:v>Produse structurate</c:v>
                </c:pt>
              </c:strCache>
            </c:strRef>
          </c:tx>
          <c:spPr>
            <a:solidFill>
              <a:srgbClr val="ffc000"/>
            </a:solidFill>
            <a:ln>
              <a:noFill/>
            </a:ln>
          </c:spPr>
          <c:invertIfNegative val="0"/>
          <c:dLbls>
            <c:numFmt formatCode="#,##0\ ;\(#,##0\)" sourceLinked="1"/>
            <c:txPr>
              <a:bodyPr/>
              <a:lstStyle/>
              <a:p>
                <a:pPr>
                  <a:defRPr b="0" sz="1000" spc="-1" strike="noStrike">
                    <a:latin typeface="Arial"/>
                  </a:defRPr>
                </a:pPr>
              </a:p>
            </c:txPr>
            <c:showLegendKey val="0"/>
            <c:showVal val="0"/>
            <c:showCatName val="0"/>
            <c:showSerName val="0"/>
            <c:showPercent val="0"/>
            <c:showLeaderLines val="0"/>
          </c:dLbls>
          <c:cat>
            <c:strRef>
              <c:f>categories</c:f>
              <c:strCache>
                <c:ptCount val="9"/>
                <c:pt idx="0">
                  <c:v>T4 2019</c:v>
                </c:pt>
                <c:pt idx="1">
                  <c:v>T1 2020</c:v>
                </c:pt>
                <c:pt idx="2">
                  <c:v>T2 2020</c:v>
                </c:pt>
                <c:pt idx="3">
                  <c:v>T3 2020</c:v>
                </c:pt>
                <c:pt idx="4">
                  <c:v>T4 2020</c:v>
                </c:pt>
                <c:pt idx="5">
                  <c:v>T1 2021</c:v>
                </c:pt>
                <c:pt idx="6">
                  <c:v>T2 2021</c:v>
                </c:pt>
                <c:pt idx="7">
                  <c:v>T3 2021</c:v>
                </c:pt>
                <c:pt idx="8">
                  <c:v>T4 2021</c:v>
                </c:pt>
              </c:strCache>
            </c:strRef>
          </c:cat>
          <c:val>
            <c:numRef>
              <c:f>3</c:f>
              <c:numCache>
                <c:formatCode>General</c:formatCode>
                <c:ptCount val="9"/>
                <c:pt idx="0">
                  <c:v>52761729.59</c:v>
                </c:pt>
                <c:pt idx="1">
                  <c:v>137430184.52</c:v>
                </c:pt>
                <c:pt idx="2">
                  <c:v>239791335.95</c:v>
                </c:pt>
                <c:pt idx="3">
                  <c:v>213953269.89</c:v>
                </c:pt>
                <c:pt idx="4">
                  <c:v>237621055.12</c:v>
                </c:pt>
                <c:pt idx="5">
                  <c:v>192855200.11</c:v>
                </c:pt>
                <c:pt idx="6">
                  <c:v>131123671.828</c:v>
                </c:pt>
                <c:pt idx="7">
                  <c:v>292559423.316801</c:v>
                </c:pt>
                <c:pt idx="8">
                  <c:v>254247386.153</c:v>
                </c:pt>
              </c:numCache>
            </c:numRef>
          </c:val>
        </c:ser>
        <c:ser>
          <c:idx val="4"/>
          <c:order val="4"/>
          <c:tx>
            <c:strRef>
              <c:f>label 4</c:f>
              <c:strCache>
                <c:ptCount val="1"/>
                <c:pt idx="0">
                  <c:v>Titluri de stat</c:v>
                </c:pt>
              </c:strCache>
            </c:strRef>
          </c:tx>
          <c:spPr>
            <a:solidFill>
              <a:srgbClr val="4472c4"/>
            </a:solidFill>
            <a:ln>
              <a:noFill/>
            </a:ln>
          </c:spPr>
          <c:invertIfNegative val="0"/>
          <c:dLbls>
            <c:numFmt formatCode="#,##0\ ;\(#,##0\)" sourceLinked="1"/>
            <c:txPr>
              <a:bodyPr/>
              <a:lstStyle/>
              <a:p>
                <a:pPr>
                  <a:defRPr b="0" sz="1000" spc="-1" strike="noStrike">
                    <a:latin typeface="Arial"/>
                  </a:defRPr>
                </a:pPr>
              </a:p>
            </c:txPr>
            <c:showLegendKey val="0"/>
            <c:showVal val="0"/>
            <c:showCatName val="0"/>
            <c:showSerName val="0"/>
            <c:showPercent val="0"/>
            <c:showLeaderLines val="0"/>
          </c:dLbls>
          <c:cat>
            <c:strRef>
              <c:f>categories</c:f>
              <c:strCache>
                <c:ptCount val="9"/>
                <c:pt idx="0">
                  <c:v>T4 2019</c:v>
                </c:pt>
                <c:pt idx="1">
                  <c:v>T1 2020</c:v>
                </c:pt>
                <c:pt idx="2">
                  <c:v>T2 2020</c:v>
                </c:pt>
                <c:pt idx="3">
                  <c:v>T3 2020</c:v>
                </c:pt>
                <c:pt idx="4">
                  <c:v>T4 2020</c:v>
                </c:pt>
                <c:pt idx="5">
                  <c:v>T1 2021</c:v>
                </c:pt>
                <c:pt idx="6">
                  <c:v>T2 2021</c:v>
                </c:pt>
                <c:pt idx="7">
                  <c:v>T3 2021</c:v>
                </c:pt>
                <c:pt idx="8">
                  <c:v>T4 2021</c:v>
                </c:pt>
              </c:strCache>
            </c:strRef>
          </c:cat>
          <c:val>
            <c:numRef>
              <c:f>4</c:f>
              <c:numCache>
                <c:formatCode>General</c:formatCode>
                <c:ptCount val="9"/>
                <c:pt idx="0">
                  <c:v>1368125.8</c:v>
                </c:pt>
                <c:pt idx="1">
                  <c:v>100376.88</c:v>
                </c:pt>
                <c:pt idx="2">
                  <c:v>209553.71</c:v>
                </c:pt>
                <c:pt idx="3">
                  <c:v>1252197069.04</c:v>
                </c:pt>
                <c:pt idx="4">
                  <c:v>1425420575.41</c:v>
                </c:pt>
                <c:pt idx="5">
                  <c:v>851714021.05</c:v>
                </c:pt>
                <c:pt idx="6">
                  <c:v>133182390.74</c:v>
                </c:pt>
                <c:pt idx="7">
                  <c:v>696027111.13</c:v>
                </c:pt>
                <c:pt idx="8">
                  <c:v>1581220610.6</c:v>
                </c:pt>
              </c:numCache>
            </c:numRef>
          </c:val>
        </c:ser>
        <c:ser>
          <c:idx val="5"/>
          <c:order val="5"/>
          <c:tx>
            <c:strRef>
              <c:f>label 5</c:f>
              <c:strCache>
                <c:ptCount val="1"/>
                <c:pt idx="0">
                  <c:v>Unități de fond</c:v>
                </c:pt>
              </c:strCache>
            </c:strRef>
          </c:tx>
          <c:spPr>
            <a:solidFill>
              <a:srgbClr val="70ad47"/>
            </a:solidFill>
            <a:ln>
              <a:noFill/>
            </a:ln>
          </c:spPr>
          <c:invertIfNegative val="0"/>
          <c:dLbls>
            <c:numFmt formatCode="#,##0\ ;\(#,##0\)" sourceLinked="1"/>
            <c:txPr>
              <a:bodyPr/>
              <a:lstStyle/>
              <a:p>
                <a:pPr>
                  <a:defRPr b="0" sz="1000" spc="-1" strike="noStrike">
                    <a:latin typeface="Arial"/>
                  </a:defRPr>
                </a:pPr>
              </a:p>
            </c:txPr>
            <c:showLegendKey val="0"/>
            <c:showVal val="0"/>
            <c:showCatName val="0"/>
            <c:showSerName val="0"/>
            <c:showPercent val="0"/>
            <c:showLeaderLines val="0"/>
          </c:dLbls>
          <c:cat>
            <c:strRef>
              <c:f>categories</c:f>
              <c:strCache>
                <c:ptCount val="9"/>
                <c:pt idx="0">
                  <c:v>T4 2019</c:v>
                </c:pt>
                <c:pt idx="1">
                  <c:v>T1 2020</c:v>
                </c:pt>
                <c:pt idx="2">
                  <c:v>T2 2020</c:v>
                </c:pt>
                <c:pt idx="3">
                  <c:v>T3 2020</c:v>
                </c:pt>
                <c:pt idx="4">
                  <c:v>T4 2020</c:v>
                </c:pt>
                <c:pt idx="5">
                  <c:v>T1 2021</c:v>
                </c:pt>
                <c:pt idx="6">
                  <c:v>T2 2021</c:v>
                </c:pt>
                <c:pt idx="7">
                  <c:v>T3 2021</c:v>
                </c:pt>
                <c:pt idx="8">
                  <c:v>T4 2021</c:v>
                </c:pt>
              </c:strCache>
            </c:strRef>
          </c:cat>
          <c:val>
            <c:numRef>
              <c:f>5</c:f>
              <c:numCache>
                <c:formatCode>General</c:formatCode>
                <c:ptCount val="9"/>
                <c:pt idx="0">
                  <c:v>2957379.02</c:v>
                </c:pt>
                <c:pt idx="1">
                  <c:v>5122258.979</c:v>
                </c:pt>
                <c:pt idx="2">
                  <c:v>3098751.168</c:v>
                </c:pt>
                <c:pt idx="3">
                  <c:v>1945466.888</c:v>
                </c:pt>
                <c:pt idx="4">
                  <c:v>4250372.208</c:v>
                </c:pt>
                <c:pt idx="5">
                  <c:v>6097023.73</c:v>
                </c:pt>
                <c:pt idx="6">
                  <c:v>10963446.936</c:v>
                </c:pt>
                <c:pt idx="7">
                  <c:v>12734103.306</c:v>
                </c:pt>
                <c:pt idx="8">
                  <c:v>16403142.658</c:v>
                </c:pt>
              </c:numCache>
            </c:numRef>
          </c:val>
        </c:ser>
        <c:ser>
          <c:idx val="6"/>
          <c:order val="6"/>
          <c:tx>
            <c:strRef>
              <c:f>label 6</c:f>
              <c:strCache>
                <c:ptCount val="1"/>
                <c:pt idx="0">
                  <c:v>TOTAL</c:v>
                </c:pt>
              </c:strCache>
            </c:strRef>
          </c:tx>
          <c:spPr>
            <a:solidFill>
              <a:srgbClr val="ffffff"/>
            </a:solidFill>
            <a:ln>
              <a:noFill/>
            </a:ln>
          </c:spPr>
          <c:invertIfNegative val="0"/>
          <c:dLbls>
            <c:numFmt formatCode="#,##0.00" sourceLinked="0"/>
            <c:txPr>
              <a:bodyPr/>
              <a:lstStyle/>
              <a:p>
                <a:pPr>
                  <a:defRPr b="1" sz="800" spc="-1" strike="noStrike">
                    <a:solidFill>
                      <a:srgbClr val="000000"/>
                    </a:solidFill>
                    <a:latin typeface="Calibri"/>
                  </a:defRPr>
                </a:pPr>
              </a:p>
            </c:txPr>
            <c:dLblPos val="inBase"/>
            <c:showLegendKey val="0"/>
            <c:showVal val="1"/>
            <c:showCatName val="0"/>
            <c:showSerName val="0"/>
            <c:showPercent val="0"/>
            <c:showLeaderLines val="0"/>
          </c:dLbls>
          <c:cat>
            <c:strRef>
              <c:f>categories</c:f>
              <c:strCache>
                <c:ptCount val="9"/>
                <c:pt idx="0">
                  <c:v>T4 2019</c:v>
                </c:pt>
                <c:pt idx="1">
                  <c:v>T1 2020</c:v>
                </c:pt>
                <c:pt idx="2">
                  <c:v>T2 2020</c:v>
                </c:pt>
                <c:pt idx="3">
                  <c:v>T3 2020</c:v>
                </c:pt>
                <c:pt idx="4">
                  <c:v>T4 2020</c:v>
                </c:pt>
                <c:pt idx="5">
                  <c:v>T1 2021</c:v>
                </c:pt>
                <c:pt idx="6">
                  <c:v>T2 2021</c:v>
                </c:pt>
                <c:pt idx="7">
                  <c:v>T3 2021</c:v>
                </c:pt>
                <c:pt idx="8">
                  <c:v>T4 2021</c:v>
                </c:pt>
              </c:strCache>
            </c:strRef>
          </c:cat>
          <c:val>
            <c:numRef>
              <c:f>6</c:f>
              <c:numCache>
                <c:formatCode>General</c:formatCode>
                <c:ptCount val="9"/>
                <c:pt idx="0">
                  <c:v>3963297567.0003</c:v>
                </c:pt>
                <c:pt idx="1">
                  <c:v>3566973475.5949</c:v>
                </c:pt>
                <c:pt idx="2">
                  <c:v>2425612159.7132</c:v>
                </c:pt>
                <c:pt idx="3">
                  <c:v>6379300171.0574</c:v>
                </c:pt>
                <c:pt idx="4">
                  <c:v>5852383799.6276</c:v>
                </c:pt>
                <c:pt idx="5">
                  <c:v>4664406482.8604</c:v>
                </c:pt>
                <c:pt idx="6">
                  <c:v>3806257590.1365</c:v>
                </c:pt>
                <c:pt idx="7">
                  <c:v>4452952654.3439</c:v>
                </c:pt>
                <c:pt idx="8">
                  <c:v>7117349864.3713</c:v>
                </c:pt>
              </c:numCache>
            </c:numRef>
          </c:val>
        </c:ser>
        <c:gapWidth val="150"/>
        <c:overlap val="100"/>
        <c:axId val="9755222"/>
        <c:axId val="66389656"/>
      </c:barChart>
      <c:catAx>
        <c:axId val="9755222"/>
        <c:scaling>
          <c:orientation val="minMax"/>
        </c:scaling>
        <c:delete val="0"/>
        <c:axPos val="b"/>
        <c:numFmt formatCode="DD/MM/YYYY" sourceLinked="1"/>
        <c:majorTickMark val="none"/>
        <c:minorTickMark val="none"/>
        <c:tickLblPos val="nextTo"/>
        <c:spPr>
          <a:ln w="9360">
            <a:solidFill>
              <a:srgbClr val="d9d9d9"/>
            </a:solidFill>
            <a:round/>
          </a:ln>
        </c:spPr>
        <c:txPr>
          <a:bodyPr/>
          <a:lstStyle/>
          <a:p>
            <a:pPr>
              <a:defRPr b="0" sz="800" spc="-1" strike="noStrike">
                <a:solidFill>
                  <a:srgbClr val="000000"/>
                </a:solidFill>
                <a:latin typeface="Calibri"/>
              </a:defRPr>
            </a:pPr>
          </a:p>
        </c:txPr>
        <c:crossAx val="66389656"/>
        <c:crosses val="autoZero"/>
        <c:auto val="1"/>
        <c:lblAlgn val="ctr"/>
        <c:lblOffset val="100"/>
      </c:catAx>
      <c:valAx>
        <c:axId val="66389656"/>
        <c:scaling>
          <c:orientation val="minMax"/>
          <c:max val="8000000000"/>
        </c:scaling>
        <c:delete val="0"/>
        <c:axPos val="l"/>
        <c:title>
          <c:tx>
            <c:rich>
              <a:bodyPr rot="-5400000"/>
              <a:lstStyle/>
              <a:p>
                <a:pPr>
                  <a:defRPr b="0" sz="800" spc="-1" strike="noStrike">
                    <a:solidFill>
                      <a:srgbClr val="000000"/>
                    </a:solidFill>
                    <a:latin typeface="Calibri"/>
                  </a:defRPr>
                </a:pPr>
                <a:r>
                  <a:rPr b="0" sz="800" spc="-1" strike="noStrike">
                    <a:solidFill>
                      <a:srgbClr val="000000"/>
                    </a:solidFill>
                    <a:latin typeface="Calibri"/>
                  </a:rPr>
                  <a:t>Miliarde lei</a:t>
                </a:r>
              </a:p>
            </c:rich>
          </c:tx>
          <c:overlay val="0"/>
          <c:spPr>
            <a:noFill/>
            <a:ln>
              <a:noFill/>
            </a:ln>
          </c:spPr>
        </c:title>
        <c:numFmt formatCode="#,##0\ ;\(#,##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9755222"/>
        <c:crosses val="autoZero"/>
        <c:dispUnits>
          <c:builtInUnit val="billions"/>
          <c:dispUnitsLbl/>
        </c:dispUnits>
      </c:valAx>
      <c:spPr>
        <a:noFill/>
        <a:ln>
          <a:noFill/>
        </a:ln>
      </c:spPr>
    </c:plotArea>
    <c:legend>
      <c:layout>
        <c:manualLayout>
          <c:xMode val="edge"/>
          <c:yMode val="edge"/>
          <c:x val="0.01725"/>
          <c:y val="0.922111111111111"/>
          <c:w val="0.980123757734858"/>
          <c:h val="0.0777864207134126"/>
        </c:manualLayout>
      </c:layout>
      <c:spPr>
        <a:noFill/>
        <a:ln>
          <a:noFill/>
        </a:ln>
      </c:spPr>
      <c:txPr>
        <a:bodyPr/>
        <a:lstStyle/>
        <a:p>
          <a:pPr>
            <a:defRPr b="1" sz="800" spc="-1" strike="noStrike">
              <a:solidFill>
                <a:srgbClr val="000000"/>
              </a:solidFill>
              <a:latin typeface="Calibri"/>
            </a:defRPr>
          </a:pPr>
        </a:p>
      </c:txPr>
    </c:legend>
    <c:plotVisOnly val="1"/>
    <c:dispBlanksAs val="gap"/>
  </c:chart>
  <c:spPr>
    <a:noFill/>
    <a:ln w="9360">
      <a:noFill/>
    </a:ln>
  </c:spPr>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Corporații</c:v>
                </c:pt>
              </c:strCache>
            </c:strRef>
          </c:tx>
          <c:spPr>
            <a:solidFill>
              <a:srgbClr val="b4c7e7"/>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7"/>
                <c:pt idx="0">
                  <c:v>Austria</c:v>
                </c:pt>
                <c:pt idx="1">
                  <c:v>Cehia</c:v>
                </c:pt>
                <c:pt idx="2">
                  <c:v>Germania</c:v>
                </c:pt>
                <c:pt idx="3">
                  <c:v>Ungaria</c:v>
                </c:pt>
                <c:pt idx="4">
                  <c:v>Polonia</c:v>
                </c:pt>
                <c:pt idx="5">
                  <c:v>România</c:v>
                </c:pt>
                <c:pt idx="6">
                  <c:v>EU</c:v>
                </c:pt>
              </c:strCache>
            </c:strRef>
          </c:cat>
          <c:val>
            <c:numRef>
              <c:f>0</c:f>
              <c:numCache>
                <c:formatCode>General</c:formatCode>
                <c:ptCount val="7"/>
                <c:pt idx="0">
                  <c:v>0.19151798248291</c:v>
                </c:pt>
                <c:pt idx="1">
                  <c:v>0.181179714202881</c:v>
                </c:pt>
                <c:pt idx="2">
                  <c:v>0.17176794052124</c:v>
                </c:pt>
                <c:pt idx="3">
                  <c:v>0.181243534088135</c:v>
                </c:pt>
                <c:pt idx="4">
                  <c:v>0.21913444519043</c:v>
                </c:pt>
                <c:pt idx="5">
                  <c:v>0.279157466888428</c:v>
                </c:pt>
                <c:pt idx="6">
                  <c:v>0.167611848013401</c:v>
                </c:pt>
              </c:numCache>
            </c:numRef>
          </c:val>
        </c:ser>
        <c:ser>
          <c:idx val="1"/>
          <c:order val="1"/>
          <c:tx>
            <c:strRef>
              <c:f>label 1</c:f>
              <c:strCache>
                <c:ptCount val="1"/>
                <c:pt idx="0">
                  <c:v>Sector public</c:v>
                </c:pt>
              </c:strCache>
            </c:strRef>
          </c:tx>
          <c:spPr>
            <a:solidFill>
              <a:srgbClr val="92d050"/>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7"/>
                <c:pt idx="0">
                  <c:v>Austria</c:v>
                </c:pt>
                <c:pt idx="1">
                  <c:v>Cehia</c:v>
                </c:pt>
                <c:pt idx="2">
                  <c:v>Germania</c:v>
                </c:pt>
                <c:pt idx="3">
                  <c:v>Ungaria</c:v>
                </c:pt>
                <c:pt idx="4">
                  <c:v>Polonia</c:v>
                </c:pt>
                <c:pt idx="5">
                  <c:v>România</c:v>
                </c:pt>
                <c:pt idx="6">
                  <c:v>EU</c:v>
                </c:pt>
              </c:strCache>
            </c:strRef>
          </c:cat>
          <c:val>
            <c:numRef>
              <c:f>1</c:f>
              <c:numCache>
                <c:formatCode>General</c:formatCode>
                <c:ptCount val="7"/>
                <c:pt idx="0">
                  <c:v>0.226423301696777</c:v>
                </c:pt>
                <c:pt idx="1">
                  <c:v>0.393178329467773</c:v>
                </c:pt>
                <c:pt idx="2">
                  <c:v>0.0826264476776123</c:v>
                </c:pt>
                <c:pt idx="3">
                  <c:v>0.0392415046691895</c:v>
                </c:pt>
                <c:pt idx="4">
                  <c:v>0.138037881851196</c:v>
                </c:pt>
                <c:pt idx="5">
                  <c:v>0.285967960357666</c:v>
                </c:pt>
                <c:pt idx="6">
                  <c:v>0.0727023388326612</c:v>
                </c:pt>
              </c:numCache>
            </c:numRef>
          </c:val>
        </c:ser>
        <c:ser>
          <c:idx val="2"/>
          <c:order val="2"/>
          <c:tx>
            <c:strRef>
              <c:f>label 2</c:f>
              <c:strCache>
                <c:ptCount val="1"/>
                <c:pt idx="0">
                  <c:v>Persoane strategice</c:v>
                </c:pt>
              </c:strCache>
            </c:strRef>
          </c:tx>
          <c:spPr>
            <a:solidFill>
              <a:srgbClr val="00b0f0"/>
            </a:solidFill>
            <a:ln>
              <a:noFill/>
            </a:ln>
          </c:spPr>
          <c:invertIfNegative val="0"/>
          <c:dPt>
            <c:idx val="1"/>
            <c:invertIfNegative val="0"/>
            <c:spPr>
              <a:solidFill>
                <a:srgbClr val="00b0f0"/>
              </a:solidFill>
              <a:ln>
                <a:noFill/>
              </a:ln>
            </c:spPr>
          </c:dPt>
          <c:dLbls>
            <c:numFmt formatCode="0%" sourceLinked="1"/>
            <c:dLbl>
              <c:idx val="1"/>
              <c:txPr>
                <a:bodyPr/>
                <a:lstStyle/>
                <a:p>
                  <a:pPr>
                    <a:defRPr b="0" sz="900" spc="-1" strike="noStrike">
                      <a:solidFill>
                        <a:srgbClr val="000000"/>
                      </a:solidFill>
                      <a:latin typeface="Calibri"/>
                    </a:defRPr>
                  </a:pPr>
                </a:p>
              </c:txPr>
              <c:dLblPos val="ctr"/>
              <c:showLegendKey val="0"/>
              <c:showVal val="0"/>
              <c:showCatName val="0"/>
              <c:showSerName val="0"/>
              <c:showPercent val="0"/>
            </c:dLbl>
            <c:txPr>
              <a:bodyPr/>
              <a:lstStyle/>
              <a:p>
                <a:pPr>
                  <a:defRPr b="0" sz="9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7"/>
                <c:pt idx="0">
                  <c:v>Austria</c:v>
                </c:pt>
                <c:pt idx="1">
                  <c:v>Cehia</c:v>
                </c:pt>
                <c:pt idx="2">
                  <c:v>Germania</c:v>
                </c:pt>
                <c:pt idx="3">
                  <c:v>Ungaria</c:v>
                </c:pt>
                <c:pt idx="4">
                  <c:v>Polonia</c:v>
                </c:pt>
                <c:pt idx="5">
                  <c:v>România</c:v>
                </c:pt>
                <c:pt idx="6">
                  <c:v>EU</c:v>
                </c:pt>
              </c:strCache>
            </c:strRef>
          </c:cat>
          <c:val>
            <c:numRef>
              <c:f>2</c:f>
              <c:numCache>
                <c:formatCode>General</c:formatCode>
                <c:ptCount val="7"/>
                <c:pt idx="0">
                  <c:v>0.0581969738006592</c:v>
                </c:pt>
                <c:pt idx="1">
                  <c:v>0.00562133133411408</c:v>
                </c:pt>
                <c:pt idx="2">
                  <c:v>0.0985928821563721</c:v>
                </c:pt>
                <c:pt idx="3">
                  <c:v>0.0582428550720215</c:v>
                </c:pt>
                <c:pt idx="4">
                  <c:v>0.134797658920288</c:v>
                </c:pt>
                <c:pt idx="5">
                  <c:v>0.0590490961074829</c:v>
                </c:pt>
                <c:pt idx="6">
                  <c:v>0.107644568178451</c:v>
                </c:pt>
              </c:numCache>
            </c:numRef>
          </c:val>
        </c:ser>
        <c:ser>
          <c:idx val="3"/>
          <c:order val="3"/>
          <c:tx>
            <c:strRef>
              <c:f>label 3</c:f>
              <c:strCache>
                <c:ptCount val="1"/>
                <c:pt idx="0">
                  <c:v>Investitori instituționali</c:v>
                </c:pt>
              </c:strCache>
            </c:strRef>
          </c:tx>
          <c:spPr>
            <a:solidFill>
              <a:srgbClr val="c9c9c9"/>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7"/>
                <c:pt idx="0">
                  <c:v>Austria</c:v>
                </c:pt>
                <c:pt idx="1">
                  <c:v>Cehia</c:v>
                </c:pt>
                <c:pt idx="2">
                  <c:v>Germania</c:v>
                </c:pt>
                <c:pt idx="3">
                  <c:v>Ungaria</c:v>
                </c:pt>
                <c:pt idx="4">
                  <c:v>Polonia</c:v>
                </c:pt>
                <c:pt idx="5">
                  <c:v>România</c:v>
                </c:pt>
                <c:pt idx="6">
                  <c:v>EU</c:v>
                </c:pt>
              </c:strCache>
            </c:strRef>
          </c:cat>
          <c:val>
            <c:numRef>
              <c:f>3</c:f>
              <c:numCache>
                <c:formatCode>General</c:formatCode>
                <c:ptCount val="7"/>
                <c:pt idx="0">
                  <c:v>0.253534984588623</c:v>
                </c:pt>
                <c:pt idx="1">
                  <c:v>0.181256561279297</c:v>
                </c:pt>
                <c:pt idx="2">
                  <c:v>0.286121120452881</c:v>
                </c:pt>
                <c:pt idx="3">
                  <c:v>0.332053070068359</c:v>
                </c:pt>
                <c:pt idx="4">
                  <c:v>0.308829002380371</c:v>
                </c:pt>
                <c:pt idx="5">
                  <c:v>0.142567644119263</c:v>
                </c:pt>
                <c:pt idx="6">
                  <c:v>0.313475475482797</c:v>
                </c:pt>
              </c:numCache>
            </c:numRef>
          </c:val>
        </c:ser>
        <c:ser>
          <c:idx val="4"/>
          <c:order val="4"/>
          <c:tx>
            <c:strRef>
              <c:f>label 4</c:f>
              <c:strCache>
                <c:ptCount val="1"/>
                <c:pt idx="0">
                  <c:v>Alt free float</c:v>
                </c:pt>
              </c:strCache>
            </c:strRef>
          </c:tx>
          <c:spPr>
            <a:solidFill>
              <a:srgbClr val="f8cbad"/>
            </a:solidFill>
            <a:ln>
              <a:noFill/>
            </a:ln>
          </c:spPr>
          <c:invertIfNegative val="0"/>
          <c:dLbls>
            <c:numFmt formatCode="0%" sourceLinked="1"/>
            <c:txPr>
              <a:bodyPr/>
              <a:lstStyle/>
              <a:p>
                <a:pPr>
                  <a:defRPr b="0" sz="9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7"/>
                <c:pt idx="0">
                  <c:v>Austria</c:v>
                </c:pt>
                <c:pt idx="1">
                  <c:v>Cehia</c:v>
                </c:pt>
                <c:pt idx="2">
                  <c:v>Germania</c:v>
                </c:pt>
                <c:pt idx="3">
                  <c:v>Ungaria</c:v>
                </c:pt>
                <c:pt idx="4">
                  <c:v>Polonia</c:v>
                </c:pt>
                <c:pt idx="5">
                  <c:v>România</c:v>
                </c:pt>
                <c:pt idx="6">
                  <c:v>EU</c:v>
                </c:pt>
              </c:strCache>
            </c:strRef>
          </c:cat>
          <c:val>
            <c:numRef>
              <c:f>4</c:f>
              <c:numCache>
                <c:formatCode>General</c:formatCode>
                <c:ptCount val="7"/>
                <c:pt idx="0">
                  <c:v>0.27032675743103</c:v>
                </c:pt>
                <c:pt idx="1">
                  <c:v>0.238764063715935</c:v>
                </c:pt>
                <c:pt idx="2">
                  <c:v>0.360891609191895</c:v>
                </c:pt>
                <c:pt idx="3">
                  <c:v>0.389219036102295</c:v>
                </c:pt>
                <c:pt idx="4">
                  <c:v>0.199201011657715</c:v>
                </c:pt>
                <c:pt idx="5">
                  <c:v>0.233257832527161</c:v>
                </c:pt>
                <c:pt idx="6">
                  <c:v>0.33856576949269</c:v>
                </c:pt>
              </c:numCache>
            </c:numRef>
          </c:val>
        </c:ser>
        <c:gapWidth val="35"/>
        <c:overlap val="100"/>
        <c:axId val="78923579"/>
        <c:axId val="8853781"/>
      </c:barChart>
      <c:catAx>
        <c:axId val="78923579"/>
        <c:scaling>
          <c:orientation val="minMax"/>
        </c:scaling>
        <c:delete val="0"/>
        <c:axPos val="b"/>
        <c:majorGridlines>
          <c:spPr>
            <a:ln w="9360">
              <a:solidFill>
                <a:srgbClr val="ffffff"/>
              </a:solidFill>
              <a:round/>
            </a:ln>
          </c:spPr>
        </c:majorGridlines>
        <c:numFmt formatCode="DD/MM/YYYY" sourceLinked="1"/>
        <c:majorTickMark val="none"/>
        <c:minorTickMark val="none"/>
        <c:tickLblPos val="low"/>
        <c:spPr>
          <a:ln w="9360">
            <a:solidFill>
              <a:srgbClr val="000000"/>
            </a:solidFill>
            <a:round/>
          </a:ln>
        </c:spPr>
        <c:txPr>
          <a:bodyPr/>
          <a:lstStyle/>
          <a:p>
            <a:pPr>
              <a:defRPr b="0" sz="900" spc="-1" strike="noStrike">
                <a:solidFill>
                  <a:srgbClr val="000000"/>
                </a:solidFill>
                <a:latin typeface="Calibri"/>
              </a:defRPr>
            </a:pPr>
          </a:p>
        </c:txPr>
        <c:crossAx val="8853781"/>
        <c:crosses val="autoZero"/>
        <c:auto val="1"/>
        <c:lblAlgn val="ctr"/>
        <c:lblOffset val="100"/>
      </c:catAx>
      <c:valAx>
        <c:axId val="8853781"/>
        <c:scaling>
          <c:orientation val="minMax"/>
        </c:scaling>
        <c:delete val="0"/>
        <c:axPos val="l"/>
        <c:majorGridlines>
          <c:spPr>
            <a:ln w="9360">
              <a:solidFill>
                <a:srgbClr val="ffffff"/>
              </a:solidFill>
              <a:round/>
            </a:ln>
          </c:spPr>
        </c:majorGridlines>
        <c:numFmt formatCode="0%" sourceLinked="0"/>
        <c:majorTickMark val="in"/>
        <c:minorTickMark val="none"/>
        <c:tickLblPos val="nextTo"/>
        <c:spPr>
          <a:ln w="9360">
            <a:solidFill>
              <a:srgbClr val="000000"/>
            </a:solidFill>
            <a:round/>
          </a:ln>
        </c:spPr>
        <c:txPr>
          <a:bodyPr/>
          <a:lstStyle/>
          <a:p>
            <a:pPr>
              <a:defRPr b="0" sz="900" spc="-1" strike="noStrike">
                <a:solidFill>
                  <a:srgbClr val="000000"/>
                </a:solidFill>
                <a:latin typeface="Calibri"/>
              </a:defRPr>
            </a:pPr>
          </a:p>
        </c:txPr>
        <c:crossAx val="78923579"/>
        <c:crosses val="autoZero"/>
        <c:majorUnit val="0.2"/>
      </c:valAx>
      <c:spPr>
        <a:solidFill>
          <a:srgbClr val="f8f8f8"/>
        </a:solidFill>
        <a:ln>
          <a:noFill/>
        </a:ln>
      </c:spPr>
    </c:plotArea>
    <c:legend>
      <c:layout>
        <c:manualLayout>
          <c:xMode val="edge"/>
          <c:yMode val="edge"/>
          <c:x val="0.005"/>
          <c:y val="0.0197777777777778"/>
          <c:w val="0.95924745296581"/>
          <c:h val="0.0885653961551284"/>
        </c:manualLayout>
      </c:layout>
      <c:spPr>
        <a:solidFill>
          <a:srgbClr val="ffffff"/>
        </a:solidFill>
        <a:ln>
          <a:noFill/>
        </a:ln>
      </c:spPr>
      <c:txPr>
        <a:bodyPr/>
        <a:lstStyle/>
        <a:p>
          <a:pPr>
            <a:defRPr b="0" sz="900" spc="-1" strike="noStrike">
              <a:solidFill>
                <a:srgbClr val="000000"/>
              </a:solidFill>
              <a:latin typeface="Calibri"/>
            </a:defRPr>
          </a:pPr>
        </a:p>
      </c:txPr>
    </c:legend>
    <c:plotVisOnly val="1"/>
    <c:dispBlanksAs val="gap"/>
  </c:chart>
  <c:spPr>
    <a:noFill/>
    <a:ln w="9360">
      <a:noFill/>
    </a:ln>
  </c:spPr>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Financiare</c:v>
                </c:pt>
              </c:strCache>
            </c:strRef>
          </c:tx>
          <c:spPr>
            <a:solidFill>
              <a:srgbClr val="00b050"/>
            </a:solidFill>
            <a:ln w="19080">
              <a:solidFill>
                <a:srgbClr val="00b050"/>
              </a:solidFill>
              <a:round/>
            </a:ln>
          </c:spPr>
          <c:marker>
            <c:symbol val="none"/>
          </c:marker>
          <c:dLbls>
            <c:numFmt formatCode="#,##0" sourceLinked="1"/>
            <c:txPr>
              <a:bodyPr/>
              <a:lstStyle/>
              <a:p>
                <a:pPr>
                  <a:defRPr b="0" sz="9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22"/>
                <c:pt idx="0">
                  <c:v/>
                </c:pt>
                <c:pt idx="1">
                  <c:v>'01</c:v>
                </c:pt>
                <c:pt idx="2">
                  <c:v/>
                </c:pt>
                <c:pt idx="3">
                  <c:v>'03</c:v>
                </c:pt>
                <c:pt idx="4">
                  <c:v/>
                </c:pt>
                <c:pt idx="5">
                  <c:v>'05</c:v>
                </c:pt>
                <c:pt idx="6">
                  <c:v/>
                </c:pt>
                <c:pt idx="7">
                  <c:v>'07</c:v>
                </c:pt>
                <c:pt idx="8">
                  <c:v/>
                </c:pt>
                <c:pt idx="9">
                  <c:v>'09</c:v>
                </c:pt>
                <c:pt idx="10">
                  <c:v/>
                </c:pt>
                <c:pt idx="11">
                  <c:v>'11</c:v>
                </c:pt>
                <c:pt idx="12">
                  <c:v/>
                </c:pt>
                <c:pt idx="13">
                  <c:v>'13</c:v>
                </c:pt>
                <c:pt idx="14">
                  <c:v/>
                </c:pt>
                <c:pt idx="15">
                  <c:v>'15</c:v>
                </c:pt>
                <c:pt idx="16">
                  <c:v/>
                </c:pt>
                <c:pt idx="17">
                  <c:v>'17</c:v>
                </c:pt>
                <c:pt idx="18">
                  <c:v/>
                </c:pt>
                <c:pt idx="19">
                  <c:v>'19</c:v>
                </c:pt>
                <c:pt idx="20">
                  <c:v/>
                </c:pt>
                <c:pt idx="21">
                  <c:v>'21</c:v>
                </c:pt>
              </c:strCache>
            </c:strRef>
          </c:cat>
          <c:val>
            <c:numRef>
              <c:f>0</c:f>
              <c:numCache>
                <c:formatCode>General</c:formatCode>
                <c:ptCount val="22"/>
                <c:pt idx="0">
                  <c:v>1636356.75</c:v>
                </c:pt>
                <c:pt idx="1">
                  <c:v>1754886.125</c:v>
                </c:pt>
                <c:pt idx="2">
                  <c:v>1598266.875</c:v>
                </c:pt>
                <c:pt idx="3">
                  <c:v>1805711.375</c:v>
                </c:pt>
                <c:pt idx="4">
                  <c:v>1965084.375</c:v>
                </c:pt>
                <c:pt idx="5">
                  <c:v>2012211.875</c:v>
                </c:pt>
                <c:pt idx="6">
                  <c:v>2541985.5</c:v>
                </c:pt>
                <c:pt idx="7">
                  <c:v>2125427</c:v>
                </c:pt>
                <c:pt idx="8">
                  <c:v>1472831.875</c:v>
                </c:pt>
                <c:pt idx="9">
                  <c:v>1270861.125</c:v>
                </c:pt>
                <c:pt idx="10">
                  <c:v>1615045</c:v>
                </c:pt>
                <c:pt idx="11">
                  <c:v>1444074.25</c:v>
                </c:pt>
                <c:pt idx="12">
                  <c:v>1709598</c:v>
                </c:pt>
                <c:pt idx="13">
                  <c:v>1514908.625</c:v>
                </c:pt>
                <c:pt idx="14">
                  <c:v>1938502.125</c:v>
                </c:pt>
                <c:pt idx="15">
                  <c:v>2041032.25</c:v>
                </c:pt>
                <c:pt idx="16">
                  <c:v>2256898.75</c:v>
                </c:pt>
                <c:pt idx="17">
                  <c:v>2360423.25</c:v>
                </c:pt>
                <c:pt idx="18">
                  <c:v>2131096.25</c:v>
                </c:pt>
                <c:pt idx="19">
                  <c:v>2468676.75</c:v>
                </c:pt>
                <c:pt idx="20">
                  <c:v>2726741.25</c:v>
                </c:pt>
                <c:pt idx="21">
                  <c:v>2830594</c:v>
                </c:pt>
              </c:numCache>
            </c:numRef>
          </c:val>
          <c:smooth val="0"/>
        </c:ser>
        <c:ser>
          <c:idx val="1"/>
          <c:order val="1"/>
          <c:tx>
            <c:strRef>
              <c:f>label 1</c:f>
              <c:strCache>
                <c:ptCount val="1"/>
                <c:pt idx="0">
                  <c:v>Nefinanciare</c:v>
                </c:pt>
              </c:strCache>
            </c:strRef>
          </c:tx>
          <c:spPr>
            <a:solidFill>
              <a:srgbClr val="00b0f0"/>
            </a:solidFill>
            <a:ln w="19080">
              <a:solidFill>
                <a:srgbClr val="00b0f0"/>
              </a:solidFill>
              <a:round/>
            </a:ln>
          </c:spPr>
          <c:marker>
            <c:symbol val="none"/>
          </c:marker>
          <c:dLbls>
            <c:numFmt formatCode="#,##0" sourceLinked="1"/>
            <c:txPr>
              <a:bodyPr/>
              <a:lstStyle/>
              <a:p>
                <a:pPr>
                  <a:defRPr b="0" sz="9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22"/>
                <c:pt idx="0">
                  <c:v/>
                </c:pt>
                <c:pt idx="1">
                  <c:v>'01</c:v>
                </c:pt>
                <c:pt idx="2">
                  <c:v/>
                </c:pt>
                <c:pt idx="3">
                  <c:v>'03</c:v>
                </c:pt>
                <c:pt idx="4">
                  <c:v/>
                </c:pt>
                <c:pt idx="5">
                  <c:v>'05</c:v>
                </c:pt>
                <c:pt idx="6">
                  <c:v/>
                </c:pt>
                <c:pt idx="7">
                  <c:v>'07</c:v>
                </c:pt>
                <c:pt idx="8">
                  <c:v/>
                </c:pt>
                <c:pt idx="9">
                  <c:v>'09</c:v>
                </c:pt>
                <c:pt idx="10">
                  <c:v/>
                </c:pt>
                <c:pt idx="11">
                  <c:v>'11</c:v>
                </c:pt>
                <c:pt idx="12">
                  <c:v/>
                </c:pt>
                <c:pt idx="13">
                  <c:v>'13</c:v>
                </c:pt>
                <c:pt idx="14">
                  <c:v/>
                </c:pt>
                <c:pt idx="15">
                  <c:v>'15</c:v>
                </c:pt>
                <c:pt idx="16">
                  <c:v/>
                </c:pt>
                <c:pt idx="17">
                  <c:v>'17</c:v>
                </c:pt>
                <c:pt idx="18">
                  <c:v/>
                </c:pt>
                <c:pt idx="19">
                  <c:v>'19</c:v>
                </c:pt>
                <c:pt idx="20">
                  <c:v/>
                </c:pt>
                <c:pt idx="21">
                  <c:v>'21</c:v>
                </c:pt>
              </c:strCache>
            </c:strRef>
          </c:cat>
          <c:val>
            <c:numRef>
              <c:f>1</c:f>
              <c:numCache>
                <c:formatCode>General</c:formatCode>
                <c:ptCount val="22"/>
                <c:pt idx="0">
                  <c:v>904053.6875</c:v>
                </c:pt>
                <c:pt idx="1">
                  <c:v>1321061.25</c:v>
                </c:pt>
                <c:pt idx="2">
                  <c:v>862078.25</c:v>
                </c:pt>
                <c:pt idx="3">
                  <c:v>855434.5</c:v>
                </c:pt>
                <c:pt idx="4">
                  <c:v>648920.1875</c:v>
                </c:pt>
                <c:pt idx="5">
                  <c:v>593523.3125</c:v>
                </c:pt>
                <c:pt idx="6">
                  <c:v>805417.75</c:v>
                </c:pt>
                <c:pt idx="7">
                  <c:v>800658.5</c:v>
                </c:pt>
                <c:pt idx="8">
                  <c:v>679398.375</c:v>
                </c:pt>
                <c:pt idx="9">
                  <c:v>1328365.75</c:v>
                </c:pt>
                <c:pt idx="10">
                  <c:v>1107167.75</c:v>
                </c:pt>
                <c:pt idx="11">
                  <c:v>1049200.5</c:v>
                </c:pt>
                <c:pt idx="12">
                  <c:v>1449614.125</c:v>
                </c:pt>
                <c:pt idx="13">
                  <c:v>1472108</c:v>
                </c:pt>
                <c:pt idx="14">
                  <c:v>1551068.5</c:v>
                </c:pt>
                <c:pt idx="15">
                  <c:v>1857745.375</c:v>
                </c:pt>
                <c:pt idx="16">
                  <c:v>2023540.375</c:v>
                </c:pt>
                <c:pt idx="17">
                  <c:v>1951194.25</c:v>
                </c:pt>
                <c:pt idx="18">
                  <c:v>1610659.75</c:v>
                </c:pt>
                <c:pt idx="19">
                  <c:v>2063896.5</c:v>
                </c:pt>
                <c:pt idx="20">
                  <c:v>2660947.5</c:v>
                </c:pt>
                <c:pt idx="21">
                  <c:v>2089697.375</c:v>
                </c:pt>
              </c:numCache>
            </c:numRef>
          </c:val>
          <c:smooth val="0"/>
        </c:ser>
        <c:hiLowLines>
          <c:spPr>
            <a:ln>
              <a:noFill/>
            </a:ln>
          </c:spPr>
        </c:hiLowLines>
        <c:marker val="0"/>
        <c:axId val="79475629"/>
        <c:axId val="71927611"/>
      </c:lineChart>
      <c:catAx>
        <c:axId val="79475629"/>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900" spc="-1" strike="noStrike">
                <a:solidFill>
                  <a:srgbClr val="000000"/>
                </a:solidFill>
                <a:latin typeface="Calibri"/>
              </a:defRPr>
            </a:pPr>
          </a:p>
        </c:txPr>
        <c:crossAx val="71927611"/>
        <c:crosses val="autoZero"/>
        <c:auto val="1"/>
        <c:lblAlgn val="ctr"/>
        <c:lblOffset val="100"/>
      </c:catAx>
      <c:valAx>
        <c:axId val="71927611"/>
        <c:scaling>
          <c:orientation val="minMax"/>
        </c:scaling>
        <c:delete val="0"/>
        <c:axPos val="l"/>
        <c:numFmt formatCode="#,##0" sourceLinked="0"/>
        <c:majorTickMark val="in"/>
        <c:minorTickMark val="none"/>
        <c:tickLblPos val="nextTo"/>
        <c:spPr>
          <a:ln w="9360">
            <a:solidFill>
              <a:srgbClr val="000000"/>
            </a:solidFill>
            <a:round/>
          </a:ln>
        </c:spPr>
        <c:txPr>
          <a:bodyPr/>
          <a:lstStyle/>
          <a:p>
            <a:pPr>
              <a:defRPr b="0" sz="800" spc="-1" strike="noStrike">
                <a:solidFill>
                  <a:srgbClr val="000000"/>
                </a:solidFill>
                <a:latin typeface="Calibri"/>
              </a:defRPr>
            </a:pPr>
          </a:p>
        </c:txPr>
        <c:crossAx val="79475629"/>
        <c:crosses val="autoZero"/>
        <c:crossBetween val="midCat"/>
        <c:majorUnit val="1000000"/>
        <c:dispUnits>
          <c:builtInUnit val="thousands"/>
          <c:dispUnitsLbl/>
        </c:dispUnits>
      </c:valAx>
      <c:spPr>
        <a:solidFill>
          <a:srgbClr val="f8f8f8"/>
        </a:solidFill>
        <a:ln>
          <a:noFill/>
        </a:ln>
      </c:spPr>
    </c:plotArea>
    <c:legend>
      <c:layout>
        <c:manualLayout>
          <c:xMode val="edge"/>
          <c:yMode val="edge"/>
          <c:x val="0.0905625"/>
          <c:y val="0.1"/>
          <c:w val="0.862553909619351"/>
          <c:h val="0.0840093343704856"/>
        </c:manualLayout>
      </c:layout>
      <c:spPr>
        <a:solidFill>
          <a:srgbClr val="ffffff"/>
        </a:solidFill>
        <a:ln>
          <a:noFill/>
        </a:ln>
      </c:spPr>
      <c:txPr>
        <a:bodyPr/>
        <a:lstStyle/>
        <a:p>
          <a:pPr>
            <a:defRPr b="0" sz="900" spc="-1" strike="noStrike">
              <a:solidFill>
                <a:srgbClr val="000000"/>
              </a:solidFill>
              <a:latin typeface="Calibri"/>
            </a:defRPr>
          </a:pPr>
        </a:p>
      </c:txPr>
    </c:legend>
    <c:plotVisOnly val="1"/>
    <c:dispBlanksAs val="zero"/>
  </c:chart>
  <c:spPr>
    <a:noFill/>
    <a:ln w="9360">
      <a:noFill/>
    </a:ln>
  </c:spPr>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2000-2008</c:v>
                </c:pt>
              </c:strCache>
            </c:strRef>
          </c:tx>
          <c:spPr>
            <a:solidFill>
              <a:srgbClr val="00b0f0"/>
            </a:solidFill>
            <a:ln w="19080">
              <a:noFill/>
            </a:ln>
          </c:spPr>
          <c:invertIfNegative val="0"/>
          <c:dLbls>
            <c:numFmt formatCode="0.00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0</c:f>
              <c:numCache>
                <c:formatCode>General</c:formatCode>
                <c:ptCount val="9"/>
                <c:pt idx="0">
                  <c:v>0.00159194101129118</c:v>
                </c:pt>
                <c:pt idx="1">
                  <c:v>0.00196242129585541</c:v>
                </c:pt>
                <c:pt idx="2">
                  <c:v>0.00434118650374645</c:v>
                </c:pt>
                <c:pt idx="3">
                  <c:v>0.00246545718818444</c:v>
                </c:pt>
                <c:pt idx="4">
                  <c:v>0.00202744723893836</c:v>
                </c:pt>
                <c:pt idx="5">
                  <c:v/>
                </c:pt>
                <c:pt idx="6">
                  <c:v>0.00572908617022068</c:v>
                </c:pt>
                <c:pt idx="7">
                  <c:v>0.00725594097021954</c:v>
                </c:pt>
                <c:pt idx="8">
                  <c:v>0.0141507977377448</c:v>
                </c:pt>
              </c:numCache>
            </c:numRef>
          </c:val>
        </c:ser>
        <c:ser>
          <c:idx val="1"/>
          <c:order val="1"/>
          <c:tx>
            <c:strRef>
              <c:f>label 1</c:f>
              <c:strCache>
                <c:ptCount val="1"/>
                <c:pt idx="0">
                  <c:v>2009-2021</c:v>
                </c:pt>
              </c:strCache>
            </c:strRef>
          </c:tx>
          <c:spPr>
            <a:solidFill>
              <a:srgbClr val="a9d18e"/>
            </a:solidFill>
            <a:ln w="19080">
              <a:noFill/>
            </a:ln>
          </c:spPr>
          <c:invertIfNegative val="0"/>
          <c:dLbls>
            <c:numFmt formatCode="0.00%" sourceLinked="0"/>
            <c:txPr>
              <a:bodyPr/>
              <a:lstStyle/>
              <a:p>
                <a:pPr>
                  <a:defRPr b="0" sz="800" spc="-1" strike="noStrike">
                    <a:solidFill>
                      <a:srgbClr val="000000"/>
                    </a:solidFill>
                    <a:latin typeface="Calibri"/>
                  </a:defRPr>
                </a:pPr>
              </a:p>
            </c:txPr>
            <c:dLblPos val="outEnd"/>
            <c:showLegendKey val="0"/>
            <c:showVal val="1"/>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1</c:f>
              <c:numCache>
                <c:formatCode>General</c:formatCode>
                <c:ptCount val="9"/>
                <c:pt idx="0">
                  <c:v>0.00512283752447761</c:v>
                </c:pt>
                <c:pt idx="1">
                  <c:v>0.00492202061964168</c:v>
                </c:pt>
                <c:pt idx="2">
                  <c:v>0.0102970395894961</c:v>
                </c:pt>
                <c:pt idx="3">
                  <c:v>0.000175335474273574</c:v>
                </c:pt>
                <c:pt idx="4">
                  <c:v>0.00435794335506828</c:v>
                </c:pt>
                <c:pt idx="5">
                  <c:v/>
                </c:pt>
                <c:pt idx="6">
                  <c:v>0.0105690204776187</c:v>
                </c:pt>
                <c:pt idx="7">
                  <c:v>0.00974658288119594</c:v>
                </c:pt>
                <c:pt idx="8">
                  <c:v>0.0199186210133976</c:v>
                </c:pt>
              </c:numCache>
            </c:numRef>
          </c:val>
        </c:ser>
        <c:gapWidth val="40"/>
        <c:overlap val="0"/>
        <c:axId val="94665093"/>
        <c:axId val="96012026"/>
      </c:barChart>
      <c:catAx>
        <c:axId val="94665093"/>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defRPr>
            </a:pPr>
          </a:p>
        </c:txPr>
        <c:crossAx val="96012026"/>
        <c:crosses val="autoZero"/>
        <c:auto val="1"/>
        <c:lblAlgn val="ctr"/>
        <c:lblOffset val="100"/>
      </c:catAx>
      <c:valAx>
        <c:axId val="96012026"/>
        <c:scaling>
          <c:orientation val="minMax"/>
          <c:max val="0.02"/>
          <c:min val="0"/>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defRPr>
            </a:pPr>
          </a:p>
        </c:txPr>
        <c:crossAx val="94665093"/>
        <c:crosses val="autoZero"/>
        <c:majorUnit val="0.01"/>
      </c:valAx>
      <c:spPr>
        <a:solidFill>
          <a:srgbClr val="f8f8f8"/>
        </a:solidFill>
        <a:ln>
          <a:noFill/>
        </a:ln>
      </c:spPr>
    </c:plotArea>
    <c:legend>
      <c:layout>
        <c:manualLayout>
          <c:xMode val="edge"/>
          <c:yMode val="edge"/>
          <c:x val="0.3085625"/>
          <c:y val="0.00811111111111111"/>
          <c:w val="0.573410838177386"/>
          <c:h val="0.132236915212801"/>
        </c:manualLayout>
      </c:layout>
      <c:spPr>
        <a:noFill/>
        <a:ln>
          <a:noFill/>
        </a:ln>
      </c:spPr>
      <c:txPr>
        <a:bodyPr/>
        <a:lstStyle/>
        <a:p>
          <a:pPr>
            <a:defRPr b="0" sz="1000" spc="-1" strike="noStrike">
              <a:solidFill>
                <a:srgbClr val="000000"/>
              </a:solidFill>
              <a:latin typeface="Calibri"/>
            </a:defRPr>
          </a:pPr>
        </a:p>
      </c:txPr>
    </c:legend>
    <c:plotVisOnly val="1"/>
    <c:dispBlanksAs val="gap"/>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solidFill>
              <a:srgbClr val="5b9bd5"/>
            </a:solidFill>
            <a:ln>
              <a:noFill/>
            </a:ln>
          </c:spPr>
          <c:invertIfNegative val="0"/>
          <c:dLbls>
            <c:numFmt formatCode="0.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57"/>
                <c:pt idx="0">
                  <c:v>2008</c:v>
                </c:pt>
                <c:pt idx="1">
                  <c:v/>
                </c:pt>
                <c:pt idx="2">
                  <c:v/>
                </c:pt>
                <c:pt idx="3">
                  <c:v/>
                </c:pt>
                <c:pt idx="4">
                  <c:v>2009</c:v>
                </c:pt>
                <c:pt idx="5">
                  <c:v/>
                </c:pt>
                <c:pt idx="6">
                  <c:v/>
                </c:pt>
                <c:pt idx="7">
                  <c:v/>
                </c:pt>
                <c:pt idx="8">
                  <c:v>2010</c:v>
                </c:pt>
                <c:pt idx="9">
                  <c:v/>
                </c:pt>
                <c:pt idx="10">
                  <c:v/>
                </c:pt>
                <c:pt idx="11">
                  <c:v/>
                </c:pt>
                <c:pt idx="12">
                  <c:v>2011</c:v>
                </c:pt>
                <c:pt idx="13">
                  <c:v/>
                </c:pt>
                <c:pt idx="14">
                  <c:v/>
                </c:pt>
                <c:pt idx="15">
                  <c:v/>
                </c:pt>
                <c:pt idx="16">
                  <c:v>2012</c:v>
                </c:pt>
                <c:pt idx="17">
                  <c:v/>
                </c:pt>
                <c:pt idx="18">
                  <c:v/>
                </c:pt>
                <c:pt idx="19">
                  <c:v/>
                </c:pt>
                <c:pt idx="20">
                  <c:v>2013</c:v>
                </c:pt>
                <c:pt idx="21">
                  <c:v/>
                </c:pt>
                <c:pt idx="22">
                  <c:v/>
                </c:pt>
                <c:pt idx="23">
                  <c:v/>
                </c:pt>
                <c:pt idx="24">
                  <c:v>2014</c:v>
                </c:pt>
                <c:pt idx="25">
                  <c:v/>
                </c:pt>
                <c:pt idx="26">
                  <c:v/>
                </c:pt>
                <c:pt idx="27">
                  <c:v/>
                </c:pt>
                <c:pt idx="28">
                  <c:v>2015</c:v>
                </c:pt>
                <c:pt idx="29">
                  <c:v/>
                </c:pt>
                <c:pt idx="30">
                  <c:v/>
                </c:pt>
                <c:pt idx="31">
                  <c:v/>
                </c:pt>
                <c:pt idx="32">
                  <c:v>2016</c:v>
                </c:pt>
                <c:pt idx="33">
                  <c:v/>
                </c:pt>
                <c:pt idx="34">
                  <c:v/>
                </c:pt>
                <c:pt idx="35">
                  <c:v/>
                </c:pt>
                <c:pt idx="36">
                  <c:v>2017</c:v>
                </c:pt>
                <c:pt idx="37">
                  <c:v/>
                </c:pt>
                <c:pt idx="38">
                  <c:v/>
                </c:pt>
                <c:pt idx="39">
                  <c:v/>
                </c:pt>
                <c:pt idx="40">
                  <c:v>2018</c:v>
                </c:pt>
                <c:pt idx="41">
                  <c:v/>
                </c:pt>
                <c:pt idx="42">
                  <c:v/>
                </c:pt>
                <c:pt idx="43">
                  <c:v/>
                </c:pt>
                <c:pt idx="44">
                  <c:v>2019</c:v>
                </c:pt>
                <c:pt idx="45">
                  <c:v/>
                </c:pt>
                <c:pt idx="46">
                  <c:v/>
                </c:pt>
                <c:pt idx="47">
                  <c:v/>
                </c:pt>
                <c:pt idx="48">
                  <c:v>2020</c:v>
                </c:pt>
                <c:pt idx="49">
                  <c:v/>
                </c:pt>
                <c:pt idx="50">
                  <c:v/>
                </c:pt>
                <c:pt idx="51">
                  <c:v/>
                </c:pt>
                <c:pt idx="52">
                  <c:v>2021</c:v>
                </c:pt>
                <c:pt idx="53">
                  <c:v/>
                </c:pt>
                <c:pt idx="54">
                  <c:v/>
                </c:pt>
                <c:pt idx="55">
                  <c:v/>
                </c:pt>
                <c:pt idx="56">
                  <c:v>2022</c:v>
                </c:pt>
              </c:strCache>
            </c:strRef>
          </c:cat>
          <c:val>
            <c:numRef>
              <c:f>0</c:f>
              <c:numCache>
                <c:formatCode>General</c:formatCode>
                <c:ptCount val="57"/>
                <c:pt idx="0">
                  <c:v>-0.012</c:v>
                </c:pt>
                <c:pt idx="1">
                  <c:v>-0.016</c:v>
                </c:pt>
                <c:pt idx="2">
                  <c:v>-0.022</c:v>
                </c:pt>
                <c:pt idx="3">
                  <c:v>-0.036</c:v>
                </c:pt>
                <c:pt idx="4">
                  <c:v>-0.05</c:v>
                </c:pt>
                <c:pt idx="5">
                  <c:v>-0.062</c:v>
                </c:pt>
                <c:pt idx="6">
                  <c:v>-0.068</c:v>
                </c:pt>
                <c:pt idx="7">
                  <c:v>-0.069</c:v>
                </c:pt>
                <c:pt idx="8">
                  <c:v>-0.071</c:v>
                </c:pt>
                <c:pt idx="9">
                  <c:v>-0.056</c:v>
                </c:pt>
                <c:pt idx="10">
                  <c:v>-0.071</c:v>
                </c:pt>
                <c:pt idx="11">
                  <c:v>-0.053</c:v>
                </c:pt>
                <c:pt idx="12">
                  <c:v>-0.043</c:v>
                </c:pt>
                <c:pt idx="13">
                  <c:v>-0.042</c:v>
                </c:pt>
                <c:pt idx="14">
                  <c:v>-0.042</c:v>
                </c:pt>
                <c:pt idx="15">
                  <c:v>-0.043</c:v>
                </c:pt>
                <c:pt idx="16">
                  <c:v>-0.037</c:v>
                </c:pt>
                <c:pt idx="17">
                  <c:v>-0.039</c:v>
                </c:pt>
                <c:pt idx="18">
                  <c:v>-0.036</c:v>
                </c:pt>
                <c:pt idx="19">
                  <c:v>-0.04</c:v>
                </c:pt>
                <c:pt idx="20">
                  <c:v>-0.035</c:v>
                </c:pt>
                <c:pt idx="21">
                  <c:v>-0.031</c:v>
                </c:pt>
                <c:pt idx="22">
                  <c:v>-0.031</c:v>
                </c:pt>
                <c:pt idx="23">
                  <c:v>-0.027</c:v>
                </c:pt>
                <c:pt idx="24">
                  <c:v>-0.025</c:v>
                </c:pt>
                <c:pt idx="25">
                  <c:v>-0.024</c:v>
                </c:pt>
                <c:pt idx="26">
                  <c:v>-0.026</c:v>
                </c:pt>
                <c:pt idx="27">
                  <c:v>-0.025</c:v>
                </c:pt>
                <c:pt idx="28">
                  <c:v>-0.022</c:v>
                </c:pt>
                <c:pt idx="29">
                  <c:v>-0.021</c:v>
                </c:pt>
                <c:pt idx="30">
                  <c:v>-0.017</c:v>
                </c:pt>
                <c:pt idx="31">
                  <c:v>-0.019</c:v>
                </c:pt>
                <c:pt idx="32">
                  <c:v>-0.017</c:v>
                </c:pt>
                <c:pt idx="33">
                  <c:v>-0.015</c:v>
                </c:pt>
                <c:pt idx="34">
                  <c:v>-0.017</c:v>
                </c:pt>
                <c:pt idx="35">
                  <c:v>-0.009</c:v>
                </c:pt>
                <c:pt idx="36">
                  <c:v>-0.01</c:v>
                </c:pt>
                <c:pt idx="37">
                  <c:v>-0.014</c:v>
                </c:pt>
                <c:pt idx="38">
                  <c:v>-0.008</c:v>
                </c:pt>
                <c:pt idx="39">
                  <c:v>-0.005</c:v>
                </c:pt>
                <c:pt idx="40">
                  <c:v>-0.002</c:v>
                </c:pt>
                <c:pt idx="41">
                  <c:v>-0.002</c:v>
                </c:pt>
                <c:pt idx="42">
                  <c:v>-0.005</c:v>
                </c:pt>
                <c:pt idx="43">
                  <c:v>-0.009</c:v>
                </c:pt>
                <c:pt idx="44">
                  <c:v>-0.004</c:v>
                </c:pt>
                <c:pt idx="45">
                  <c:v>-0.003</c:v>
                </c:pt>
                <c:pt idx="46">
                  <c:v>-0.009</c:v>
                </c:pt>
                <c:pt idx="47">
                  <c:v>-0.01</c:v>
                </c:pt>
                <c:pt idx="48">
                  <c:v>-0.029</c:v>
                </c:pt>
                <c:pt idx="49">
                  <c:v>-0.12</c:v>
                </c:pt>
                <c:pt idx="50">
                  <c:v>-0.064</c:v>
                </c:pt>
                <c:pt idx="51">
                  <c:v>-0.076</c:v>
                </c:pt>
                <c:pt idx="52">
                  <c:v>-0.069</c:v>
                </c:pt>
                <c:pt idx="53">
                  <c:v>-0.063</c:v>
                </c:pt>
                <c:pt idx="54">
                  <c:v>-0.039</c:v>
                </c:pt>
                <c:pt idx="55">
                  <c:v>-0.034</c:v>
                </c:pt>
                <c:pt idx="56">
                  <c:v>-0.023</c:v>
                </c:pt>
              </c:numCache>
            </c:numRef>
          </c:val>
        </c:ser>
        <c:gapWidth val="139"/>
        <c:overlap val="-27"/>
        <c:axId val="74258544"/>
        <c:axId val="79189001"/>
      </c:barChart>
      <c:catAx>
        <c:axId val="74258544"/>
        <c:scaling>
          <c:orientation val="minMax"/>
        </c:scaling>
        <c:delete val="0"/>
        <c:axPos val="b"/>
        <c:numFmt formatCode="DD/MM/YYYY" sourceLinked="1"/>
        <c:majorTickMark val="none"/>
        <c:minorTickMark val="none"/>
        <c:tickLblPos val="low"/>
        <c:spPr>
          <a:ln w="9360">
            <a:solidFill>
              <a:srgbClr val="d9d9d9"/>
            </a:solidFill>
            <a:round/>
          </a:ln>
        </c:spPr>
        <c:txPr>
          <a:bodyPr/>
          <a:lstStyle/>
          <a:p>
            <a:pPr>
              <a:defRPr b="0" sz="800" spc="-1" strike="noStrike">
                <a:solidFill>
                  <a:srgbClr val="000000"/>
                </a:solidFill>
                <a:latin typeface="Calibri"/>
              </a:defRPr>
            </a:pPr>
          </a:p>
        </c:txPr>
        <c:crossAx val="79189001"/>
        <c:crosses val="autoZero"/>
        <c:auto val="1"/>
        <c:lblAlgn val="ctr"/>
        <c:lblOffset val="100"/>
      </c:catAx>
      <c:valAx>
        <c:axId val="79189001"/>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74258544"/>
        <c:crosses val="autoZero"/>
      </c:valAx>
      <c:spPr>
        <a:noFill/>
        <a:ln>
          <a:noFill/>
        </a:ln>
      </c:spPr>
    </c:plotArea>
    <c:plotVisOnly val="1"/>
    <c:dispBlanksAs val="gap"/>
  </c:chart>
  <c:spPr>
    <a:solidFill>
      <a:srgbClr val="ffffff"/>
    </a:solidFill>
    <a:ln w="9360">
      <a:solidFill>
        <a:srgbClr val="d9d9d9"/>
      </a:solidFill>
      <a:round/>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percentStacked"/>
        <c:varyColors val="0"/>
        <c:ser>
          <c:idx val="0"/>
          <c:order val="0"/>
          <c:tx>
            <c:strRef>
              <c:f>label 0</c:f>
              <c:strCache>
                <c:ptCount val="1"/>
                <c:pt idx="0">
                  <c:v>Tehnologie</c:v>
                </c:pt>
              </c:strCache>
            </c:strRef>
          </c:tx>
          <c:spPr>
            <a:solidFill>
              <a:srgbClr val="00b0f0"/>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0</c:f>
              <c:numCache>
                <c:formatCode>General</c:formatCode>
                <c:ptCount val="8"/>
                <c:pt idx="0">
                  <c:v>0.0123293660736651</c:v>
                </c:pt>
                <c:pt idx="1">
                  <c:v>0.107464744006591</c:v>
                </c:pt>
                <c:pt idx="2">
                  <c:v>9.15316774291879E-005</c:v>
                </c:pt>
                <c:pt idx="3">
                  <c:v>0.0171700486324794</c:v>
                </c:pt>
                <c:pt idx="4">
                  <c:v>0.0155531007981052</c:v>
                </c:pt>
                <c:pt idx="5">
                  <c:v>0.0493452913288083</c:v>
                </c:pt>
                <c:pt idx="6">
                  <c:v>0.0261314346886082</c:v>
                </c:pt>
                <c:pt idx="7">
                  <c:v>0.0209666915095402</c:v>
                </c:pt>
              </c:numCache>
            </c:numRef>
          </c:val>
        </c:ser>
        <c:ser>
          <c:idx val="1"/>
          <c:order val="1"/>
          <c:tx>
            <c:strRef>
              <c:f>label 1</c:f>
              <c:strCache>
                <c:ptCount val="1"/>
                <c:pt idx="0">
                  <c:v>Sănătate</c:v>
                </c:pt>
              </c:strCache>
            </c:strRef>
          </c:tx>
          <c:spPr>
            <a:solidFill>
              <a:srgbClr val="f4b183"/>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1</c:f>
              <c:numCache>
                <c:formatCode>General</c:formatCode>
                <c:ptCount val="8"/>
                <c:pt idx="0">
                  <c:v>0.0115071483920407</c:v>
                </c:pt>
                <c:pt idx="1">
                  <c:v>0.0155973079404075</c:v>
                </c:pt>
                <c:pt idx="2">
                  <c:v>0.0021366873149559</c:v>
                </c:pt>
                <c:pt idx="3">
                  <c:v>0.00107062922985601</c:v>
                </c:pt>
                <c:pt idx="4">
                  <c:v>0.00633738869876211</c:v>
                </c:pt>
                <c:pt idx="5">
                  <c:v>0.0591259743939552</c:v>
                </c:pt>
                <c:pt idx="6">
                  <c:v>0.00279326792693659</c:v>
                </c:pt>
                <c:pt idx="7">
                  <c:v>0.0525683252982816</c:v>
                </c:pt>
              </c:numCache>
            </c:numRef>
          </c:val>
        </c:ser>
        <c:ser>
          <c:idx val="2"/>
          <c:order val="2"/>
          <c:tx>
            <c:strRef>
              <c:f>label 2</c:f>
              <c:strCache>
                <c:ptCount val="1"/>
                <c:pt idx="0">
                  <c:v>Materii prime </c:v>
                </c:pt>
              </c:strCache>
            </c:strRef>
          </c:tx>
          <c:spPr>
            <a:solidFill>
              <a:srgbClr val="fbe5d6"/>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2</c:f>
              <c:numCache>
                <c:formatCode>General</c:formatCode>
                <c:ptCount val="8"/>
                <c:pt idx="0">
                  <c:v>0.161216848888135</c:v>
                </c:pt>
                <c:pt idx="1">
                  <c:v>0.050057888489946</c:v>
                </c:pt>
                <c:pt idx="2">
                  <c:v>0.0148944239579111</c:v>
                </c:pt>
                <c:pt idx="3">
                  <c:v>0.00191028835139002</c:v>
                </c:pt>
                <c:pt idx="4">
                  <c:v>0.0800172504457948</c:v>
                </c:pt>
                <c:pt idx="5">
                  <c:v>0.19517896823085</c:v>
                </c:pt>
                <c:pt idx="6">
                  <c:v>0.181848867961396</c:v>
                </c:pt>
                <c:pt idx="7">
                  <c:v>0.0816468590959459</c:v>
                </c:pt>
              </c:numCache>
            </c:numRef>
          </c:val>
        </c:ser>
        <c:ser>
          <c:idx val="3"/>
          <c:order val="3"/>
          <c:tx>
            <c:strRef>
              <c:f>label 3</c:f>
              <c:strCache>
                <c:ptCount val="1"/>
                <c:pt idx="0">
                  <c:v>Consum non-ciclic</c:v>
                </c:pt>
              </c:strCache>
            </c:strRef>
          </c:tx>
          <c:spPr>
            <a:solidFill>
              <a:srgbClr val="70ad47"/>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3</c:f>
              <c:numCache>
                <c:formatCode>General</c:formatCode>
                <c:ptCount val="8"/>
                <c:pt idx="0">
                  <c:v>0.0454344039381644</c:v>
                </c:pt>
                <c:pt idx="1">
                  <c:v>0.167584636148844</c:v>
                </c:pt>
                <c:pt idx="2">
                  <c:v>0.0109452236594982</c:v>
                </c:pt>
                <c:pt idx="3">
                  <c:v>0.00526499129748741</c:v>
                </c:pt>
                <c:pt idx="4">
                  <c:v>0.0986160202583706</c:v>
                </c:pt>
                <c:pt idx="5">
                  <c:v>0.051478569693193</c:v>
                </c:pt>
                <c:pt idx="6">
                  <c:v>0.0112584565729675</c:v>
                </c:pt>
                <c:pt idx="7">
                  <c:v>0.105569182023605</c:v>
                </c:pt>
              </c:numCache>
            </c:numRef>
          </c:val>
        </c:ser>
        <c:ser>
          <c:idx val="4"/>
          <c:order val="4"/>
          <c:tx>
            <c:strRef>
              <c:f>label 4</c:f>
              <c:strCache>
                <c:ptCount val="1"/>
                <c:pt idx="0">
                  <c:v>Energie</c:v>
                </c:pt>
              </c:strCache>
            </c:strRef>
          </c:tx>
          <c:spPr>
            <a:solidFill>
              <a:srgbClr val="b4c7e7"/>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4</c:f>
              <c:numCache>
                <c:formatCode>General</c:formatCode>
                <c:ptCount val="8"/>
                <c:pt idx="0">
                  <c:v>0.0619366190608334</c:v>
                </c:pt>
                <c:pt idx="1">
                  <c:v>0.420739374404029</c:v>
                </c:pt>
                <c:pt idx="2">
                  <c:v>0.171861170039389</c:v>
                </c:pt>
                <c:pt idx="3">
                  <c:v>0.11870034329382</c:v>
                </c:pt>
                <c:pt idx="4">
                  <c:v>0.145463785384368</c:v>
                </c:pt>
                <c:pt idx="5">
                  <c:v>0.0314357386301939</c:v>
                </c:pt>
                <c:pt idx="6">
                  <c:v>0.268347905262746</c:v>
                </c:pt>
                <c:pt idx="7">
                  <c:v>0.112676903688936</c:v>
                </c:pt>
              </c:numCache>
            </c:numRef>
          </c:val>
        </c:ser>
        <c:ser>
          <c:idx val="5"/>
          <c:order val="5"/>
          <c:tx>
            <c:strRef>
              <c:f>label 5</c:f>
              <c:strCache>
                <c:ptCount val="1"/>
                <c:pt idx="0">
                  <c:v>Utilități</c:v>
                </c:pt>
              </c:strCache>
            </c:strRef>
          </c:tx>
          <c:spPr>
            <a:solidFill>
              <a:srgbClr val="d0cece"/>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5</c:f>
              <c:numCache>
                <c:formatCode>General</c:formatCode>
                <c:ptCount val="8"/>
                <c:pt idx="0">
                  <c:v>0.0681003989884273</c:v>
                </c:pt>
                <c:pt idx="1">
                  <c:v>0.0734050510675968</c:v>
                </c:pt>
                <c:pt idx="2">
                  <c:v>0.519177398789198</c:v>
                </c:pt>
                <c:pt idx="3">
                  <c:v>0.439250081495216</c:v>
                </c:pt>
                <c:pt idx="4">
                  <c:v>0.245217775861913</c:v>
                </c:pt>
                <c:pt idx="5">
                  <c:v>0.0783938156620375</c:v>
                </c:pt>
                <c:pt idx="6">
                  <c:v>0.0817310581064035</c:v>
                </c:pt>
                <c:pt idx="7">
                  <c:v>0.147828461400725</c:v>
                </c:pt>
              </c:numCache>
            </c:numRef>
          </c:val>
        </c:ser>
        <c:ser>
          <c:idx val="6"/>
          <c:order val="6"/>
          <c:tx>
            <c:strRef>
              <c:f>label 6</c:f>
              <c:strCache>
                <c:ptCount val="1"/>
                <c:pt idx="0">
                  <c:v>Consum ciclic</c:v>
                </c:pt>
              </c:strCache>
            </c:strRef>
          </c:tx>
          <c:spPr>
            <a:solidFill>
              <a:srgbClr val="ffd966"/>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6</c:f>
              <c:numCache>
                <c:formatCode>General</c:formatCode>
                <c:ptCount val="8"/>
                <c:pt idx="0">
                  <c:v>0.411755363903848</c:v>
                </c:pt>
                <c:pt idx="1">
                  <c:v>0.030139071668044</c:v>
                </c:pt>
                <c:pt idx="2">
                  <c:v>0.135751697478056</c:v>
                </c:pt>
                <c:pt idx="3">
                  <c:v>0.0262966348163469</c:v>
                </c:pt>
                <c:pt idx="4">
                  <c:v>0.202474386445319</c:v>
                </c:pt>
                <c:pt idx="5">
                  <c:v>0.315379938788362</c:v>
                </c:pt>
                <c:pt idx="6">
                  <c:v>0.0681444306025637</c:v>
                </c:pt>
                <c:pt idx="7">
                  <c:v>0.151824790995311</c:v>
                </c:pt>
              </c:numCache>
            </c:numRef>
          </c:val>
        </c:ser>
        <c:ser>
          <c:idx val="7"/>
          <c:order val="7"/>
          <c:tx>
            <c:strRef>
              <c:f>label 7</c:f>
              <c:strCache>
                <c:ptCount val="1"/>
                <c:pt idx="0">
                  <c:v>Servicii telecomunicații</c:v>
                </c:pt>
              </c:strCache>
            </c:strRef>
          </c:tx>
          <c:spPr>
            <a:solidFill>
              <a:srgbClr val="e2f0d9"/>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7</c:f>
              <c:numCache>
                <c:formatCode>General</c:formatCode>
                <c:ptCount val="8"/>
                <c:pt idx="0">
                  <c:v>0.143483658373872</c:v>
                </c:pt>
                <c:pt idx="1">
                  <c:v>0.0560418171358915</c:v>
                </c:pt>
                <c:pt idx="2">
                  <c:v>0.0287492701776026</c:v>
                </c:pt>
                <c:pt idx="3">
                  <c:v>0.241868696307636</c:v>
                </c:pt>
                <c:pt idx="4">
                  <c:v>0.11158450298902</c:v>
                </c:pt>
                <c:pt idx="5">
                  <c:v>0.0673083387679424</c:v>
                </c:pt>
                <c:pt idx="6">
                  <c:v>0.0985925861676653</c:v>
                </c:pt>
                <c:pt idx="7">
                  <c:v>0.160537269360045</c:v>
                </c:pt>
              </c:numCache>
            </c:numRef>
          </c:val>
        </c:ser>
        <c:ser>
          <c:idx val="8"/>
          <c:order val="8"/>
          <c:tx>
            <c:strRef>
              <c:f>label 8</c:f>
              <c:strCache>
                <c:ptCount val="1"/>
                <c:pt idx="0">
                  <c:v>Industrial</c:v>
                </c:pt>
              </c:strCache>
            </c:strRef>
          </c:tx>
          <c:spPr>
            <a:solidFill>
              <a:srgbClr val="2e75b6"/>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Polonia</c:v>
                </c:pt>
                <c:pt idx="1">
                  <c:v>Ungaria</c:v>
                </c:pt>
                <c:pt idx="2">
                  <c:v>Cehia</c:v>
                </c:pt>
                <c:pt idx="3">
                  <c:v>România</c:v>
                </c:pt>
                <c:pt idx="4">
                  <c:v>ECE</c:v>
                </c:pt>
                <c:pt idx="5">
                  <c:v>Germania</c:v>
                </c:pt>
                <c:pt idx="6">
                  <c:v>Austria</c:v>
                </c:pt>
                <c:pt idx="7">
                  <c:v>Europa</c:v>
                </c:pt>
              </c:strCache>
            </c:strRef>
          </c:cat>
          <c:val>
            <c:numRef>
              <c:f>8</c:f>
              <c:numCache>
                <c:formatCode>General</c:formatCode>
                <c:ptCount val="8"/>
                <c:pt idx="0">
                  <c:v>0.0842361923810144</c:v>
                </c:pt>
                <c:pt idx="1">
                  <c:v>0.0789701091386508</c:v>
                </c:pt>
                <c:pt idx="2">
                  <c:v>0.11639259690596</c:v>
                </c:pt>
                <c:pt idx="3">
                  <c:v>0.148468286575769</c:v>
                </c:pt>
                <c:pt idx="4">
                  <c:v>0.0947357891183481</c:v>
                </c:pt>
                <c:pt idx="5">
                  <c:v>0.152353364504657</c:v>
                </c:pt>
                <c:pt idx="6">
                  <c:v>0.261151992710714</c:v>
                </c:pt>
                <c:pt idx="7">
                  <c:v>0.16638151662761</c:v>
                </c:pt>
              </c:numCache>
            </c:numRef>
          </c:val>
        </c:ser>
        <c:gapWidth val="20"/>
        <c:overlap val="100"/>
        <c:axId val="70385506"/>
        <c:axId val="12539904"/>
      </c:barChart>
      <c:catAx>
        <c:axId val="70385506"/>
        <c:scaling>
          <c:orientation val="minMax"/>
        </c:scaling>
        <c:delete val="0"/>
        <c:axPos val="b"/>
        <c:majorGridlines>
          <c:spPr>
            <a:ln w="9360">
              <a:solidFill>
                <a:srgbClr val="ffffff"/>
              </a:solidFill>
              <a:round/>
            </a:ln>
          </c:spPr>
        </c:majorGridlines>
        <c:numFmt formatCode="DD/MM/YYYY" sourceLinked="1"/>
        <c:majorTickMark val="none"/>
        <c:minorTickMark val="none"/>
        <c:tickLblPos val="nextTo"/>
        <c:spPr>
          <a:ln w="9360">
            <a:solidFill>
              <a:srgbClr val="000000"/>
            </a:solidFill>
            <a:round/>
          </a:ln>
        </c:spPr>
        <c:txPr>
          <a:bodyPr/>
          <a:lstStyle/>
          <a:p>
            <a:pPr>
              <a:defRPr b="0" sz="900" spc="-1" strike="noStrike">
                <a:solidFill>
                  <a:srgbClr val="000000"/>
                </a:solidFill>
                <a:latin typeface="Calibri"/>
              </a:defRPr>
            </a:pPr>
          </a:p>
        </c:txPr>
        <c:crossAx val="12539904"/>
        <c:crosses val="autoZero"/>
        <c:auto val="1"/>
        <c:lblAlgn val="ctr"/>
        <c:lblOffset val="100"/>
      </c:catAx>
      <c:valAx>
        <c:axId val="12539904"/>
        <c:scaling>
          <c:orientation val="minMax"/>
          <c:max val="1"/>
        </c:scaling>
        <c:delete val="0"/>
        <c:axPos val="l"/>
        <c:majorGridlines>
          <c:spPr>
            <a:ln w="9360">
              <a:solidFill>
                <a:srgbClr val="ffffff"/>
              </a:solidFill>
              <a:round/>
            </a:ln>
          </c:spPr>
        </c:majorGridlines>
        <c:numFmt formatCode="0%" sourceLinked="0"/>
        <c:majorTickMark val="in"/>
        <c:minorTickMark val="none"/>
        <c:tickLblPos val="nextTo"/>
        <c:spPr>
          <a:ln w="6480">
            <a:solidFill>
              <a:srgbClr val="000000"/>
            </a:solidFill>
            <a:round/>
          </a:ln>
        </c:spPr>
        <c:txPr>
          <a:bodyPr/>
          <a:lstStyle/>
          <a:p>
            <a:pPr>
              <a:defRPr b="0" sz="900" spc="-1" strike="noStrike">
                <a:solidFill>
                  <a:srgbClr val="000000"/>
                </a:solidFill>
                <a:latin typeface="Calibri"/>
              </a:defRPr>
            </a:pPr>
          </a:p>
        </c:txPr>
        <c:crossAx val="70385506"/>
        <c:crosses val="autoZero"/>
        <c:majorUnit val="0.2"/>
      </c:valAx>
      <c:spPr>
        <a:solidFill>
          <a:srgbClr val="eaeaea"/>
        </a:solidFill>
        <a:ln>
          <a:noFill/>
        </a:ln>
      </c:spPr>
    </c:plotArea>
    <c:legend>
      <c:layout>
        <c:manualLayout>
          <c:xMode val="edge"/>
          <c:yMode val="edge"/>
          <c:x val="0.155"/>
          <c:y val="0.0128888888888889"/>
          <c:w val="0.802362647665479"/>
          <c:h val="0.15912879208801"/>
        </c:manualLayout>
      </c:layout>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stacked"/>
        <c:varyColors val="0"/>
        <c:ser>
          <c:idx val="0"/>
          <c:order val="0"/>
          <c:tx>
            <c:strRef>
              <c:f>label 0</c:f>
              <c:strCache>
                <c:ptCount val="1"/>
                <c:pt idx="0">
                  <c:v>Mai puțin de 5 ani</c:v>
                </c:pt>
              </c:strCache>
            </c:strRef>
          </c:tx>
          <c:spPr>
            <a:solidFill>
              <a:srgbClr val="00b0f0"/>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0</c:f>
              <c:numCache>
                <c:formatCode>General</c:formatCode>
                <c:ptCount val="9"/>
                <c:pt idx="0">
                  <c:v>0.0922223060536598</c:v>
                </c:pt>
                <c:pt idx="1">
                  <c:v>0.0227810129033216</c:v>
                </c:pt>
                <c:pt idx="2">
                  <c:v>0.0961210272201449</c:v>
                </c:pt>
                <c:pt idx="3">
                  <c:v>0.30886501785071</c:v>
                </c:pt>
                <c:pt idx="4">
                  <c:v>0.107356156705099</c:v>
                </c:pt>
                <c:pt idx="5">
                  <c:v/>
                </c:pt>
                <c:pt idx="6">
                  <c:v>0.20324870292107</c:v>
                </c:pt>
                <c:pt idx="7">
                  <c:v>0.0688899004404148</c:v>
                </c:pt>
                <c:pt idx="8">
                  <c:v>0.16607624932641</c:v>
                </c:pt>
              </c:numCache>
            </c:numRef>
          </c:val>
        </c:ser>
        <c:ser>
          <c:idx val="1"/>
          <c:order val="1"/>
          <c:tx>
            <c:strRef>
              <c:f>label 1</c:f>
              <c:strCache>
                <c:ptCount val="1"/>
                <c:pt idx="0">
                  <c:v>Între 5 - 10 ani</c:v>
                </c:pt>
              </c:strCache>
            </c:strRef>
          </c:tx>
          <c:spPr>
            <a:solidFill>
              <a:srgbClr val="a9d18e"/>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1</c:f>
              <c:numCache>
                <c:formatCode>General</c:formatCode>
                <c:ptCount val="9"/>
                <c:pt idx="0">
                  <c:v>0.832979568139467</c:v>
                </c:pt>
                <c:pt idx="1">
                  <c:v>0.523881667325272</c:v>
                </c:pt>
                <c:pt idx="2">
                  <c:v>0.618783468697376</c:v>
                </c:pt>
                <c:pt idx="3">
                  <c:v>0.69113498214929</c:v>
                </c:pt>
                <c:pt idx="4">
                  <c:v>0.718167053200167</c:v>
                </c:pt>
                <c:pt idx="5">
                  <c:v/>
                </c:pt>
                <c:pt idx="6">
                  <c:v>0.485231882049076</c:v>
                </c:pt>
                <c:pt idx="7">
                  <c:v>0.493104430977085</c:v>
                </c:pt>
                <c:pt idx="8">
                  <c:v>0.490245632759537</c:v>
                </c:pt>
              </c:numCache>
            </c:numRef>
          </c:val>
        </c:ser>
        <c:ser>
          <c:idx val="2"/>
          <c:order val="2"/>
          <c:tx>
            <c:strRef>
              <c:f>label 2</c:f>
              <c:strCache>
                <c:ptCount val="1"/>
                <c:pt idx="0">
                  <c:v>Peste 10 ani</c:v>
                </c:pt>
              </c:strCache>
            </c:strRef>
          </c:tx>
          <c:spPr>
            <a:solidFill>
              <a:srgbClr val="5b9bd5"/>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2</c:f>
              <c:numCache>
                <c:formatCode>General</c:formatCode>
                <c:ptCount val="9"/>
                <c:pt idx="0">
                  <c:v>0.0747981258068732</c:v>
                </c:pt>
                <c:pt idx="1">
                  <c:v>0.453337319771406</c:v>
                </c:pt>
                <c:pt idx="2">
                  <c:v>0.285095504082479</c:v>
                </c:pt>
                <c:pt idx="3">
                  <c:v>0</c:v>
                </c:pt>
                <c:pt idx="4">
                  <c:v>0.174476790094734</c:v>
                </c:pt>
                <c:pt idx="5">
                  <c:v/>
                </c:pt>
                <c:pt idx="6">
                  <c:v>0.311519415029854</c:v>
                </c:pt>
                <c:pt idx="7">
                  <c:v>0.4380056685825</c:v>
                </c:pt>
                <c:pt idx="8">
                  <c:v>0.343678117914053</c:v>
                </c:pt>
              </c:numCache>
            </c:numRef>
          </c:val>
        </c:ser>
        <c:gapWidth val="40"/>
        <c:overlap val="100"/>
        <c:axId val="22023790"/>
        <c:axId val="52990027"/>
      </c:barChart>
      <c:catAx>
        <c:axId val="22023790"/>
        <c:scaling>
          <c:orientation val="minMax"/>
        </c:scaling>
        <c:delete val="0"/>
        <c:axPos val="b"/>
        <c:numFmt formatCode="DD/MM/YYYY" sourceLinked="1"/>
        <c:majorTickMark val="none"/>
        <c:minorTickMark val="none"/>
        <c:tickLblPos val="nextTo"/>
        <c:spPr>
          <a:ln w="9360">
            <a:solidFill>
              <a:srgbClr val="000000"/>
            </a:solidFill>
            <a:round/>
          </a:ln>
        </c:spPr>
        <c:txPr>
          <a:bodyPr/>
          <a:lstStyle/>
          <a:p>
            <a:pPr>
              <a:defRPr b="0" sz="900" spc="-1" strike="noStrike">
                <a:solidFill>
                  <a:srgbClr val="000000"/>
                </a:solidFill>
                <a:latin typeface="Calibri"/>
              </a:defRPr>
            </a:pPr>
          </a:p>
        </c:txPr>
        <c:crossAx val="52990027"/>
        <c:crosses val="autoZero"/>
        <c:auto val="1"/>
        <c:lblAlgn val="ctr"/>
        <c:lblOffset val="100"/>
      </c:catAx>
      <c:valAx>
        <c:axId val="52990027"/>
        <c:scaling>
          <c:orientation val="minMax"/>
          <c:max val="1"/>
        </c:scaling>
        <c:delete val="0"/>
        <c:axPos val="l"/>
        <c:numFmt formatCode="0%" sourceLinked="0"/>
        <c:majorTickMark val="in"/>
        <c:minorTickMark val="none"/>
        <c:tickLblPos val="nextTo"/>
        <c:spPr>
          <a:ln w="6480">
            <a:solidFill>
              <a:srgbClr val="000000"/>
            </a:solidFill>
            <a:round/>
          </a:ln>
        </c:spPr>
        <c:txPr>
          <a:bodyPr/>
          <a:lstStyle/>
          <a:p>
            <a:pPr>
              <a:defRPr b="0" sz="900" spc="-1" strike="noStrike">
                <a:solidFill>
                  <a:srgbClr val="000000"/>
                </a:solidFill>
                <a:latin typeface="Calibri"/>
              </a:defRPr>
            </a:pPr>
          </a:p>
        </c:txPr>
        <c:crossAx val="22023790"/>
        <c:crosses val="autoZero"/>
        <c:majorUnit val="0.2"/>
      </c:valAx>
      <c:spPr>
        <a:noFill/>
        <a:ln w="25560">
          <a:noFill/>
        </a:ln>
      </c:spPr>
    </c:plotArea>
    <c:legend>
      <c:layout>
        <c:manualLayout>
          <c:xMode val="edge"/>
          <c:yMode val="edge"/>
          <c:x val="0.256125"/>
          <c:y val="0.0111111111111111"/>
          <c:w val="0.653790861928871"/>
          <c:h val="0.138015335037226"/>
        </c:manualLayout>
      </c:layout>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chartSpace>
</file>

<file path=word/charts/chart2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stacked"/>
        <c:varyColors val="0"/>
        <c:ser>
          <c:idx val="0"/>
          <c:order val="0"/>
          <c:tx>
            <c:strRef>
              <c:f>label 0</c:f>
              <c:strCache>
                <c:ptCount val="1"/>
                <c:pt idx="0">
                  <c:v>Londra</c:v>
                </c:pt>
              </c:strCache>
            </c:strRef>
          </c:tx>
          <c:spPr>
            <a:solidFill>
              <a:srgbClr val="5b9bd5"/>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9"/>
                <c:pt idx="0">
                  <c:v>Polonia </c:v>
                </c:pt>
                <c:pt idx="1">
                  <c:v>Ungaria</c:v>
                </c:pt>
                <c:pt idx="2">
                  <c:v>Cehia</c:v>
                </c:pt>
                <c:pt idx="3">
                  <c:v>România </c:v>
                </c:pt>
                <c:pt idx="4">
                  <c:v>ECE</c:v>
                </c:pt>
                <c:pt idx="5">
                  <c:v/>
                </c:pt>
                <c:pt idx="6">
                  <c:v>Germania</c:v>
                </c:pt>
                <c:pt idx="7">
                  <c:v>Austria</c:v>
                </c:pt>
                <c:pt idx="8">
                  <c:v>Europa</c:v>
                </c:pt>
              </c:strCache>
            </c:strRef>
          </c:cat>
          <c:val>
            <c:numRef>
              <c:f>0</c:f>
              <c:numCache>
                <c:formatCode>General</c:formatCode>
                <c:ptCount val="9"/>
                <c:pt idx="0">
                  <c:v>0.0185528720878529</c:v>
                </c:pt>
                <c:pt idx="1">
                  <c:v>0</c:v>
                </c:pt>
                <c:pt idx="2">
                  <c:v>0</c:v>
                </c:pt>
                <c:pt idx="3">
                  <c:v>0</c:v>
                </c:pt>
                <c:pt idx="4">
                  <c:v>0.0427788698937551</c:v>
                </c:pt>
                <c:pt idx="5">
                  <c:v/>
                </c:pt>
                <c:pt idx="6">
                  <c:v>0.0016978651200141</c:v>
                </c:pt>
                <c:pt idx="7">
                  <c:v>0.00014902408673755</c:v>
                </c:pt>
                <c:pt idx="8">
                  <c:v>0.164548562017554</c:v>
                </c:pt>
              </c:numCache>
            </c:numRef>
          </c:val>
        </c:ser>
        <c:ser>
          <c:idx val="1"/>
          <c:order val="1"/>
          <c:tx>
            <c:strRef>
              <c:f>label 1</c:f>
              <c:strCache>
                <c:ptCount val="1"/>
                <c:pt idx="0">
                  <c:v>OTC</c:v>
                </c:pt>
              </c:strCache>
            </c:strRef>
          </c:tx>
          <c:spPr>
            <a:solidFill>
              <a:srgbClr val="f8cbad"/>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9"/>
                <c:pt idx="0">
                  <c:v>Polonia </c:v>
                </c:pt>
                <c:pt idx="1">
                  <c:v>Ungaria</c:v>
                </c:pt>
                <c:pt idx="2">
                  <c:v>Cehia</c:v>
                </c:pt>
                <c:pt idx="3">
                  <c:v>România </c:v>
                </c:pt>
                <c:pt idx="4">
                  <c:v>ECE</c:v>
                </c:pt>
                <c:pt idx="5">
                  <c:v/>
                </c:pt>
                <c:pt idx="6">
                  <c:v>Germania</c:v>
                </c:pt>
                <c:pt idx="7">
                  <c:v>Austria</c:v>
                </c:pt>
                <c:pt idx="8">
                  <c:v>Europa</c:v>
                </c:pt>
              </c:strCache>
            </c:strRef>
          </c:cat>
          <c:val>
            <c:numRef>
              <c:f>1</c:f>
              <c:numCache>
                <c:formatCode>General</c:formatCode>
                <c:ptCount val="9"/>
                <c:pt idx="0">
                  <c:v>0.00999977550288533</c:v>
                </c:pt>
                <c:pt idx="1">
                  <c:v>0.0153132529048124</c:v>
                </c:pt>
                <c:pt idx="2">
                  <c:v>0.00813955712101865</c:v>
                </c:pt>
                <c:pt idx="3">
                  <c:v>0</c:v>
                </c:pt>
                <c:pt idx="4">
                  <c:v>0.00777150521096969</c:v>
                </c:pt>
                <c:pt idx="5">
                  <c:v/>
                </c:pt>
                <c:pt idx="6">
                  <c:v>0.0116282419408442</c:v>
                </c:pt>
                <c:pt idx="7">
                  <c:v>0.0111836233511319</c:v>
                </c:pt>
                <c:pt idx="8">
                  <c:v>0.0539618643715115</c:v>
                </c:pt>
              </c:numCache>
            </c:numRef>
          </c:val>
        </c:ser>
        <c:ser>
          <c:idx val="2"/>
          <c:order val="2"/>
          <c:tx>
            <c:strRef>
              <c:f>label 2</c:f>
              <c:strCache>
                <c:ptCount val="1"/>
                <c:pt idx="0">
                  <c:v>Alte burse</c:v>
                </c:pt>
              </c:strCache>
            </c:strRef>
          </c:tx>
          <c:spPr>
            <a:solidFill>
              <a:srgbClr val="a9d18e"/>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 </c:v>
                </c:pt>
                <c:pt idx="1">
                  <c:v>Ungaria</c:v>
                </c:pt>
                <c:pt idx="2">
                  <c:v>Cehia</c:v>
                </c:pt>
                <c:pt idx="3">
                  <c:v>România </c:v>
                </c:pt>
                <c:pt idx="4">
                  <c:v>ECE</c:v>
                </c:pt>
                <c:pt idx="5">
                  <c:v/>
                </c:pt>
                <c:pt idx="6">
                  <c:v>Germania</c:v>
                </c:pt>
                <c:pt idx="7">
                  <c:v>Austria</c:v>
                </c:pt>
                <c:pt idx="8">
                  <c:v>Europa</c:v>
                </c:pt>
              </c:strCache>
            </c:strRef>
          </c:cat>
          <c:val>
            <c:numRef>
              <c:f>2</c:f>
              <c:numCache>
                <c:formatCode>General</c:formatCode>
                <c:ptCount val="9"/>
                <c:pt idx="0">
                  <c:v>0.0900727218675577</c:v>
                </c:pt>
                <c:pt idx="1">
                  <c:v>0.243579173235855</c:v>
                </c:pt>
                <c:pt idx="2">
                  <c:v>0.258149694185944</c:v>
                </c:pt>
                <c:pt idx="3">
                  <c:v>0.110885333939146</c:v>
                </c:pt>
                <c:pt idx="4">
                  <c:v>0.216964238848676</c:v>
                </c:pt>
                <c:pt idx="5">
                  <c:v/>
                </c:pt>
                <c:pt idx="6">
                  <c:v>0.0539470944873799</c:v>
                </c:pt>
                <c:pt idx="7">
                  <c:v>0.072046491261724</c:v>
                </c:pt>
                <c:pt idx="8">
                  <c:v>0.13040478702206</c:v>
                </c:pt>
              </c:numCache>
            </c:numRef>
          </c:val>
        </c:ser>
        <c:ser>
          <c:idx val="3"/>
          <c:order val="3"/>
          <c:tx>
            <c:strRef>
              <c:f>label 3</c:f>
              <c:strCache>
                <c:ptCount val="1"/>
                <c:pt idx="0">
                  <c:v>Bursa locală</c:v>
                </c:pt>
              </c:strCache>
            </c:strRef>
          </c:tx>
          <c:spPr>
            <a:solidFill>
              <a:srgbClr val="b4c7e7"/>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 </c:v>
                </c:pt>
                <c:pt idx="1">
                  <c:v>Ungaria</c:v>
                </c:pt>
                <c:pt idx="2">
                  <c:v>Cehia</c:v>
                </c:pt>
                <c:pt idx="3">
                  <c:v>România </c:v>
                </c:pt>
                <c:pt idx="4">
                  <c:v>ECE</c:v>
                </c:pt>
                <c:pt idx="5">
                  <c:v/>
                </c:pt>
                <c:pt idx="6">
                  <c:v>Germania</c:v>
                </c:pt>
                <c:pt idx="7">
                  <c:v>Austria</c:v>
                </c:pt>
                <c:pt idx="8">
                  <c:v>Europa</c:v>
                </c:pt>
              </c:strCache>
            </c:strRef>
          </c:cat>
          <c:val>
            <c:numRef>
              <c:f>3</c:f>
              <c:numCache>
                <c:formatCode>General</c:formatCode>
                <c:ptCount val="9"/>
                <c:pt idx="0">
                  <c:v>0.580458656111091</c:v>
                </c:pt>
                <c:pt idx="1">
                  <c:v>0.474606034593057</c:v>
                </c:pt>
                <c:pt idx="2">
                  <c:v>0.173245731861265</c:v>
                </c:pt>
                <c:pt idx="3">
                  <c:v>0.0766070478430737</c:v>
                </c:pt>
                <c:pt idx="4">
                  <c:v>0.318107868816315</c:v>
                </c:pt>
                <c:pt idx="5">
                  <c:v/>
                </c:pt>
                <c:pt idx="6">
                  <c:v>0.0613395194963043</c:v>
                </c:pt>
                <c:pt idx="7">
                  <c:v>0.316505509551957</c:v>
                </c:pt>
                <c:pt idx="8">
                  <c:v>0.143252722602057</c:v>
                </c:pt>
              </c:numCache>
            </c:numRef>
          </c:val>
        </c:ser>
        <c:ser>
          <c:idx val="4"/>
          <c:order val="4"/>
          <c:tx>
            <c:strRef>
              <c:f>label 4</c:f>
              <c:strCache>
                <c:ptCount val="1"/>
                <c:pt idx="0">
                  <c:v>Nelistate</c:v>
                </c:pt>
              </c:strCache>
            </c:strRef>
          </c:tx>
          <c:spPr>
            <a:solidFill>
              <a:srgbClr val="ffc000"/>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 </c:v>
                </c:pt>
                <c:pt idx="1">
                  <c:v>Ungaria</c:v>
                </c:pt>
                <c:pt idx="2">
                  <c:v>Cehia</c:v>
                </c:pt>
                <c:pt idx="3">
                  <c:v>România </c:v>
                </c:pt>
                <c:pt idx="4">
                  <c:v>ECE</c:v>
                </c:pt>
                <c:pt idx="5">
                  <c:v/>
                </c:pt>
                <c:pt idx="6">
                  <c:v>Germania</c:v>
                </c:pt>
                <c:pt idx="7">
                  <c:v>Austria</c:v>
                </c:pt>
                <c:pt idx="8">
                  <c:v>Europa</c:v>
                </c:pt>
              </c:strCache>
            </c:strRef>
          </c:cat>
          <c:val>
            <c:numRef>
              <c:f>4</c:f>
              <c:numCache>
                <c:formatCode>General</c:formatCode>
                <c:ptCount val="9"/>
                <c:pt idx="0">
                  <c:v>0.106419472217805</c:v>
                </c:pt>
                <c:pt idx="1">
                  <c:v>0.0124581803486029</c:v>
                </c:pt>
                <c:pt idx="2">
                  <c:v>0.10854816107658</c:v>
                </c:pt>
                <c:pt idx="3">
                  <c:v>0.145258515730956</c:v>
                </c:pt>
                <c:pt idx="4">
                  <c:v>0.12230259840635</c:v>
                </c:pt>
                <c:pt idx="5">
                  <c:v/>
                </c:pt>
                <c:pt idx="6">
                  <c:v>0.145745633233664</c:v>
                </c:pt>
                <c:pt idx="7">
                  <c:v>0.127557526341245</c:v>
                </c:pt>
                <c:pt idx="8">
                  <c:v>0.156782719682169</c:v>
                </c:pt>
              </c:numCache>
            </c:numRef>
          </c:val>
        </c:ser>
        <c:ser>
          <c:idx val="5"/>
          <c:order val="5"/>
          <c:tx>
            <c:strRef>
              <c:f>label 5</c:f>
              <c:strCache>
                <c:ptCount val="1"/>
                <c:pt idx="0">
                  <c:v>Luxemburg</c:v>
                </c:pt>
              </c:strCache>
            </c:strRef>
          </c:tx>
          <c:spPr>
            <a:solidFill>
              <a:srgbClr val="00b0f0"/>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 </c:v>
                </c:pt>
                <c:pt idx="1">
                  <c:v>Ungaria</c:v>
                </c:pt>
                <c:pt idx="2">
                  <c:v>Cehia</c:v>
                </c:pt>
                <c:pt idx="3">
                  <c:v>România </c:v>
                </c:pt>
                <c:pt idx="4">
                  <c:v>ECE</c:v>
                </c:pt>
                <c:pt idx="5">
                  <c:v/>
                </c:pt>
                <c:pt idx="6">
                  <c:v>Germania</c:v>
                </c:pt>
                <c:pt idx="7">
                  <c:v>Austria</c:v>
                </c:pt>
                <c:pt idx="8">
                  <c:v>Europa</c:v>
                </c:pt>
              </c:strCache>
            </c:strRef>
          </c:cat>
          <c:val>
            <c:numRef>
              <c:f>5</c:f>
              <c:numCache>
                <c:formatCode>General</c:formatCode>
                <c:ptCount val="9"/>
                <c:pt idx="0">
                  <c:v>0.194496502212808</c:v>
                </c:pt>
                <c:pt idx="1">
                  <c:v>0.254043358917672</c:v>
                </c:pt>
                <c:pt idx="2">
                  <c:v>0.451916855755193</c:v>
                </c:pt>
                <c:pt idx="3">
                  <c:v>0.667249102486825</c:v>
                </c:pt>
                <c:pt idx="4">
                  <c:v>0.292074918823934</c:v>
                </c:pt>
                <c:pt idx="5">
                  <c:v/>
                </c:pt>
                <c:pt idx="6">
                  <c:v>0.725641645721793</c:v>
                </c:pt>
                <c:pt idx="7">
                  <c:v>0.472557825407204</c:v>
                </c:pt>
                <c:pt idx="8">
                  <c:v>0.351049344304649</c:v>
                </c:pt>
              </c:numCache>
            </c:numRef>
          </c:val>
        </c:ser>
        <c:gapWidth val="40"/>
        <c:overlap val="100"/>
        <c:axId val="35013706"/>
        <c:axId val="71633934"/>
      </c:barChart>
      <c:catAx>
        <c:axId val="35013706"/>
        <c:scaling>
          <c:orientation val="minMax"/>
        </c:scaling>
        <c:delete val="0"/>
        <c:axPos val="b"/>
        <c:numFmt formatCode="DD/MM/YYYY" sourceLinked="1"/>
        <c:majorTickMark val="none"/>
        <c:minorTickMark val="none"/>
        <c:tickLblPos val="nextTo"/>
        <c:spPr>
          <a:ln w="9360">
            <a:solidFill>
              <a:srgbClr val="000000"/>
            </a:solidFill>
            <a:round/>
          </a:ln>
        </c:spPr>
        <c:txPr>
          <a:bodyPr/>
          <a:lstStyle/>
          <a:p>
            <a:pPr>
              <a:defRPr b="0" sz="900" spc="-1" strike="noStrike">
                <a:solidFill>
                  <a:srgbClr val="000000"/>
                </a:solidFill>
                <a:latin typeface="Calibri"/>
              </a:defRPr>
            </a:pPr>
          </a:p>
        </c:txPr>
        <c:crossAx val="71633934"/>
        <c:crosses val="autoZero"/>
        <c:auto val="1"/>
        <c:lblAlgn val="ctr"/>
        <c:lblOffset val="100"/>
      </c:catAx>
      <c:valAx>
        <c:axId val="71633934"/>
        <c:scaling>
          <c:orientation val="minMax"/>
          <c:max val="1"/>
        </c:scaling>
        <c:delete val="0"/>
        <c:axPos val="l"/>
        <c:numFmt formatCode="0%" sourceLinked="0"/>
        <c:majorTickMark val="in"/>
        <c:minorTickMark val="none"/>
        <c:tickLblPos val="nextTo"/>
        <c:spPr>
          <a:ln w="6480">
            <a:solidFill>
              <a:srgbClr val="000000"/>
            </a:solidFill>
            <a:round/>
          </a:ln>
        </c:spPr>
        <c:txPr>
          <a:bodyPr/>
          <a:lstStyle/>
          <a:p>
            <a:pPr>
              <a:defRPr b="0" sz="900" spc="-1" strike="noStrike">
                <a:solidFill>
                  <a:srgbClr val="000000"/>
                </a:solidFill>
                <a:latin typeface="Calibri"/>
              </a:defRPr>
            </a:pPr>
          </a:p>
        </c:txPr>
        <c:crossAx val="35013706"/>
        <c:crosses val="autoZero"/>
        <c:majorUnit val="0.2"/>
      </c:valAx>
      <c:spPr>
        <a:solidFill>
          <a:srgbClr val="f8f8f8"/>
        </a:solidFill>
        <a:ln>
          <a:noFill/>
        </a:ln>
      </c:spPr>
    </c:plotArea>
    <c:legend>
      <c:layout>
        <c:manualLayout>
          <c:xMode val="edge"/>
          <c:yMode val="edge"/>
          <c:x val="0.256125"/>
          <c:y val="0.0111111111111111"/>
          <c:w val="0.663353959622476"/>
          <c:h val="0.102566951883543"/>
        </c:manualLayout>
      </c:layout>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chartSpace>
</file>

<file path=word/charts/chart2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stacked"/>
        <c:varyColors val="0"/>
        <c:ser>
          <c:idx val="0"/>
          <c:order val="0"/>
          <c:tx>
            <c:strRef>
              <c:f>label 0</c:f>
              <c:strCache>
                <c:ptCount val="1"/>
                <c:pt idx="0">
                  <c:v>Moneda locală</c:v>
                </c:pt>
              </c:strCache>
            </c:strRef>
          </c:tx>
          <c:spPr>
            <a:solidFill>
              <a:srgbClr val="a9d18e"/>
            </a:solidFill>
            <a:ln>
              <a:noFill/>
            </a:ln>
          </c:spPr>
          <c:invertIfNegative val="0"/>
          <c:dPt>
            <c:idx val="6"/>
            <c:invertIfNegative val="0"/>
            <c:spPr>
              <a:solidFill>
                <a:srgbClr val="a9d18e"/>
              </a:solidFill>
              <a:ln>
                <a:noFill/>
              </a:ln>
            </c:spPr>
          </c:dPt>
          <c:dPt>
            <c:idx val="7"/>
            <c:invertIfNegative val="0"/>
            <c:spPr>
              <a:solidFill>
                <a:srgbClr val="a9d18e"/>
              </a:solidFill>
              <a:ln>
                <a:noFill/>
              </a:ln>
            </c:spPr>
          </c:dPt>
          <c:dLbls>
            <c:numFmt formatCode="0%" sourceLinked="1"/>
            <c:dLbl>
              <c:idx val="6"/>
              <c:txPr>
                <a:bodyPr/>
                <a:lstStyle/>
                <a:p>
                  <a:pPr>
                    <a:defRPr b="0" sz="800" spc="-1" strike="noStrike">
                      <a:solidFill>
                        <a:srgbClr val="000000"/>
                      </a:solidFill>
                      <a:latin typeface="Calibri"/>
                    </a:defRPr>
                  </a:pPr>
                </a:p>
              </c:txPr>
              <c:dLblPos val="ctr"/>
              <c:showLegendKey val="0"/>
              <c:showVal val="0"/>
              <c:showCatName val="0"/>
              <c:showSerName val="0"/>
              <c:showPercent val="0"/>
            </c:dLbl>
            <c:dLbl>
              <c:idx val="7"/>
              <c:txPr>
                <a:bodyPr/>
                <a:lstStyle/>
                <a:p>
                  <a:pPr>
                    <a:defRPr b="0" sz="800" spc="-1" strike="noStrike">
                      <a:solidFill>
                        <a:srgbClr val="000000"/>
                      </a:solidFill>
                      <a:latin typeface="Calibri"/>
                    </a:defRPr>
                  </a:pPr>
                </a:p>
              </c:txPr>
              <c:dLblPos val="ctr"/>
              <c:showLegendKey val="0"/>
              <c:showVal val="0"/>
              <c:showCatName val="0"/>
              <c:showSerName val="0"/>
              <c:showPercent val="0"/>
            </c:dLbl>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0</c:f>
              <c:numCache>
                <c:formatCode>General</c:formatCode>
                <c:ptCount val="9"/>
                <c:pt idx="0">
                  <c:v>0.614268173660982</c:v>
                </c:pt>
                <c:pt idx="1">
                  <c:v>0.529839633955623</c:v>
                </c:pt>
                <c:pt idx="2">
                  <c:v>0.195624459276651</c:v>
                </c:pt>
                <c:pt idx="3">
                  <c:v>0.0674522108366215</c:v>
                </c:pt>
                <c:pt idx="4">
                  <c:v>0.334153178504735</c:v>
                </c:pt>
                <c:pt idx="5">
                  <c:v/>
                </c:pt>
                <c:pt idx="6">
                  <c:v>0</c:v>
                </c:pt>
                <c:pt idx="7">
                  <c:v>0</c:v>
                </c:pt>
                <c:pt idx="8">
                  <c:v>0.0905793432606483</c:v>
                </c:pt>
              </c:numCache>
            </c:numRef>
          </c:val>
        </c:ser>
        <c:ser>
          <c:idx val="1"/>
          <c:order val="1"/>
          <c:tx>
            <c:strRef>
              <c:f>label 1</c:f>
              <c:strCache>
                <c:ptCount val="1"/>
                <c:pt idx="0">
                  <c:v>EUR</c:v>
                </c:pt>
              </c:strCache>
            </c:strRef>
          </c:tx>
          <c:spPr>
            <a:solidFill>
              <a:srgbClr val="00b0f0"/>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1</c:f>
              <c:numCache>
                <c:formatCode>General</c:formatCode>
                <c:ptCount val="9"/>
                <c:pt idx="0">
                  <c:v>0.296209899294728</c:v>
                </c:pt>
                <c:pt idx="1">
                  <c:v>0.452058293924414</c:v>
                </c:pt>
                <c:pt idx="2">
                  <c:v>0.735751547566204</c:v>
                </c:pt>
                <c:pt idx="3">
                  <c:v>0.551658421065739</c:v>
                </c:pt>
                <c:pt idx="4">
                  <c:v>0.506293892922173</c:v>
                </c:pt>
                <c:pt idx="5">
                  <c:v/>
                </c:pt>
                <c:pt idx="6">
                  <c:v>0.859854874981392</c:v>
                </c:pt>
                <c:pt idx="7">
                  <c:v>0.866808726433037</c:v>
                </c:pt>
                <c:pt idx="8">
                  <c:v>0.624753919107579</c:v>
                </c:pt>
              </c:numCache>
            </c:numRef>
          </c:val>
        </c:ser>
        <c:ser>
          <c:idx val="2"/>
          <c:order val="2"/>
          <c:tx>
            <c:strRef>
              <c:f>label 2</c:f>
              <c:strCache>
                <c:ptCount val="1"/>
                <c:pt idx="0">
                  <c:v>USD</c:v>
                </c:pt>
              </c:strCache>
            </c:strRef>
          </c:tx>
          <c:spPr>
            <a:solidFill>
              <a:srgbClr val="f8cbad"/>
            </a:solidFill>
            <a:ln>
              <a:noFill/>
            </a:ln>
          </c:spPr>
          <c:invertIfNegative val="0"/>
          <c:dLbls>
            <c:numFmt formatCode="0%" sourceLinked="1"/>
            <c:txPr>
              <a:bodyPr/>
              <a:lstStyle/>
              <a:p>
                <a:pPr>
                  <a:defRPr b="0" sz="800" spc="-1" strike="noStrike">
                    <a:solidFill>
                      <a:srgbClr val="000000"/>
                    </a:solidFill>
                    <a:latin typeface="Calibri"/>
                  </a:defRPr>
                </a:pPr>
              </a:p>
            </c:txPr>
            <c:dLblPos val="ctr"/>
            <c:showLegendKey val="0"/>
            <c:showVal val="1"/>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2</c:f>
              <c:numCache>
                <c:formatCode>General</c:formatCode>
                <c:ptCount val="9"/>
                <c:pt idx="0">
                  <c:v>0.0895219270442899</c:v>
                </c:pt>
                <c:pt idx="1">
                  <c:v>0.018102072119963</c:v>
                </c:pt>
                <c:pt idx="2">
                  <c:v>0.0527045441254388</c:v>
                </c:pt>
                <c:pt idx="3">
                  <c:v>0.380889368097639</c:v>
                </c:pt>
                <c:pt idx="4">
                  <c:v>0.152062255428022</c:v>
                </c:pt>
                <c:pt idx="5">
                  <c:v/>
                </c:pt>
                <c:pt idx="6">
                  <c:v>0.0713965067437264</c:v>
                </c:pt>
                <c:pt idx="7">
                  <c:v>0.100898261473268</c:v>
                </c:pt>
                <c:pt idx="8">
                  <c:v>0.227839620997051</c:v>
                </c:pt>
              </c:numCache>
            </c:numRef>
          </c:val>
        </c:ser>
        <c:ser>
          <c:idx val="3"/>
          <c:order val="3"/>
          <c:tx>
            <c:strRef>
              <c:f>label 3</c:f>
              <c:strCache>
                <c:ptCount val="1"/>
                <c:pt idx="0">
                  <c:v>Alte monede</c:v>
                </c:pt>
              </c:strCache>
            </c:strRef>
          </c:tx>
          <c:spPr>
            <a:solidFill>
              <a:srgbClr val="276f8b"/>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9"/>
                <c:pt idx="0">
                  <c:v>Polonia</c:v>
                </c:pt>
                <c:pt idx="1">
                  <c:v>Ungaria</c:v>
                </c:pt>
                <c:pt idx="2">
                  <c:v>Cehia</c:v>
                </c:pt>
                <c:pt idx="3">
                  <c:v>România</c:v>
                </c:pt>
                <c:pt idx="4">
                  <c:v>ECE</c:v>
                </c:pt>
                <c:pt idx="5">
                  <c:v/>
                </c:pt>
                <c:pt idx="6">
                  <c:v>Germania</c:v>
                </c:pt>
                <c:pt idx="7">
                  <c:v>Austria</c:v>
                </c:pt>
                <c:pt idx="8">
                  <c:v>Europa</c:v>
                </c:pt>
              </c:strCache>
            </c:strRef>
          </c:cat>
          <c:val>
            <c:numRef>
              <c:f>3</c:f>
              <c:numCache>
                <c:formatCode>General</c:formatCode>
                <c:ptCount val="9"/>
                <c:pt idx="0">
                  <c:v>0</c:v>
                </c:pt>
                <c:pt idx="1">
                  <c:v>0</c:v>
                </c:pt>
                <c:pt idx="2">
                  <c:v>0.0159194490317057</c:v>
                </c:pt>
                <c:pt idx="3">
                  <c:v>0</c:v>
                </c:pt>
                <c:pt idx="4">
                  <c:v>0.00749067314507013</c:v>
                </c:pt>
                <c:pt idx="5">
                  <c:v/>
                </c:pt>
                <c:pt idx="6">
                  <c:v>0.0687486182748819</c:v>
                </c:pt>
                <c:pt idx="7">
                  <c:v>0.0322930120936948</c:v>
                </c:pt>
                <c:pt idx="8">
                  <c:v>0.0568271166347214</c:v>
                </c:pt>
              </c:numCache>
            </c:numRef>
          </c:val>
        </c:ser>
        <c:gapWidth val="40"/>
        <c:overlap val="100"/>
        <c:axId val="54677348"/>
        <c:axId val="27541941"/>
      </c:barChart>
      <c:catAx>
        <c:axId val="54677348"/>
        <c:scaling>
          <c:orientation val="minMax"/>
        </c:scaling>
        <c:delete val="0"/>
        <c:axPos val="b"/>
        <c:numFmt formatCode="DD/MM/YYYY" sourceLinked="1"/>
        <c:majorTickMark val="none"/>
        <c:minorTickMark val="none"/>
        <c:tickLblPos val="nextTo"/>
        <c:spPr>
          <a:ln w="9360">
            <a:solidFill>
              <a:srgbClr val="000000"/>
            </a:solidFill>
            <a:round/>
          </a:ln>
        </c:spPr>
        <c:txPr>
          <a:bodyPr/>
          <a:lstStyle/>
          <a:p>
            <a:pPr>
              <a:defRPr b="0" sz="900" spc="-1" strike="noStrike">
                <a:solidFill>
                  <a:srgbClr val="000000"/>
                </a:solidFill>
                <a:latin typeface="Calibri"/>
              </a:defRPr>
            </a:pPr>
          </a:p>
        </c:txPr>
        <c:crossAx val="27541941"/>
        <c:crosses val="autoZero"/>
        <c:auto val="1"/>
        <c:lblAlgn val="ctr"/>
        <c:lblOffset val="100"/>
      </c:catAx>
      <c:valAx>
        <c:axId val="27541941"/>
        <c:scaling>
          <c:orientation val="minMax"/>
          <c:max val="1"/>
        </c:scaling>
        <c:delete val="0"/>
        <c:axPos val="l"/>
        <c:numFmt formatCode="0%" sourceLinked="0"/>
        <c:majorTickMark val="in"/>
        <c:minorTickMark val="none"/>
        <c:tickLblPos val="nextTo"/>
        <c:spPr>
          <a:ln w="6480">
            <a:solidFill>
              <a:srgbClr val="000000"/>
            </a:solidFill>
            <a:round/>
          </a:ln>
        </c:spPr>
        <c:txPr>
          <a:bodyPr/>
          <a:lstStyle/>
          <a:p>
            <a:pPr>
              <a:defRPr b="0" sz="900" spc="-1" strike="noStrike">
                <a:solidFill>
                  <a:srgbClr val="000000"/>
                </a:solidFill>
                <a:latin typeface="Calibri"/>
              </a:defRPr>
            </a:pPr>
          </a:p>
        </c:txPr>
        <c:crossAx val="54677348"/>
        <c:crosses val="autoZero"/>
        <c:majorUnit val="0.2"/>
      </c:valAx>
      <c:spPr>
        <a:solidFill>
          <a:srgbClr val="f8f8f8"/>
        </a:solidFill>
        <a:ln>
          <a:noFill/>
        </a:ln>
      </c:spPr>
    </c:plotArea>
    <c:legend>
      <c:layout>
        <c:manualLayout>
          <c:xMode val="edge"/>
          <c:yMode val="edge"/>
          <c:x val="0.256125"/>
          <c:y val="0.0111111111111111"/>
          <c:w val="0.653790861928871"/>
          <c:h val="0.138015335037226"/>
        </c:manualLayout>
      </c:layout>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chartSpace>
</file>

<file path=word/charts/chart2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România</c:v>
                </c:pt>
              </c:strCache>
            </c:strRef>
          </c:tx>
          <c:spPr>
            <a:solidFill>
              <a:srgbClr val="70ad47"/>
            </a:solidFill>
            <a:ln>
              <a:noFill/>
            </a:ln>
          </c:spPr>
          <c:invertIfNegative val="0"/>
          <c:dPt>
            <c:idx val="1"/>
            <c:invertIfNegative val="0"/>
            <c:spPr>
              <a:solidFill>
                <a:srgbClr val="70ad47"/>
              </a:solidFill>
              <a:ln>
                <a:noFill/>
              </a:ln>
            </c:spPr>
          </c:dPt>
          <c:dLbls>
            <c:numFmt formatCode="0%" sourceLinked="1"/>
            <c:dLbl>
              <c:idx val="1"/>
              <c:txPr>
                <a:bodyPr/>
                <a:lstStyle/>
                <a:p>
                  <a:pPr>
                    <a:defRPr b="0" sz="1000" spc="-1" strike="noStrike">
                      <a:solidFill>
                        <a:srgbClr val="000000"/>
                      </a:solidFill>
                      <a:latin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defRPr>
                </a:pPr>
              </a:p>
            </c:txPr>
            <c:dLblPos val="outEnd"/>
            <c:showLegendKey val="0"/>
            <c:showVal val="1"/>
            <c:showCatName val="0"/>
            <c:showSerName val="0"/>
            <c:showPercent val="0"/>
            <c:showLeaderLines val="0"/>
          </c:dLbls>
          <c:cat>
            <c:strRef>
              <c:f>categories</c:f>
              <c:strCache>
                <c:ptCount val="3"/>
                <c:pt idx="0">
                  <c:v>Finanțare</c:v>
                </c:pt>
                <c:pt idx="1">
                  <c:v>Investiții</c:v>
                </c:pt>
                <c:pt idx="2">
                  <c:v>Dezinvestire</c:v>
                </c:pt>
              </c:strCache>
            </c:strRef>
          </c:cat>
          <c:val>
            <c:numRef>
              <c:f>0</c:f>
              <c:numCache>
                <c:formatCode>General</c:formatCode>
                <c:ptCount val="3"/>
                <c:pt idx="0">
                  <c:v>0.0125499536444769</c:v>
                </c:pt>
                <c:pt idx="1">
                  <c:v>0.0953543307924705</c:v>
                </c:pt>
                <c:pt idx="2">
                  <c:v>0.0670116356192949</c:v>
                </c:pt>
              </c:numCache>
            </c:numRef>
          </c:val>
        </c:ser>
        <c:ser>
          <c:idx val="1"/>
          <c:order val="1"/>
          <c:tx>
            <c:strRef>
              <c:f>label 1</c:f>
              <c:strCache>
                <c:ptCount val="1"/>
                <c:pt idx="0">
                  <c:v>Ungaria</c:v>
                </c:pt>
              </c:strCache>
            </c:strRef>
          </c:tx>
          <c:spPr>
            <a:solidFill>
              <a:srgbClr val="ed7d31"/>
            </a:solidFill>
            <a:ln w="19080">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howLeaderLines val="0"/>
          </c:dLbls>
          <c:cat>
            <c:strRef>
              <c:f>categories</c:f>
              <c:strCache>
                <c:ptCount val="3"/>
                <c:pt idx="0">
                  <c:v>Finanțare</c:v>
                </c:pt>
                <c:pt idx="1">
                  <c:v>Investiții</c:v>
                </c:pt>
                <c:pt idx="2">
                  <c:v>Dezinvestire</c:v>
                </c:pt>
              </c:strCache>
            </c:strRef>
          </c:cat>
          <c:val>
            <c:numRef>
              <c:f>1</c:f>
              <c:numCache>
                <c:formatCode>General</c:formatCode>
                <c:ptCount val="3"/>
                <c:pt idx="0">
                  <c:v>0.123703747325673</c:v>
                </c:pt>
                <c:pt idx="1">
                  <c:v>0.0933683253352561</c:v>
                </c:pt>
                <c:pt idx="2">
                  <c:v>0.115648979614204</c:v>
                </c:pt>
              </c:numCache>
            </c:numRef>
          </c:val>
        </c:ser>
        <c:ser>
          <c:idx val="2"/>
          <c:order val="2"/>
          <c:tx>
            <c:strRef>
              <c:f>label 2</c:f>
              <c:strCache>
                <c:ptCount val="1"/>
                <c:pt idx="0">
                  <c:v>Cehia</c:v>
                </c:pt>
              </c:strCache>
            </c:strRef>
          </c:tx>
          <c:spPr>
            <a:solidFill>
              <a:srgbClr val="7c7c7c"/>
            </a:solidFill>
            <a:ln w="19080">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howLeaderLines val="0"/>
          </c:dLbls>
          <c:cat>
            <c:strRef>
              <c:f>categories</c:f>
              <c:strCache>
                <c:ptCount val="3"/>
                <c:pt idx="0">
                  <c:v>Finanțare</c:v>
                </c:pt>
                <c:pt idx="1">
                  <c:v>Investiții</c:v>
                </c:pt>
                <c:pt idx="2">
                  <c:v>Dezinvestire</c:v>
                </c:pt>
              </c:strCache>
            </c:strRef>
          </c:cat>
          <c:val>
            <c:numRef>
              <c:f>2</c:f>
              <c:numCache>
                <c:formatCode>General</c:formatCode>
                <c:ptCount val="3"/>
                <c:pt idx="0">
                  <c:v>0.0442958949728439</c:v>
                </c:pt>
                <c:pt idx="1">
                  <c:v>0.16740517147303</c:v>
                </c:pt>
                <c:pt idx="2">
                  <c:v>0.221128892744704</c:v>
                </c:pt>
              </c:numCache>
            </c:numRef>
          </c:val>
        </c:ser>
        <c:ser>
          <c:idx val="3"/>
          <c:order val="3"/>
          <c:tx>
            <c:strRef>
              <c:f>label 3</c:f>
              <c:strCache>
                <c:ptCount val="1"/>
                <c:pt idx="0">
                  <c:v>Polonia</c:v>
                </c:pt>
              </c:strCache>
            </c:strRef>
          </c:tx>
          <c:spPr>
            <a:solidFill>
              <a:srgbClr val="2f5597"/>
            </a:solidFill>
            <a:ln>
              <a:noFill/>
            </a:ln>
          </c:spPr>
          <c:invertIfNegative val="0"/>
          <c:dPt>
            <c:idx val="1"/>
            <c:invertIfNegative val="0"/>
            <c:spPr>
              <a:solidFill>
                <a:srgbClr val="2f5597"/>
              </a:solidFill>
              <a:ln>
                <a:noFill/>
              </a:ln>
            </c:spPr>
          </c:dPt>
          <c:dLbls>
            <c:numFmt formatCode="0%" sourceLinked="1"/>
            <c:dLbl>
              <c:idx val="1"/>
              <c:txPr>
                <a:bodyPr/>
                <a:lstStyle/>
                <a:p>
                  <a:pPr>
                    <a:defRPr b="0" sz="1000" spc="-1" strike="noStrike">
                      <a:solidFill>
                        <a:srgbClr val="000000"/>
                      </a:solidFill>
                      <a:latin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defRPr>
                </a:pPr>
              </a:p>
            </c:txPr>
            <c:dLblPos val="outEnd"/>
            <c:showLegendKey val="0"/>
            <c:showVal val="1"/>
            <c:showCatName val="0"/>
            <c:showSerName val="0"/>
            <c:showPercent val="0"/>
            <c:showLeaderLines val="0"/>
          </c:dLbls>
          <c:cat>
            <c:strRef>
              <c:f>categories</c:f>
              <c:strCache>
                <c:ptCount val="3"/>
                <c:pt idx="0">
                  <c:v>Finanțare</c:v>
                </c:pt>
                <c:pt idx="1">
                  <c:v>Investiții</c:v>
                </c:pt>
                <c:pt idx="2">
                  <c:v>Dezinvestire</c:v>
                </c:pt>
              </c:strCache>
            </c:strRef>
          </c:cat>
          <c:val>
            <c:numRef>
              <c:f>3</c:f>
              <c:numCache>
                <c:formatCode>General</c:formatCode>
                <c:ptCount val="3"/>
                <c:pt idx="0">
                  <c:v>0.273422744563725</c:v>
                </c:pt>
                <c:pt idx="1">
                  <c:v>0.35650085052623</c:v>
                </c:pt>
                <c:pt idx="2">
                  <c:v>0.367351135274919</c:v>
                </c:pt>
              </c:numCache>
            </c:numRef>
          </c:val>
        </c:ser>
        <c:gapWidth val="60"/>
        <c:overlap val="0"/>
        <c:axId val="66755034"/>
        <c:axId val="50346593"/>
      </c:barChart>
      <c:catAx>
        <c:axId val="66755034"/>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defRPr>
            </a:pPr>
          </a:p>
        </c:txPr>
        <c:crossAx val="50346593"/>
        <c:crosses val="autoZero"/>
        <c:auto val="1"/>
        <c:lblAlgn val="ctr"/>
        <c:lblOffset val="100"/>
      </c:catAx>
      <c:valAx>
        <c:axId val="50346593"/>
        <c:scaling>
          <c:orientation val="minMax"/>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defRPr>
            </a:pPr>
          </a:p>
        </c:txPr>
        <c:crossAx val="66755034"/>
        <c:crosses val="autoZero"/>
        <c:majorUnit val="0.1"/>
      </c:valAx>
      <c:spPr>
        <a:solidFill>
          <a:srgbClr val="f8f8f8"/>
        </a:solidFill>
        <a:ln>
          <a:noFill/>
        </a:ln>
      </c:spPr>
    </c:plotArea>
    <c:legend>
      <c:layout>
        <c:manualLayout>
          <c:xMode val="edge"/>
          <c:yMode val="edge"/>
          <c:x val="0.123625"/>
          <c:y val="0.00488888888888889"/>
          <c:w val="0.867679229951872"/>
          <c:h val="0.177464162684743"/>
        </c:manualLayout>
      </c:layout>
      <c:spPr>
        <a:noFill/>
        <a:ln>
          <a:noFill/>
        </a:ln>
      </c:spPr>
      <c:txPr>
        <a:bodyPr/>
        <a:lstStyle/>
        <a:p>
          <a:pPr>
            <a:defRPr b="0" sz="1000" spc="-1" strike="noStrike">
              <a:solidFill>
                <a:srgbClr val="000000"/>
              </a:solidFill>
              <a:latin typeface="Calibri"/>
            </a:defRPr>
          </a:pPr>
        </a:p>
      </c:txPr>
    </c:legend>
    <c:plotVisOnly val="1"/>
    <c:dispBlanksAs val="gap"/>
  </c:chart>
  <c:spPr>
    <a:noFill/>
    <a:ln w="9360">
      <a:noFill/>
    </a:ln>
  </c:spPr>
</c:chartSpace>
</file>

<file path=word/charts/chart2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România PE Investiții / ECE Investiții</c:v>
                </c:pt>
              </c:strCache>
            </c:strRef>
          </c:tx>
          <c:spPr>
            <a:solidFill>
              <a:srgbClr val="00b0f0"/>
            </a:solidFill>
            <a:ln w="19080">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5"/>
                <c:pt idx="0">
                  <c:v>2007</c:v>
                </c:pt>
                <c:pt idx="1">
                  <c:v/>
                </c:pt>
                <c:pt idx="2">
                  <c:v> '09</c:v>
                </c:pt>
                <c:pt idx="3">
                  <c:v/>
                </c:pt>
                <c:pt idx="4">
                  <c:v> '11</c:v>
                </c:pt>
                <c:pt idx="5">
                  <c:v/>
                </c:pt>
                <c:pt idx="6">
                  <c:v> '13</c:v>
                </c:pt>
                <c:pt idx="7">
                  <c:v/>
                </c:pt>
                <c:pt idx="8">
                  <c:v> '15</c:v>
                </c:pt>
                <c:pt idx="9">
                  <c:v/>
                </c:pt>
                <c:pt idx="10">
                  <c:v> '17</c:v>
                </c:pt>
                <c:pt idx="11">
                  <c:v/>
                </c:pt>
                <c:pt idx="12">
                  <c:v> '19</c:v>
                </c:pt>
                <c:pt idx="13">
                  <c:v/>
                </c:pt>
                <c:pt idx="14">
                  <c:v> '21</c:v>
                </c:pt>
              </c:strCache>
            </c:strRef>
          </c:cat>
          <c:val>
            <c:numRef>
              <c:f>0</c:f>
              <c:numCache>
                <c:formatCode>General</c:formatCode>
                <c:ptCount val="15"/>
                <c:pt idx="0">
                  <c:v>0.128123949194814</c:v>
                </c:pt>
                <c:pt idx="1">
                  <c:v>0.121344546031315</c:v>
                </c:pt>
                <c:pt idx="2">
                  <c:v>0.0896431918975996</c:v>
                </c:pt>
                <c:pt idx="3">
                  <c:v>0.093531136184924</c:v>
                </c:pt>
                <c:pt idx="4">
                  <c:v>0.059998294929985</c:v>
                </c:pt>
                <c:pt idx="5">
                  <c:v>0.0339332955885038</c:v>
                </c:pt>
                <c:pt idx="6">
                  <c:v>0.116882871403351</c:v>
                </c:pt>
                <c:pt idx="7">
                  <c:v>0.0606842111414787</c:v>
                </c:pt>
                <c:pt idx="8">
                  <c:v>0.0978093026348211</c:v>
                </c:pt>
                <c:pt idx="9">
                  <c:v>0.0868490436387772</c:v>
                </c:pt>
                <c:pt idx="10">
                  <c:v>0.139518141529754</c:v>
                </c:pt>
                <c:pt idx="11">
                  <c:v>0.115485225458221</c:v>
                </c:pt>
                <c:pt idx="12">
                  <c:v>0.150467379365428</c:v>
                </c:pt>
                <c:pt idx="13">
                  <c:v>0.0348063861408891</c:v>
                </c:pt>
                <c:pt idx="14">
                  <c:v>0.0225069292331999</c:v>
                </c:pt>
              </c:numCache>
            </c:numRef>
          </c:val>
        </c:ser>
        <c:ser>
          <c:idx val="1"/>
          <c:order val="1"/>
          <c:tx>
            <c:strRef>
              <c:f>label 1</c:f>
              <c:strCache>
                <c:ptCount val="1"/>
                <c:pt idx="0">
                  <c:v>România PE Dezinvestire / ECE Dezinvestire</c:v>
                </c:pt>
              </c:strCache>
            </c:strRef>
          </c:tx>
          <c:spPr>
            <a:solidFill>
              <a:srgbClr val="a9d18e"/>
            </a:solidFill>
            <a:ln w="19080">
              <a:noFill/>
            </a:ln>
          </c:spPr>
          <c:invertIfNegative val="0"/>
          <c:dLbls>
            <c:numFmt formatCode="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5"/>
                <c:pt idx="0">
                  <c:v>2007</c:v>
                </c:pt>
                <c:pt idx="1">
                  <c:v/>
                </c:pt>
                <c:pt idx="2">
                  <c:v> '09</c:v>
                </c:pt>
                <c:pt idx="3">
                  <c:v/>
                </c:pt>
                <c:pt idx="4">
                  <c:v> '11</c:v>
                </c:pt>
                <c:pt idx="5">
                  <c:v/>
                </c:pt>
                <c:pt idx="6">
                  <c:v> '13</c:v>
                </c:pt>
                <c:pt idx="7">
                  <c:v/>
                </c:pt>
                <c:pt idx="8">
                  <c:v> '15</c:v>
                </c:pt>
                <c:pt idx="9">
                  <c:v/>
                </c:pt>
                <c:pt idx="10">
                  <c:v> '17</c:v>
                </c:pt>
                <c:pt idx="11">
                  <c:v/>
                </c:pt>
                <c:pt idx="12">
                  <c:v> '19</c:v>
                </c:pt>
                <c:pt idx="13">
                  <c:v/>
                </c:pt>
                <c:pt idx="14">
                  <c:v> '21</c:v>
                </c:pt>
              </c:strCache>
            </c:strRef>
          </c:cat>
          <c:val>
            <c:numRef>
              <c:f>1</c:f>
              <c:numCache>
                <c:formatCode>General</c:formatCode>
                <c:ptCount val="15"/>
                <c:pt idx="0">
                  <c:v>0.0367481149652308</c:v>
                </c:pt>
                <c:pt idx="1">
                  <c:v>0.172741804447605</c:v>
                </c:pt>
                <c:pt idx="2">
                  <c:v>0.0649578973895245</c:v>
                </c:pt>
                <c:pt idx="3">
                  <c:v>0.0655351807680062</c:v>
                </c:pt>
                <c:pt idx="4">
                  <c:v>0.0162920990934467</c:v>
                </c:pt>
                <c:pt idx="5">
                  <c:v>0.109727122475523</c:v>
                </c:pt>
                <c:pt idx="6">
                  <c:v>0.0438515104461925</c:v>
                </c:pt>
                <c:pt idx="7">
                  <c:v>0.0502425874343172</c:v>
                </c:pt>
                <c:pt idx="8">
                  <c:v>0.0526059680183632</c:v>
                </c:pt>
                <c:pt idx="9">
                  <c:v>0.114303000304667</c:v>
                </c:pt>
                <c:pt idx="10">
                  <c:v>0.113840413597096</c:v>
                </c:pt>
                <c:pt idx="11">
                  <c:v>0.0795078678022658</c:v>
                </c:pt>
                <c:pt idx="12">
                  <c:v>0.0577592825236163</c:v>
                </c:pt>
                <c:pt idx="13">
                  <c:v>0.0272088905726972</c:v>
                </c:pt>
                <c:pt idx="14">
                  <c:v>0.0862081230128715</c:v>
                </c:pt>
              </c:numCache>
            </c:numRef>
          </c:val>
        </c:ser>
        <c:gapWidth val="30"/>
        <c:overlap val="0"/>
        <c:axId val="20093220"/>
        <c:axId val="24323696"/>
      </c:barChart>
      <c:lineChart>
        <c:grouping val="standard"/>
        <c:varyColors val="0"/>
        <c:ser>
          <c:idx val="2"/>
          <c:order val="2"/>
          <c:tx>
            <c:strRef>
              <c:f>label 2</c:f>
              <c:strCache>
                <c:ptCount val="1"/>
                <c:pt idx="0">
                  <c:v>PIB RO / PIB ECE în medie</c:v>
                </c:pt>
              </c:strCache>
            </c:strRef>
          </c:tx>
          <c:spPr>
            <a:solidFill>
              <a:srgbClr val="535353"/>
            </a:solidFill>
            <a:ln w="19080">
              <a:solidFill>
                <a:srgbClr val="535353"/>
              </a:solidFill>
              <a:round/>
            </a:ln>
          </c:spPr>
          <c:marker>
            <c:symbol val="none"/>
          </c:marker>
          <c:dLbls>
            <c:numFmt formatCode="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15"/>
                <c:pt idx="0">
                  <c:v>2007</c:v>
                </c:pt>
                <c:pt idx="1">
                  <c:v/>
                </c:pt>
                <c:pt idx="2">
                  <c:v> '09</c:v>
                </c:pt>
                <c:pt idx="3">
                  <c:v/>
                </c:pt>
                <c:pt idx="4">
                  <c:v> '11</c:v>
                </c:pt>
                <c:pt idx="5">
                  <c:v/>
                </c:pt>
                <c:pt idx="6">
                  <c:v> '13</c:v>
                </c:pt>
                <c:pt idx="7">
                  <c:v/>
                </c:pt>
                <c:pt idx="8">
                  <c:v> '15</c:v>
                </c:pt>
                <c:pt idx="9">
                  <c:v/>
                </c:pt>
                <c:pt idx="10">
                  <c:v> '17</c:v>
                </c:pt>
                <c:pt idx="11">
                  <c:v/>
                </c:pt>
                <c:pt idx="12">
                  <c:v> '19</c:v>
                </c:pt>
                <c:pt idx="13">
                  <c:v/>
                </c:pt>
                <c:pt idx="14">
                  <c:v> '21</c:v>
                </c:pt>
              </c:strCache>
            </c:strRef>
          </c:cat>
          <c:val>
            <c:numRef>
              <c:f>2</c:f>
              <c:numCache>
                <c:formatCode>General</c:formatCode>
                <c:ptCount val="15"/>
                <c:pt idx="0">
                  <c:v>0.121098023777131</c:v>
                </c:pt>
                <c:pt idx="1">
                  <c:v>0.121098023777131</c:v>
                </c:pt>
                <c:pt idx="2">
                  <c:v>0.121098023777131</c:v>
                </c:pt>
                <c:pt idx="3">
                  <c:v>0.121098023777131</c:v>
                </c:pt>
                <c:pt idx="4">
                  <c:v>0.121098023777131</c:v>
                </c:pt>
                <c:pt idx="5">
                  <c:v>0.121098023777131</c:v>
                </c:pt>
                <c:pt idx="6">
                  <c:v>0.121098023777131</c:v>
                </c:pt>
                <c:pt idx="7">
                  <c:v>0.121098023777131</c:v>
                </c:pt>
                <c:pt idx="8">
                  <c:v>0.121098023777131</c:v>
                </c:pt>
                <c:pt idx="9">
                  <c:v>0.121098023777131</c:v>
                </c:pt>
                <c:pt idx="10">
                  <c:v>0.121098023777131</c:v>
                </c:pt>
                <c:pt idx="11">
                  <c:v>0.121098023777131</c:v>
                </c:pt>
                <c:pt idx="12">
                  <c:v>0.121098023777131</c:v>
                </c:pt>
                <c:pt idx="13">
                  <c:v>0.121098023777131</c:v>
                </c:pt>
                <c:pt idx="14">
                  <c:v>0.121098023777131</c:v>
                </c:pt>
              </c:numCache>
            </c:numRef>
          </c:val>
          <c:smooth val="0"/>
        </c:ser>
        <c:hiLowLines>
          <c:spPr>
            <a:ln>
              <a:noFill/>
            </a:ln>
          </c:spPr>
        </c:hiLowLines>
        <c:marker val="0"/>
        <c:axId val="38932960"/>
        <c:axId val="85209938"/>
      </c:lineChart>
      <c:catAx>
        <c:axId val="20093220"/>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defRPr>
            </a:pPr>
          </a:p>
        </c:txPr>
        <c:crossAx val="24323696"/>
        <c:crosses val="autoZero"/>
        <c:auto val="1"/>
        <c:lblAlgn val="ctr"/>
        <c:lblOffset val="100"/>
      </c:catAx>
      <c:valAx>
        <c:axId val="24323696"/>
        <c:scaling>
          <c:orientation val="minMax"/>
          <c:max val="0.2"/>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defRPr>
            </a:pPr>
          </a:p>
        </c:txPr>
        <c:crossAx val="20093220"/>
        <c:crosses val="autoZero"/>
        <c:majorUnit val="0.05"/>
      </c:valAx>
      <c:catAx>
        <c:axId val="38932960"/>
        <c:scaling>
          <c:orientation val="minMax"/>
        </c:scaling>
        <c:delete val="1"/>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defRPr>
            </a:pPr>
          </a:p>
        </c:txPr>
        <c:crossAx val="85209938"/>
        <c:crosses val="autoZero"/>
        <c:auto val="1"/>
        <c:lblAlgn val="ctr"/>
        <c:lblOffset val="100"/>
      </c:catAx>
      <c:valAx>
        <c:axId val="85209938"/>
        <c:scaling>
          <c:orientation val="minMax"/>
          <c:max val="0.2"/>
        </c:scaling>
        <c:delete val="1"/>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defRPr>
            </a:pPr>
          </a:p>
        </c:txPr>
        <c:crossAx val="38932960"/>
        <c:crosses val="autoZero"/>
        <c:majorUnit val="0.05"/>
      </c:valAx>
      <c:spPr>
        <a:solidFill>
          <a:srgbClr val="f8f8f8"/>
        </a:solidFill>
        <a:ln>
          <a:noFill/>
        </a:ln>
      </c:spPr>
    </c:plotArea>
    <c:legend>
      <c:layout>
        <c:manualLayout>
          <c:xMode val="edge"/>
          <c:yMode val="edge"/>
          <c:x val="0.120125"/>
          <c:y val="0.0228888888888889"/>
          <c:w val="0.853240827551722"/>
          <c:h val="0.180797866429603"/>
        </c:manualLayout>
      </c:layout>
      <c:spPr>
        <a:noFill/>
        <a:ln>
          <a:noFill/>
        </a:ln>
      </c:spPr>
      <c:txPr>
        <a:bodyPr/>
        <a:lstStyle/>
        <a:p>
          <a:pPr>
            <a:defRPr b="0" sz="1000" spc="-1" strike="noStrike">
              <a:solidFill>
                <a:srgbClr val="000000"/>
              </a:solidFill>
              <a:latin typeface="Calibri"/>
            </a:defRPr>
          </a:pPr>
        </a:p>
      </c:txPr>
    </c:legend>
    <c:plotVisOnly val="1"/>
    <c:dispBlanksAs val="gap"/>
  </c:chart>
  <c:spPr>
    <a:noFill/>
    <a:ln w="9360">
      <a:noFill/>
    </a:ln>
  </c:spPr>
</c:chartSpace>
</file>

<file path=word/charts/chart2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3494ba"/>
              </a:solidFill>
              <a:ln>
                <a:noFill/>
              </a:ln>
            </c:spPr>
          </c:dPt>
          <c:dPt>
            <c:idx val="1"/>
            <c:invertIfNegative val="0"/>
            <c:spPr>
              <a:solidFill>
                <a:srgbClr val="3494ba"/>
              </a:solidFill>
              <a:ln>
                <a:noFill/>
              </a:ln>
            </c:spPr>
          </c:dPt>
          <c:dPt>
            <c:idx val="2"/>
            <c:invertIfNegative val="0"/>
            <c:spPr>
              <a:solidFill>
                <a:srgbClr val="1c6295"/>
              </a:solidFill>
              <a:ln>
                <a:noFill/>
              </a:ln>
            </c:spPr>
          </c:dPt>
          <c:dPt>
            <c:idx val="8"/>
            <c:invertIfNegative val="0"/>
            <c:spPr>
              <a:solidFill>
                <a:srgbClr val="4a9b82"/>
              </a:solidFill>
              <a:ln>
                <a:noFill/>
              </a:ln>
            </c:spPr>
          </c:dPt>
          <c:dLbls>
            <c:numFmt formatCode="0.00%" sourceLinked="1"/>
            <c:dLbl>
              <c:idx val="0"/>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0.000360877889475843</c:v>
                </c:pt>
                <c:pt idx="1">
                  <c:v>0.00109489823707338</c:v>
                </c:pt>
                <c:pt idx="2">
                  <c:v>0.00623109629715567</c:v>
                </c:pt>
                <c:pt idx="3">
                  <c:v/>
                </c:pt>
                <c:pt idx="4">
                  <c:v>0.00224150082134706</c:v>
                </c:pt>
                <c:pt idx="5">
                  <c:v>0.000640494928355866</c:v>
                </c:pt>
                <c:pt idx="6">
                  <c:v>0.00096428374917279</c:v>
                </c:pt>
                <c:pt idx="7">
                  <c:v>8.93237453946502E-005</c:v>
                </c:pt>
                <c:pt idx="8">
                  <c:v>0.000930443229859197</c:v>
                </c:pt>
              </c:numCache>
            </c:numRef>
          </c:val>
        </c:ser>
        <c:gapWidth val="50"/>
        <c:overlap val="0"/>
        <c:axId val="24275797"/>
        <c:axId val="21812241"/>
      </c:barChart>
      <c:catAx>
        <c:axId val="24275797"/>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900" spc="-1" strike="noStrike">
                <a:solidFill>
                  <a:srgbClr val="000000"/>
                </a:solidFill>
                <a:latin typeface="Calibri"/>
                <a:ea typeface="Calibri"/>
              </a:defRPr>
            </a:pPr>
          </a:p>
        </c:txPr>
        <c:crossAx val="21812241"/>
        <c:crosses val="autoZero"/>
        <c:auto val="1"/>
        <c:lblAlgn val="ctr"/>
        <c:lblOffset val="100"/>
      </c:catAx>
      <c:valAx>
        <c:axId val="21812241"/>
        <c:scaling>
          <c:orientation val="minMax"/>
        </c:scaling>
        <c:delete val="0"/>
        <c:axPos val="l"/>
        <c:numFmt formatCode="0.0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24275797"/>
        <c:crosses val="autoZero"/>
        <c:majorUnit val="0.002"/>
      </c:valAx>
      <c:spPr>
        <a:solidFill>
          <a:srgbClr val="f8f8f8"/>
        </a:solidFill>
        <a:ln w="9360">
          <a:noFill/>
        </a:ln>
      </c:spPr>
    </c:plotArea>
    <c:plotVisOnly val="1"/>
    <c:dispBlanksAs val="gap"/>
  </c:chart>
  <c:spPr>
    <a:noFill/>
    <a:ln w="9360">
      <a:noFill/>
    </a:ln>
  </c:spPr>
</c:chartSpace>
</file>

<file path=word/charts/chart2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3494ba"/>
              </a:solidFill>
              <a:ln>
                <a:noFill/>
              </a:ln>
            </c:spPr>
          </c:dPt>
          <c:dPt>
            <c:idx val="1"/>
            <c:invertIfNegative val="0"/>
            <c:spPr>
              <a:solidFill>
                <a:srgbClr val="3494ba"/>
              </a:solidFill>
              <a:ln>
                <a:noFill/>
              </a:ln>
            </c:spPr>
          </c:dPt>
          <c:dPt>
            <c:idx val="2"/>
            <c:invertIfNegative val="0"/>
            <c:spPr>
              <a:solidFill>
                <a:srgbClr val="1c6295"/>
              </a:solidFill>
              <a:ln>
                <a:noFill/>
              </a:ln>
            </c:spPr>
          </c:dPt>
          <c:dPt>
            <c:idx val="4"/>
            <c:invertIfNegative val="0"/>
            <c:spPr>
              <a:solidFill>
                <a:srgbClr val="75bda7"/>
              </a:solidFill>
              <a:ln>
                <a:noFill/>
              </a:ln>
            </c:spPr>
          </c:dPt>
          <c:dPt>
            <c:idx val="5"/>
            <c:invertIfNegative val="0"/>
            <c:spPr>
              <a:solidFill>
                <a:srgbClr val="75bda7"/>
              </a:solidFill>
              <a:ln>
                <a:noFill/>
              </a:ln>
            </c:spPr>
          </c:dPt>
          <c:dPt>
            <c:idx val="6"/>
            <c:invertIfNegative val="0"/>
            <c:spPr>
              <a:solidFill>
                <a:srgbClr val="75bda7"/>
              </a:solidFill>
              <a:ln>
                <a:noFill/>
              </a:ln>
            </c:spPr>
          </c:dPt>
          <c:dPt>
            <c:idx val="7"/>
            <c:invertIfNegative val="0"/>
            <c:spPr>
              <a:solidFill>
                <a:srgbClr val="75bda7"/>
              </a:solidFill>
              <a:ln>
                <a:noFill/>
              </a:ln>
            </c:spPr>
          </c:dPt>
          <c:dPt>
            <c:idx val="8"/>
            <c:invertIfNegative val="0"/>
            <c:spPr>
              <a:solidFill>
                <a:srgbClr val="4a9b82"/>
              </a:solidFill>
              <a:ln>
                <a:noFill/>
              </a:ln>
            </c:spPr>
          </c:dPt>
          <c:dLbls>
            <c:numFmt formatCode="0.00%" sourceLinked="1"/>
            <c:dLbl>
              <c:idx val="0"/>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dLbl>
            <c:dLbl>
              <c:idx val="4"/>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5"/>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6"/>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7"/>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0.00150925031957268</c:v>
                </c:pt>
                <c:pt idx="1">
                  <c:v>0.00421742594482428</c:v>
                </c:pt>
                <c:pt idx="2">
                  <c:v>0.00560290896828501</c:v>
                </c:pt>
                <c:pt idx="3">
                  <c:v/>
                </c:pt>
                <c:pt idx="4">
                  <c:v>0.00158252461187774</c:v>
                </c:pt>
                <c:pt idx="5">
                  <c:v>0.00191013142264455</c:v>
                </c:pt>
                <c:pt idx="6">
                  <c:v>0.00227797949511411</c:v>
                </c:pt>
                <c:pt idx="7">
                  <c:v>0.00140273773668356</c:v>
                </c:pt>
                <c:pt idx="8">
                  <c:v>0.00183502438071318</c:v>
                </c:pt>
              </c:numCache>
            </c:numRef>
          </c:val>
        </c:ser>
        <c:gapWidth val="50"/>
        <c:overlap val="0"/>
        <c:axId val="55516462"/>
        <c:axId val="13411749"/>
      </c:barChart>
      <c:catAx>
        <c:axId val="55516462"/>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900" spc="-1" strike="noStrike">
                <a:solidFill>
                  <a:srgbClr val="000000"/>
                </a:solidFill>
                <a:latin typeface="Calibri"/>
                <a:ea typeface="Calibri"/>
              </a:defRPr>
            </a:pPr>
          </a:p>
        </c:txPr>
        <c:crossAx val="13411749"/>
        <c:crosses val="autoZero"/>
        <c:auto val="1"/>
        <c:lblAlgn val="ctr"/>
        <c:lblOffset val="100"/>
      </c:catAx>
      <c:valAx>
        <c:axId val="13411749"/>
        <c:scaling>
          <c:orientation val="minMax"/>
        </c:scaling>
        <c:delete val="0"/>
        <c:axPos val="l"/>
        <c:numFmt formatCode="0.0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55516462"/>
        <c:crosses val="autoZero"/>
        <c:majorUnit val="0.0015"/>
      </c:valAx>
      <c:spPr>
        <a:solidFill>
          <a:srgbClr val="f8f8f8"/>
        </a:solidFill>
        <a:ln w="9360">
          <a:noFill/>
        </a:ln>
      </c:spPr>
    </c:plotArea>
    <c:plotVisOnly val="1"/>
    <c:dispBlanksAs val="gap"/>
  </c:chart>
  <c:spPr>
    <a:noFill/>
    <a:ln w="9360">
      <a:noFill/>
    </a:ln>
  </c:spPr>
</c:chartSpace>
</file>

<file path=word/charts/chart28.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3494ba"/>
              </a:solidFill>
              <a:ln>
                <a:noFill/>
              </a:ln>
            </c:spPr>
          </c:dPt>
          <c:dPt>
            <c:idx val="1"/>
            <c:invertIfNegative val="0"/>
            <c:spPr>
              <a:solidFill>
                <a:srgbClr val="3494ba"/>
              </a:solidFill>
              <a:ln>
                <a:noFill/>
              </a:ln>
            </c:spPr>
          </c:dPt>
          <c:dPt>
            <c:idx val="2"/>
            <c:invertIfNegative val="0"/>
            <c:spPr>
              <a:solidFill>
                <a:srgbClr val="1c6295"/>
              </a:solidFill>
              <a:ln>
                <a:noFill/>
              </a:ln>
            </c:spPr>
          </c:dPt>
          <c:dPt>
            <c:idx val="4"/>
            <c:invertIfNegative val="0"/>
            <c:spPr>
              <a:solidFill>
                <a:srgbClr val="75bda7"/>
              </a:solidFill>
              <a:ln>
                <a:noFill/>
              </a:ln>
            </c:spPr>
          </c:dPt>
          <c:dPt>
            <c:idx val="5"/>
            <c:invertIfNegative val="0"/>
            <c:spPr>
              <a:solidFill>
                <a:srgbClr val="75bda7"/>
              </a:solidFill>
              <a:ln>
                <a:noFill/>
              </a:ln>
            </c:spPr>
          </c:dPt>
          <c:dPt>
            <c:idx val="6"/>
            <c:invertIfNegative val="0"/>
            <c:spPr>
              <a:solidFill>
                <a:srgbClr val="75bda7"/>
              </a:solidFill>
              <a:ln>
                <a:noFill/>
              </a:ln>
            </c:spPr>
          </c:dPt>
          <c:dPt>
            <c:idx val="7"/>
            <c:invertIfNegative val="0"/>
            <c:spPr>
              <a:solidFill>
                <a:srgbClr val="75bda7"/>
              </a:solidFill>
              <a:ln>
                <a:noFill/>
              </a:ln>
            </c:spPr>
          </c:dPt>
          <c:dPt>
            <c:idx val="8"/>
            <c:invertIfNegative val="0"/>
            <c:spPr>
              <a:solidFill>
                <a:srgbClr val="4a9b82"/>
              </a:solidFill>
              <a:ln>
                <a:noFill/>
              </a:ln>
            </c:spPr>
          </c:dPt>
          <c:dLbls>
            <c:numFmt formatCode="0.00%" sourceLinked="1"/>
            <c:dLbl>
              <c:idx val="0"/>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dLbl>
            <c:dLbl>
              <c:idx val="4"/>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5"/>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6"/>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7"/>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0.000746205627670911</c:v>
                </c:pt>
                <c:pt idx="1">
                  <c:v>0.00129093369795623</c:v>
                </c:pt>
                <c:pt idx="2">
                  <c:v>0.00212130190724137</c:v>
                </c:pt>
                <c:pt idx="3">
                  <c:v/>
                </c:pt>
                <c:pt idx="4">
                  <c:v>0.000729894521159595</c:v>
                </c:pt>
                <c:pt idx="5">
                  <c:v>0.000721019997507307</c:v>
                </c:pt>
                <c:pt idx="6">
                  <c:v>0.00115578595159837</c:v>
                </c:pt>
                <c:pt idx="7">
                  <c:v>0.000431900890748475</c:v>
                </c:pt>
                <c:pt idx="8">
                  <c:v>0.000791672726609201</c:v>
                </c:pt>
              </c:numCache>
            </c:numRef>
          </c:val>
        </c:ser>
        <c:gapWidth val="50"/>
        <c:overlap val="0"/>
        <c:axId val="30070770"/>
        <c:axId val="78846212"/>
      </c:barChart>
      <c:catAx>
        <c:axId val="30070770"/>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900" spc="-1" strike="noStrike">
                <a:solidFill>
                  <a:srgbClr val="000000"/>
                </a:solidFill>
                <a:latin typeface="Calibri"/>
                <a:ea typeface="Calibri"/>
              </a:defRPr>
            </a:pPr>
          </a:p>
        </c:txPr>
        <c:crossAx val="78846212"/>
        <c:crosses val="autoZero"/>
        <c:auto val="1"/>
        <c:lblAlgn val="ctr"/>
        <c:lblOffset val="100"/>
      </c:catAx>
      <c:valAx>
        <c:axId val="78846212"/>
        <c:scaling>
          <c:orientation val="minMax"/>
          <c:max val="0.003"/>
        </c:scaling>
        <c:delete val="0"/>
        <c:axPos val="l"/>
        <c:numFmt formatCode="0.0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30070770"/>
        <c:crosses val="autoZero"/>
        <c:majorUnit val="0.001"/>
      </c:valAx>
      <c:spPr>
        <a:solidFill>
          <a:srgbClr val="f8f8f8"/>
        </a:solidFill>
        <a:ln w="9360">
          <a:noFill/>
        </a:ln>
      </c:spPr>
    </c:plotArea>
    <c:plotVisOnly val="1"/>
    <c:dispBlanksAs val="gap"/>
  </c:chart>
  <c:spPr>
    <a:noFill/>
    <a:ln w="9360">
      <a:noFill/>
    </a:ln>
  </c:spPr>
</c:chartSpace>
</file>

<file path=word/charts/chart29.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588894"/>
              </a:solidFill>
              <a:ln>
                <a:noFill/>
              </a:ln>
            </c:spPr>
          </c:dPt>
          <c:dPt>
            <c:idx val="1"/>
            <c:invertIfNegative val="0"/>
            <c:spPr>
              <a:solidFill>
                <a:srgbClr val="588894"/>
              </a:solidFill>
              <a:ln>
                <a:noFill/>
              </a:ln>
            </c:spPr>
          </c:dPt>
          <c:dPt>
            <c:idx val="2"/>
            <c:invertIfNegative val="0"/>
            <c:spPr>
              <a:solidFill>
                <a:srgbClr val="588894"/>
              </a:solidFill>
              <a:ln>
                <a:noFill/>
              </a:ln>
            </c:spPr>
          </c:dPt>
          <c:dPt>
            <c:idx val="4"/>
            <c:invertIfNegative val="0"/>
            <c:spPr>
              <a:solidFill>
                <a:srgbClr val="84acb6"/>
              </a:solidFill>
              <a:ln>
                <a:noFill/>
              </a:ln>
            </c:spPr>
          </c:dPt>
          <c:dPt>
            <c:idx val="5"/>
            <c:invertIfNegative val="0"/>
            <c:spPr>
              <a:solidFill>
                <a:srgbClr val="84acb6"/>
              </a:solidFill>
              <a:ln>
                <a:noFill/>
              </a:ln>
            </c:spPr>
          </c:dPt>
          <c:dPt>
            <c:idx val="6"/>
            <c:invertIfNegative val="0"/>
            <c:spPr>
              <a:solidFill>
                <a:srgbClr val="84acb6"/>
              </a:solidFill>
              <a:ln>
                <a:noFill/>
              </a:ln>
            </c:spPr>
          </c:dPt>
          <c:dPt>
            <c:idx val="7"/>
            <c:invertIfNegative val="0"/>
            <c:spPr>
              <a:solidFill>
                <a:srgbClr val="84acb6"/>
              </a:solidFill>
              <a:ln>
                <a:noFill/>
              </a:ln>
            </c:spPr>
          </c:dPt>
          <c:dPt>
            <c:idx val="8"/>
            <c:invertIfNegative val="0"/>
            <c:spPr>
              <a:solidFill>
                <a:srgbClr val="84acb6"/>
              </a:solidFill>
              <a:ln>
                <a:noFill/>
              </a:ln>
            </c:spPr>
          </c:dPt>
          <c:dLbls>
            <c:numFmt formatCode="0%" sourceLinked="1"/>
            <c:dLbl>
              <c:idx val="0"/>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4"/>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5"/>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6"/>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7"/>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0.412235338666734</c:v>
                </c:pt>
                <c:pt idx="1">
                  <c:v>0.395745386035757</c:v>
                </c:pt>
                <c:pt idx="2">
                  <c:v>0.280486647058254</c:v>
                </c:pt>
                <c:pt idx="3">
                  <c:v/>
                </c:pt>
                <c:pt idx="4">
                  <c:v>0.513621140541136</c:v>
                </c:pt>
                <c:pt idx="5">
                  <c:v>0.797450904674639</c:v>
                </c:pt>
                <c:pt idx="6">
                  <c:v>0.148882893701671</c:v>
                </c:pt>
                <c:pt idx="7">
                  <c:v>0.191150579424129</c:v>
                </c:pt>
                <c:pt idx="8">
                  <c:v>0.353883143459511</c:v>
                </c:pt>
              </c:numCache>
            </c:numRef>
          </c:val>
        </c:ser>
        <c:gapWidth val="50"/>
        <c:overlap val="0"/>
        <c:axId val="13237665"/>
        <c:axId val="91753861"/>
      </c:barChart>
      <c:catAx>
        <c:axId val="13237665"/>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ea typeface="Calibri"/>
              </a:defRPr>
            </a:pPr>
          </a:p>
        </c:txPr>
        <c:crossAx val="91753861"/>
        <c:crosses val="autoZero"/>
        <c:auto val="1"/>
        <c:lblAlgn val="ctr"/>
        <c:lblOffset val="100"/>
      </c:catAx>
      <c:valAx>
        <c:axId val="91753861"/>
        <c:scaling>
          <c:orientation val="minMax"/>
          <c:max val="0.8"/>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13237665"/>
        <c:crosses val="autoZero"/>
      </c:valAx>
      <c:spPr>
        <a:solidFill>
          <a:srgbClr val="f8f8f8"/>
        </a:solidFill>
        <a:ln w="9360">
          <a:noFill/>
        </a:ln>
      </c:spPr>
    </c:plotArea>
    <c:plotVisOnly val="1"/>
    <c:dispBlanksAs val="gap"/>
  </c:chart>
  <c:spPr>
    <a:no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solidFill>
              <a:srgbClr val="5b9bd5"/>
            </a:solidFill>
            <a:ln>
              <a:noFill/>
            </a:ln>
          </c:spPr>
          <c:invertIfNegative val="0"/>
          <c:dLbls>
            <c:numFmt formatCode="0.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57"/>
                <c:pt idx="0">
                  <c:v>2008</c:v>
                </c:pt>
                <c:pt idx="1">
                  <c:v/>
                </c:pt>
                <c:pt idx="2">
                  <c:v/>
                </c:pt>
                <c:pt idx="3">
                  <c:v/>
                </c:pt>
                <c:pt idx="4">
                  <c:v>2009</c:v>
                </c:pt>
                <c:pt idx="5">
                  <c:v/>
                </c:pt>
                <c:pt idx="6">
                  <c:v/>
                </c:pt>
                <c:pt idx="7">
                  <c:v/>
                </c:pt>
                <c:pt idx="8">
                  <c:v>2010</c:v>
                </c:pt>
                <c:pt idx="9">
                  <c:v/>
                </c:pt>
                <c:pt idx="10">
                  <c:v/>
                </c:pt>
                <c:pt idx="11">
                  <c:v/>
                </c:pt>
                <c:pt idx="12">
                  <c:v>2011</c:v>
                </c:pt>
                <c:pt idx="13">
                  <c:v/>
                </c:pt>
                <c:pt idx="14">
                  <c:v/>
                </c:pt>
                <c:pt idx="15">
                  <c:v/>
                </c:pt>
                <c:pt idx="16">
                  <c:v>2012</c:v>
                </c:pt>
                <c:pt idx="17">
                  <c:v/>
                </c:pt>
                <c:pt idx="18">
                  <c:v/>
                </c:pt>
                <c:pt idx="19">
                  <c:v/>
                </c:pt>
                <c:pt idx="20">
                  <c:v>2013</c:v>
                </c:pt>
                <c:pt idx="21">
                  <c:v/>
                </c:pt>
                <c:pt idx="22">
                  <c:v/>
                </c:pt>
                <c:pt idx="23">
                  <c:v/>
                </c:pt>
                <c:pt idx="24">
                  <c:v>2014</c:v>
                </c:pt>
                <c:pt idx="25">
                  <c:v/>
                </c:pt>
                <c:pt idx="26">
                  <c:v/>
                </c:pt>
                <c:pt idx="27">
                  <c:v/>
                </c:pt>
                <c:pt idx="28">
                  <c:v>2015</c:v>
                </c:pt>
                <c:pt idx="29">
                  <c:v/>
                </c:pt>
                <c:pt idx="30">
                  <c:v/>
                </c:pt>
                <c:pt idx="31">
                  <c:v/>
                </c:pt>
                <c:pt idx="32">
                  <c:v>2016</c:v>
                </c:pt>
                <c:pt idx="33">
                  <c:v/>
                </c:pt>
                <c:pt idx="34">
                  <c:v/>
                </c:pt>
                <c:pt idx="35">
                  <c:v/>
                </c:pt>
                <c:pt idx="36">
                  <c:v>2017</c:v>
                </c:pt>
                <c:pt idx="37">
                  <c:v/>
                </c:pt>
                <c:pt idx="38">
                  <c:v/>
                </c:pt>
                <c:pt idx="39">
                  <c:v/>
                </c:pt>
                <c:pt idx="40">
                  <c:v>2018</c:v>
                </c:pt>
                <c:pt idx="41">
                  <c:v/>
                </c:pt>
                <c:pt idx="42">
                  <c:v/>
                </c:pt>
                <c:pt idx="43">
                  <c:v/>
                </c:pt>
                <c:pt idx="44">
                  <c:v>2019</c:v>
                </c:pt>
                <c:pt idx="45">
                  <c:v/>
                </c:pt>
                <c:pt idx="46">
                  <c:v/>
                </c:pt>
                <c:pt idx="47">
                  <c:v/>
                </c:pt>
                <c:pt idx="48">
                  <c:v>2020</c:v>
                </c:pt>
                <c:pt idx="49">
                  <c:v/>
                </c:pt>
                <c:pt idx="50">
                  <c:v/>
                </c:pt>
                <c:pt idx="51">
                  <c:v/>
                </c:pt>
                <c:pt idx="52">
                  <c:v>2021</c:v>
                </c:pt>
                <c:pt idx="53">
                  <c:v/>
                </c:pt>
                <c:pt idx="54">
                  <c:v/>
                </c:pt>
                <c:pt idx="55">
                  <c:v/>
                </c:pt>
                <c:pt idx="56">
                  <c:v>2022</c:v>
                </c:pt>
              </c:strCache>
            </c:strRef>
          </c:cat>
          <c:val>
            <c:numRef>
              <c:f>0</c:f>
              <c:numCache>
                <c:formatCode>General</c:formatCode>
                <c:ptCount val="57"/>
                <c:pt idx="0">
                  <c:v>-0.032</c:v>
                </c:pt>
                <c:pt idx="1">
                  <c:v>-0.054</c:v>
                </c:pt>
                <c:pt idx="2">
                  <c:v>-0.032</c:v>
                </c:pt>
                <c:pt idx="3">
                  <c:v>-0.089</c:v>
                </c:pt>
                <c:pt idx="4">
                  <c:v>-0.089</c:v>
                </c:pt>
                <c:pt idx="5">
                  <c:v>-0.089</c:v>
                </c:pt>
                <c:pt idx="6">
                  <c:v>-0.106</c:v>
                </c:pt>
                <c:pt idx="7">
                  <c:v>-0.081</c:v>
                </c:pt>
                <c:pt idx="8">
                  <c:v>-0.091</c:v>
                </c:pt>
                <c:pt idx="9">
                  <c:v>-0.094</c:v>
                </c:pt>
                <c:pt idx="10">
                  <c:v>-0.055</c:v>
                </c:pt>
                <c:pt idx="11">
                  <c:v>-0.041</c:v>
                </c:pt>
                <c:pt idx="12">
                  <c:v>-0.044</c:v>
                </c:pt>
                <c:pt idx="13">
                  <c:v>-0.039</c:v>
                </c:pt>
                <c:pt idx="14">
                  <c:v>-0.054</c:v>
                </c:pt>
                <c:pt idx="15">
                  <c:v>-0.071</c:v>
                </c:pt>
                <c:pt idx="16">
                  <c:v>-0.032</c:v>
                </c:pt>
                <c:pt idx="17">
                  <c:v>-0.036</c:v>
                </c:pt>
                <c:pt idx="18">
                  <c:v>-0.031</c:v>
                </c:pt>
                <c:pt idx="19">
                  <c:v>-0.045</c:v>
                </c:pt>
                <c:pt idx="20">
                  <c:v>-0.049</c:v>
                </c:pt>
                <c:pt idx="21">
                  <c:v>-0.018</c:v>
                </c:pt>
                <c:pt idx="22">
                  <c:v>-0.005</c:v>
                </c:pt>
                <c:pt idx="23">
                  <c:v>-0.017</c:v>
                </c:pt>
                <c:pt idx="24">
                  <c:v>-0.016</c:v>
                </c:pt>
                <c:pt idx="25">
                  <c:v>-0.013</c:v>
                </c:pt>
                <c:pt idx="26">
                  <c:v>0</c:v>
                </c:pt>
                <c:pt idx="27">
                  <c:v>-0.017</c:v>
                </c:pt>
                <c:pt idx="28">
                  <c:v>0.01</c:v>
                </c:pt>
                <c:pt idx="29">
                  <c:v>-0.001</c:v>
                </c:pt>
                <c:pt idx="30">
                  <c:v>-0.017</c:v>
                </c:pt>
                <c:pt idx="31">
                  <c:v>-0.013</c:v>
                </c:pt>
                <c:pt idx="32">
                  <c:v>-0.019</c:v>
                </c:pt>
                <c:pt idx="33">
                  <c:v>-0.026</c:v>
                </c:pt>
                <c:pt idx="34">
                  <c:v>-0.02</c:v>
                </c:pt>
                <c:pt idx="35">
                  <c:v>-0.037</c:v>
                </c:pt>
                <c:pt idx="36">
                  <c:v>-0.021</c:v>
                </c:pt>
                <c:pt idx="37">
                  <c:v>-0.036</c:v>
                </c:pt>
                <c:pt idx="38">
                  <c:v>-0.023</c:v>
                </c:pt>
                <c:pt idx="39">
                  <c:v>-0.025</c:v>
                </c:pt>
                <c:pt idx="40">
                  <c:v>-0.035</c:v>
                </c:pt>
                <c:pt idx="41">
                  <c:v>-0.02</c:v>
                </c:pt>
                <c:pt idx="42">
                  <c:v>-0.041</c:v>
                </c:pt>
                <c:pt idx="43">
                  <c:v>-0.02</c:v>
                </c:pt>
                <c:pt idx="44">
                  <c:v>-0.045</c:v>
                </c:pt>
                <c:pt idx="45">
                  <c:v>-0.038</c:v>
                </c:pt>
                <c:pt idx="46">
                  <c:v>-0.063</c:v>
                </c:pt>
                <c:pt idx="47">
                  <c:v>-0.031</c:v>
                </c:pt>
                <c:pt idx="48">
                  <c:v>-0.07</c:v>
                </c:pt>
                <c:pt idx="49">
                  <c:v>-0.108</c:v>
                </c:pt>
                <c:pt idx="50">
                  <c:v>-0.094</c:v>
                </c:pt>
                <c:pt idx="51">
                  <c:v>-0.098</c:v>
                </c:pt>
                <c:pt idx="52">
                  <c:v>-0.08</c:v>
                </c:pt>
                <c:pt idx="53">
                  <c:v>-0.068</c:v>
                </c:pt>
                <c:pt idx="54">
                  <c:v>-0.058</c:v>
                </c:pt>
                <c:pt idx="55">
                  <c:v>-0.076</c:v>
                </c:pt>
                <c:pt idx="56">
                  <c:v>-0.058</c:v>
                </c:pt>
              </c:numCache>
            </c:numRef>
          </c:val>
        </c:ser>
        <c:gapWidth val="129"/>
        <c:overlap val="-27"/>
        <c:axId val="52694808"/>
        <c:axId val="58422104"/>
      </c:barChart>
      <c:catAx>
        <c:axId val="52694808"/>
        <c:scaling>
          <c:orientation val="minMax"/>
        </c:scaling>
        <c:delete val="0"/>
        <c:axPos val="b"/>
        <c:numFmt formatCode="DD/MM/YYYY" sourceLinked="1"/>
        <c:majorTickMark val="none"/>
        <c:minorTickMark val="none"/>
        <c:tickLblPos val="low"/>
        <c:spPr>
          <a:ln w="9360">
            <a:solidFill>
              <a:srgbClr val="d9d9d9"/>
            </a:solidFill>
            <a:round/>
          </a:ln>
        </c:spPr>
        <c:txPr>
          <a:bodyPr/>
          <a:lstStyle/>
          <a:p>
            <a:pPr>
              <a:defRPr b="0" sz="800" spc="-1" strike="noStrike">
                <a:solidFill>
                  <a:srgbClr val="000000"/>
                </a:solidFill>
                <a:latin typeface="Calibri"/>
              </a:defRPr>
            </a:pPr>
          </a:p>
        </c:txPr>
        <c:crossAx val="58422104"/>
        <c:crosses val="autoZero"/>
        <c:auto val="1"/>
        <c:lblAlgn val="ctr"/>
        <c:lblOffset val="100"/>
      </c:catAx>
      <c:valAx>
        <c:axId val="58422104"/>
        <c:scaling>
          <c:orientation val="minMax"/>
          <c:max val="0"/>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52694808"/>
        <c:crosses val="autoZero"/>
      </c:valAx>
      <c:spPr>
        <a:noFill/>
        <a:ln>
          <a:noFill/>
        </a:ln>
      </c:spPr>
    </c:plotArea>
    <c:plotVisOnly val="1"/>
    <c:dispBlanksAs val="gap"/>
  </c:chart>
  <c:spPr>
    <a:solidFill>
      <a:srgbClr val="ffffff"/>
    </a:solidFill>
    <a:ln w="9360">
      <a:solidFill>
        <a:srgbClr val="d9d9d9"/>
      </a:solidFill>
      <a:round/>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588894"/>
              </a:solidFill>
              <a:ln>
                <a:noFill/>
              </a:ln>
            </c:spPr>
          </c:dPt>
          <c:dPt>
            <c:idx val="1"/>
            <c:invertIfNegative val="0"/>
            <c:spPr>
              <a:solidFill>
                <a:srgbClr val="588894"/>
              </a:solidFill>
              <a:ln>
                <a:noFill/>
              </a:ln>
            </c:spPr>
          </c:dPt>
          <c:dPt>
            <c:idx val="2"/>
            <c:invertIfNegative val="0"/>
            <c:spPr>
              <a:solidFill>
                <a:srgbClr val="588894"/>
              </a:solidFill>
              <a:ln>
                <a:noFill/>
              </a:ln>
            </c:spPr>
          </c:dPt>
          <c:dPt>
            <c:idx val="4"/>
            <c:invertIfNegative val="0"/>
            <c:spPr>
              <a:solidFill>
                <a:srgbClr val="84acb6"/>
              </a:solidFill>
              <a:ln>
                <a:noFill/>
              </a:ln>
            </c:spPr>
          </c:dPt>
          <c:dPt>
            <c:idx val="5"/>
            <c:invertIfNegative val="0"/>
            <c:spPr>
              <a:solidFill>
                <a:srgbClr val="84acb6"/>
              </a:solidFill>
              <a:ln>
                <a:noFill/>
              </a:ln>
            </c:spPr>
          </c:dPt>
          <c:dPt>
            <c:idx val="6"/>
            <c:invertIfNegative val="0"/>
            <c:spPr>
              <a:solidFill>
                <a:srgbClr val="84acb6"/>
              </a:solidFill>
              <a:ln>
                <a:noFill/>
              </a:ln>
            </c:spPr>
          </c:dPt>
          <c:dPt>
            <c:idx val="7"/>
            <c:invertIfNegative val="0"/>
            <c:spPr>
              <a:solidFill>
                <a:srgbClr val="84acb6"/>
              </a:solidFill>
              <a:ln>
                <a:noFill/>
              </a:ln>
            </c:spPr>
          </c:dPt>
          <c:dPt>
            <c:idx val="8"/>
            <c:invertIfNegative val="0"/>
            <c:spPr>
              <a:solidFill>
                <a:srgbClr val="84acb6"/>
              </a:solidFill>
              <a:ln>
                <a:noFill/>
              </a:ln>
            </c:spPr>
          </c:dPt>
          <c:dLbls>
            <c:numFmt formatCode="0%" sourceLinked="1"/>
            <c:dLbl>
              <c:idx val="0"/>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4"/>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5"/>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6"/>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7"/>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0.298423840010981</c:v>
                </c:pt>
                <c:pt idx="1">
                  <c:v>0.187789719991633</c:v>
                </c:pt>
                <c:pt idx="2">
                  <c:v>0.225524981000239</c:v>
                </c:pt>
                <c:pt idx="3">
                  <c:v/>
                </c:pt>
                <c:pt idx="4">
                  <c:v>0.190676745206505</c:v>
                </c:pt>
                <c:pt idx="5">
                  <c:v>0.0552451959868365</c:v>
                </c:pt>
                <c:pt idx="6">
                  <c:v>0.460513894821455</c:v>
                </c:pt>
                <c:pt idx="7">
                  <c:v>0.665851380559319</c:v>
                </c:pt>
                <c:pt idx="8">
                  <c:v>0.343607286963506</c:v>
                </c:pt>
              </c:numCache>
            </c:numRef>
          </c:val>
        </c:ser>
        <c:gapWidth val="50"/>
        <c:overlap val="0"/>
        <c:axId val="8480507"/>
        <c:axId val="69164866"/>
      </c:barChart>
      <c:catAx>
        <c:axId val="8480507"/>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ea typeface="Calibri"/>
              </a:defRPr>
            </a:pPr>
          </a:p>
        </c:txPr>
        <c:crossAx val="69164866"/>
        <c:crosses val="autoZero"/>
        <c:auto val="1"/>
        <c:lblAlgn val="ctr"/>
        <c:lblOffset val="100"/>
      </c:catAx>
      <c:valAx>
        <c:axId val="69164866"/>
        <c:scaling>
          <c:orientation val="minMax"/>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8480507"/>
        <c:crosses val="autoZero"/>
        <c:majorUnit val="0.2"/>
      </c:valAx>
      <c:spPr>
        <a:solidFill>
          <a:srgbClr val="f8f8f8"/>
        </a:solidFill>
        <a:ln w="9360">
          <a:noFill/>
        </a:ln>
      </c:spPr>
    </c:plotArea>
    <c:plotVisOnly val="1"/>
    <c:dispBlanksAs val="gap"/>
  </c:chart>
  <c:spPr>
    <a:noFill/>
    <a:ln w="9360">
      <a:noFill/>
    </a:ln>
  </c:spPr>
</c:chartSpace>
</file>

<file path=word/charts/chart3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588894"/>
              </a:solidFill>
              <a:ln>
                <a:solidFill>
                  <a:srgbClr val="84acb6"/>
                </a:solidFill>
              </a:ln>
            </c:spPr>
          </c:dPt>
          <c:dPt>
            <c:idx val="1"/>
            <c:invertIfNegative val="0"/>
            <c:spPr>
              <a:solidFill>
                <a:srgbClr val="588894"/>
              </a:solidFill>
              <a:ln>
                <a:noFill/>
              </a:ln>
            </c:spPr>
          </c:dPt>
          <c:dPt>
            <c:idx val="2"/>
            <c:invertIfNegative val="0"/>
            <c:spPr>
              <a:solidFill>
                <a:srgbClr val="588894"/>
              </a:solidFill>
              <a:ln>
                <a:noFill/>
              </a:ln>
            </c:spPr>
          </c:dPt>
          <c:dPt>
            <c:idx val="4"/>
            <c:invertIfNegative val="0"/>
            <c:spPr>
              <a:solidFill>
                <a:srgbClr val="84acb6"/>
              </a:solidFill>
              <a:ln>
                <a:solidFill>
                  <a:srgbClr val="84acb6"/>
                </a:solidFill>
              </a:ln>
            </c:spPr>
          </c:dPt>
          <c:dPt>
            <c:idx val="5"/>
            <c:invertIfNegative val="0"/>
            <c:spPr>
              <a:solidFill>
                <a:srgbClr val="84acb6"/>
              </a:solidFill>
              <a:ln>
                <a:noFill/>
              </a:ln>
            </c:spPr>
          </c:dPt>
          <c:dPt>
            <c:idx val="6"/>
            <c:invertIfNegative val="0"/>
            <c:spPr>
              <a:solidFill>
                <a:srgbClr val="84acb6"/>
              </a:solidFill>
              <a:ln>
                <a:noFill/>
              </a:ln>
            </c:spPr>
          </c:dPt>
          <c:dPt>
            <c:idx val="7"/>
            <c:invertIfNegative val="0"/>
            <c:spPr>
              <a:solidFill>
                <a:srgbClr val="84acb6"/>
              </a:solidFill>
              <a:ln>
                <a:noFill/>
              </a:ln>
            </c:spPr>
          </c:dPt>
          <c:dPt>
            <c:idx val="8"/>
            <c:invertIfNegative val="0"/>
            <c:spPr>
              <a:solidFill>
                <a:srgbClr val="84acb6"/>
              </a:solidFill>
              <a:ln>
                <a:noFill/>
              </a:ln>
            </c:spPr>
          </c:dPt>
          <c:dLbls>
            <c:numFmt formatCode="0%" sourceLinked="1"/>
            <c:dLbl>
              <c:idx val="0"/>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dLbl>
            <c:dLbl>
              <c:idx val="4"/>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5"/>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6"/>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7"/>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0.0658873285312854</c:v>
                </c:pt>
                <c:pt idx="1">
                  <c:v>0.0616042932351022</c:v>
                </c:pt>
                <c:pt idx="2">
                  <c:v>0.327261612270974</c:v>
                </c:pt>
                <c:pt idx="3">
                  <c:v/>
                </c:pt>
                <c:pt idx="4">
                  <c:v>0.0183114472716655</c:v>
                </c:pt>
                <c:pt idx="5">
                  <c:v>0.0357605136695324</c:v>
                </c:pt>
                <c:pt idx="6">
                  <c:v>0.205099934946296</c:v>
                </c:pt>
                <c:pt idx="7">
                  <c:v>0.0121530246915102</c:v>
                </c:pt>
                <c:pt idx="8">
                  <c:v>0.121282811052843</c:v>
                </c:pt>
              </c:numCache>
            </c:numRef>
          </c:val>
        </c:ser>
        <c:gapWidth val="50"/>
        <c:overlap val="0"/>
        <c:axId val="94799318"/>
        <c:axId val="64833651"/>
      </c:barChart>
      <c:catAx>
        <c:axId val="94799318"/>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ea typeface="Calibri"/>
              </a:defRPr>
            </a:pPr>
          </a:p>
        </c:txPr>
        <c:crossAx val="64833651"/>
        <c:crosses val="autoZero"/>
        <c:auto val="1"/>
        <c:lblAlgn val="ctr"/>
        <c:lblOffset val="100"/>
      </c:catAx>
      <c:valAx>
        <c:axId val="64833651"/>
        <c:scaling>
          <c:orientation val="minMax"/>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94799318"/>
        <c:crosses val="autoZero"/>
      </c:valAx>
      <c:spPr>
        <a:solidFill>
          <a:srgbClr val="f8f8f8"/>
        </a:solidFill>
        <a:ln w="9360">
          <a:noFill/>
        </a:ln>
      </c:spPr>
    </c:plotArea>
    <c:plotVisOnly val="1"/>
    <c:dispBlanksAs val="gap"/>
  </c:chart>
  <c:spPr>
    <a:noFill/>
    <a:ln w="9360">
      <a:noFill/>
    </a:ln>
  </c:spPr>
</c:chartSpace>
</file>

<file path=word/charts/chart3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4a9b82"/>
              </a:solidFill>
              <a:ln>
                <a:noFill/>
              </a:ln>
            </c:spPr>
          </c:dPt>
          <c:dPt>
            <c:idx val="1"/>
            <c:invertIfNegative val="0"/>
            <c:spPr>
              <a:solidFill>
                <a:srgbClr val="4a9b82"/>
              </a:solidFill>
              <a:ln>
                <a:noFill/>
              </a:ln>
            </c:spPr>
          </c:dPt>
          <c:dPt>
            <c:idx val="2"/>
            <c:invertIfNegative val="0"/>
            <c:spPr>
              <a:solidFill>
                <a:srgbClr val="4a9b82"/>
              </a:solidFill>
              <a:ln>
                <a:noFill/>
              </a:ln>
            </c:spPr>
          </c:dPt>
          <c:dPt>
            <c:idx val="4"/>
            <c:invertIfNegative val="0"/>
            <c:spPr>
              <a:solidFill>
                <a:srgbClr val="75bda7"/>
              </a:solidFill>
              <a:ln>
                <a:noFill/>
              </a:ln>
            </c:spPr>
          </c:dPt>
          <c:dPt>
            <c:idx val="5"/>
            <c:invertIfNegative val="0"/>
            <c:spPr>
              <a:solidFill>
                <a:srgbClr val="84acb6"/>
              </a:solidFill>
              <a:ln>
                <a:noFill/>
              </a:ln>
            </c:spPr>
          </c:dPt>
          <c:dPt>
            <c:idx val="6"/>
            <c:invertIfNegative val="0"/>
            <c:spPr>
              <a:solidFill>
                <a:srgbClr val="75bda7"/>
              </a:solidFill>
              <a:ln>
                <a:noFill/>
              </a:ln>
            </c:spPr>
          </c:dPt>
          <c:dPt>
            <c:idx val="7"/>
            <c:invertIfNegative val="0"/>
            <c:spPr>
              <a:solidFill>
                <a:srgbClr val="84acb6"/>
              </a:solidFill>
              <a:ln>
                <a:noFill/>
              </a:ln>
            </c:spPr>
          </c:dPt>
          <c:dPt>
            <c:idx val="8"/>
            <c:invertIfNegative val="0"/>
            <c:spPr>
              <a:solidFill>
                <a:srgbClr val="75bda7"/>
              </a:solidFill>
              <a:ln>
                <a:noFill/>
              </a:ln>
            </c:spPr>
          </c:dPt>
          <c:dLbls>
            <c:numFmt formatCode="0%" sourceLinked="1"/>
            <c:dLbl>
              <c:idx val="0"/>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4"/>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5"/>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6"/>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7"/>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0.022928832436946</c:v>
                </c:pt>
                <c:pt idx="1">
                  <c:v>0.0648036619193097</c:v>
                </c:pt>
                <c:pt idx="2">
                  <c:v>0.233500908533629</c:v>
                </c:pt>
                <c:pt idx="3">
                  <c:v/>
                </c:pt>
                <c:pt idx="4">
                  <c:v>0.0148536168440862</c:v>
                </c:pt>
                <c:pt idx="5">
                  <c:v>0.00106636390843991</c:v>
                </c:pt>
                <c:pt idx="6">
                  <c:v>0.0799836095097443</c:v>
                </c:pt>
                <c:pt idx="7">
                  <c:v>0.00205930918624783</c:v>
                </c:pt>
                <c:pt idx="8">
                  <c:v>0.0758888187511925</c:v>
                </c:pt>
              </c:numCache>
            </c:numRef>
          </c:val>
        </c:ser>
        <c:gapWidth val="50"/>
        <c:overlap val="0"/>
        <c:axId val="30950131"/>
        <c:axId val="14271453"/>
      </c:barChart>
      <c:catAx>
        <c:axId val="30950131"/>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ea typeface="Calibri"/>
              </a:defRPr>
            </a:pPr>
          </a:p>
        </c:txPr>
        <c:crossAx val="14271453"/>
        <c:crosses val="autoZero"/>
        <c:auto val="1"/>
        <c:lblAlgn val="ctr"/>
        <c:lblOffset val="100"/>
      </c:catAx>
      <c:valAx>
        <c:axId val="14271453"/>
        <c:scaling>
          <c:orientation val="minMax"/>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30950131"/>
        <c:crosses val="autoZero"/>
      </c:valAx>
      <c:spPr>
        <a:solidFill>
          <a:srgbClr val="f8f8f8"/>
        </a:solidFill>
        <a:ln w="9360">
          <a:noFill/>
        </a:ln>
      </c:spPr>
    </c:plotArea>
    <c:plotVisOnly val="1"/>
    <c:dispBlanksAs val="gap"/>
  </c:chart>
  <c:spPr>
    <a:noFill/>
    <a:ln w="9360">
      <a:noFill/>
    </a:ln>
  </c:spPr>
</c:chartSpace>
</file>

<file path=word/charts/chart3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4a9b82"/>
              </a:solidFill>
              <a:ln>
                <a:noFill/>
              </a:ln>
            </c:spPr>
          </c:dPt>
          <c:dPt>
            <c:idx val="1"/>
            <c:invertIfNegative val="0"/>
            <c:spPr>
              <a:solidFill>
                <a:srgbClr val="4a9b82"/>
              </a:solidFill>
              <a:ln>
                <a:noFill/>
              </a:ln>
            </c:spPr>
          </c:dPt>
          <c:dPt>
            <c:idx val="2"/>
            <c:invertIfNegative val="0"/>
            <c:spPr>
              <a:solidFill>
                <a:srgbClr val="4a9b82"/>
              </a:solidFill>
              <a:ln>
                <a:noFill/>
              </a:ln>
            </c:spPr>
          </c:dPt>
          <c:dPt>
            <c:idx val="4"/>
            <c:invertIfNegative val="0"/>
            <c:spPr>
              <a:solidFill>
                <a:srgbClr val="75bda7"/>
              </a:solidFill>
              <a:ln>
                <a:noFill/>
              </a:ln>
            </c:spPr>
          </c:dPt>
          <c:dPt>
            <c:idx val="5"/>
            <c:invertIfNegative val="0"/>
            <c:spPr>
              <a:solidFill>
                <a:srgbClr val="75bda7"/>
              </a:solidFill>
              <a:ln>
                <a:noFill/>
              </a:ln>
            </c:spPr>
          </c:dPt>
          <c:dPt>
            <c:idx val="6"/>
            <c:invertIfNegative val="0"/>
            <c:spPr>
              <a:solidFill>
                <a:srgbClr val="75bda7"/>
              </a:solidFill>
              <a:ln>
                <a:noFill/>
              </a:ln>
            </c:spPr>
          </c:dPt>
          <c:dPt>
            <c:idx val="7"/>
            <c:invertIfNegative val="0"/>
            <c:spPr>
              <a:solidFill>
                <a:srgbClr val="75bda7"/>
              </a:solidFill>
              <a:ln>
                <a:noFill/>
              </a:ln>
            </c:spPr>
          </c:dPt>
          <c:dPt>
            <c:idx val="8"/>
            <c:invertIfNegative val="0"/>
            <c:spPr>
              <a:solidFill>
                <a:srgbClr val="75bda7"/>
              </a:solidFill>
              <a:ln>
                <a:noFill/>
              </a:ln>
            </c:spPr>
          </c:dPt>
          <c:dLbls>
            <c:numFmt formatCode="0%" sourceLinked="1"/>
            <c:dLbl>
              <c:idx val="0"/>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4"/>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5"/>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6"/>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7"/>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0.288567137235324</c:v>
                </c:pt>
                <c:pt idx="1">
                  <c:v>0.114994802269296</c:v>
                </c:pt>
                <c:pt idx="2">
                  <c:v>0.12629825249747</c:v>
                </c:pt>
                <c:pt idx="3">
                  <c:v/>
                </c:pt>
                <c:pt idx="4">
                  <c:v>0.153091350978841</c:v>
                </c:pt>
                <c:pt idx="5">
                  <c:v>0.333657512785558</c:v>
                </c:pt>
                <c:pt idx="6">
                  <c:v>0.194331346512062</c:v>
                </c:pt>
                <c:pt idx="7">
                  <c:v>0.615466594039699</c:v>
                </c:pt>
                <c:pt idx="8">
                  <c:v>0.279969521175329</c:v>
                </c:pt>
              </c:numCache>
            </c:numRef>
          </c:val>
        </c:ser>
        <c:gapWidth val="50"/>
        <c:overlap val="0"/>
        <c:axId val="40001121"/>
        <c:axId val="89151081"/>
      </c:barChart>
      <c:catAx>
        <c:axId val="40001121"/>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ea typeface="Calibri"/>
              </a:defRPr>
            </a:pPr>
          </a:p>
        </c:txPr>
        <c:crossAx val="89151081"/>
        <c:crosses val="autoZero"/>
        <c:auto val="1"/>
        <c:lblAlgn val="ctr"/>
        <c:lblOffset val="100"/>
      </c:catAx>
      <c:valAx>
        <c:axId val="89151081"/>
        <c:scaling>
          <c:orientation val="minMax"/>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40001121"/>
        <c:crosses val="autoZero"/>
        <c:majorUnit val="0.2"/>
      </c:valAx>
      <c:spPr>
        <a:solidFill>
          <a:srgbClr val="f8f8f8"/>
        </a:solidFill>
        <a:ln w="9360">
          <a:noFill/>
        </a:ln>
      </c:spPr>
    </c:plotArea>
    <c:plotVisOnly val="1"/>
    <c:dispBlanksAs val="gap"/>
  </c:chart>
  <c:spPr>
    <a:noFill/>
    <a:ln w="9360">
      <a:noFill/>
    </a:ln>
  </c:spPr>
</c:chartSpace>
</file>

<file path=word/charts/chart3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75bda7"/>
            </a:solidFill>
            <a:ln>
              <a:noFill/>
            </a:ln>
          </c:spPr>
          <c:invertIfNegative val="0"/>
          <c:dPt>
            <c:idx val="0"/>
            <c:invertIfNegative val="0"/>
            <c:spPr>
              <a:solidFill>
                <a:srgbClr val="4a9b82"/>
              </a:solidFill>
              <a:ln>
                <a:solidFill>
                  <a:srgbClr val="84acb6"/>
                </a:solidFill>
              </a:ln>
            </c:spPr>
          </c:dPt>
          <c:dPt>
            <c:idx val="1"/>
            <c:invertIfNegative val="0"/>
            <c:spPr>
              <a:solidFill>
                <a:srgbClr val="4a9b82"/>
              </a:solidFill>
              <a:ln>
                <a:noFill/>
              </a:ln>
            </c:spPr>
          </c:dPt>
          <c:dPt>
            <c:idx val="2"/>
            <c:invertIfNegative val="0"/>
            <c:spPr>
              <a:solidFill>
                <a:srgbClr val="4a9b82"/>
              </a:solidFill>
              <a:ln>
                <a:noFill/>
              </a:ln>
            </c:spPr>
          </c:dPt>
          <c:dPt>
            <c:idx val="4"/>
            <c:invertIfNegative val="0"/>
            <c:spPr>
              <a:solidFill>
                <a:srgbClr val="75bda7"/>
              </a:solidFill>
              <a:ln>
                <a:solidFill>
                  <a:srgbClr val="84acb6"/>
                </a:solidFill>
              </a:ln>
            </c:spPr>
          </c:dPt>
          <c:dPt>
            <c:idx val="5"/>
            <c:invertIfNegative val="0"/>
            <c:spPr>
              <a:solidFill>
                <a:srgbClr val="75bda7"/>
              </a:solidFill>
              <a:ln>
                <a:noFill/>
              </a:ln>
            </c:spPr>
          </c:dPt>
          <c:dPt>
            <c:idx val="6"/>
            <c:invertIfNegative val="0"/>
            <c:spPr>
              <a:solidFill>
                <a:srgbClr val="75bda7"/>
              </a:solidFill>
              <a:ln>
                <a:noFill/>
              </a:ln>
            </c:spPr>
          </c:dPt>
          <c:dPt>
            <c:idx val="7"/>
            <c:invertIfNegative val="0"/>
            <c:spPr>
              <a:solidFill>
                <a:srgbClr val="84acb6"/>
              </a:solidFill>
              <a:ln>
                <a:noFill/>
              </a:ln>
            </c:spPr>
          </c:dPt>
          <c:dPt>
            <c:idx val="8"/>
            <c:invertIfNegative val="0"/>
            <c:spPr>
              <a:solidFill>
                <a:srgbClr val="75bda7"/>
              </a:solidFill>
              <a:ln>
                <a:noFill/>
              </a:ln>
            </c:spPr>
          </c:dPt>
          <c:dLbls>
            <c:numFmt formatCode="0%" sourceLinked="1"/>
            <c:dLbl>
              <c:idx val="0"/>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1"/>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2"/>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4"/>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5"/>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6"/>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7"/>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dLbl>
              <c:idx val="8"/>
              <c:txPr>
                <a:bodyPr/>
                <a:lstStyle/>
                <a:p>
                  <a:pPr>
                    <a:defRPr b="0" sz="1000" spc="-1" strike="noStrike">
                      <a:solidFill>
                        <a:srgbClr val="000000"/>
                      </a:solidFill>
                      <a:latin typeface="Calibri"/>
                      <a:ea typeface="Calibri"/>
                    </a:defRPr>
                  </a:pPr>
                </a:p>
              </c:txPr>
              <c:dLblPos val="outEnd"/>
              <c:showLegendKey val="0"/>
              <c:showVal val="1"/>
              <c:showCatName val="0"/>
              <c:showSerName val="0"/>
              <c:showPercent val="0"/>
            </c:dLbl>
            <c:txPr>
              <a:bodyPr/>
              <a:lstStyle/>
              <a:p>
                <a:pPr>
                  <a:defRPr b="0" sz="1000" spc="-1" strike="noStrike">
                    <a:solidFill>
                      <a:srgbClr val="000000"/>
                    </a:solidFill>
                    <a:latin typeface="Calibri"/>
                    <a:ea typeface="Calibri"/>
                  </a:defRPr>
                </a:pPr>
              </a:p>
            </c:txPr>
            <c:dLblPos val="inEnd"/>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0.0447628247139095</c:v>
                </c:pt>
                <c:pt idx="1">
                  <c:v>0.076142844328701</c:v>
                </c:pt>
                <c:pt idx="2">
                  <c:v>0.119997507866944</c:v>
                </c:pt>
                <c:pt idx="3">
                  <c:v/>
                </c:pt>
                <c:pt idx="4">
                  <c:v>0.0861892871238965</c:v>
                </c:pt>
                <c:pt idx="5">
                  <c:v>0.0140146832670264</c:v>
                </c:pt>
                <c:pt idx="6">
                  <c:v>0.241408390236377</c:v>
                </c:pt>
                <c:pt idx="7">
                  <c:v>0</c:v>
                </c:pt>
                <c:pt idx="8">
                  <c:v>0.14764319688671</c:v>
                </c:pt>
              </c:numCache>
            </c:numRef>
          </c:val>
        </c:ser>
        <c:gapWidth val="50"/>
        <c:overlap val="0"/>
        <c:axId val="46955499"/>
        <c:axId val="47024693"/>
      </c:barChart>
      <c:catAx>
        <c:axId val="46955499"/>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ea typeface="Calibri"/>
              </a:defRPr>
            </a:pPr>
          </a:p>
        </c:txPr>
        <c:crossAx val="47024693"/>
        <c:crosses val="autoZero"/>
        <c:auto val="1"/>
        <c:lblAlgn val="ctr"/>
        <c:lblOffset val="100"/>
      </c:catAx>
      <c:valAx>
        <c:axId val="47024693"/>
        <c:scaling>
          <c:orientation val="minMax"/>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Calibri"/>
              </a:defRPr>
            </a:pPr>
          </a:p>
        </c:txPr>
        <c:crossAx val="46955499"/>
        <c:crosses val="autoZero"/>
      </c:valAx>
      <c:spPr>
        <a:solidFill>
          <a:srgbClr val="f8f8f8"/>
        </a:solidFill>
        <a:ln w="9360">
          <a:noFill/>
        </a:ln>
      </c:spPr>
    </c:plotArea>
    <c:plotVisOnly val="1"/>
    <c:dispBlanksAs val="gap"/>
  </c:chart>
  <c:spPr>
    <a:noFill/>
    <a:ln w="9360">
      <a:noFill/>
    </a:ln>
  </c:spPr>
</c:chartSpace>
</file>

<file path=word/charts/chart3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stacked"/>
        <c:varyColors val="0"/>
        <c:ser>
          <c:idx val="0"/>
          <c:order val="0"/>
          <c:tx>
            <c:strRef>
              <c:f>label 0</c:f>
              <c:strCache>
                <c:ptCount val="1"/>
                <c:pt idx="0">
                  <c:v>Capital de risc</c:v>
                </c:pt>
              </c:strCache>
            </c:strRef>
          </c:tx>
          <c:spPr>
            <a:solidFill>
              <a:srgbClr val="00b0f0"/>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Europa</c:v>
                </c:pt>
                <c:pt idx="1">
                  <c:v>ECE</c:v>
                </c:pt>
                <c:pt idx="2">
                  <c:v>România</c:v>
                </c:pt>
                <c:pt idx="3">
                  <c:v>Austria</c:v>
                </c:pt>
                <c:pt idx="4">
                  <c:v>Germania</c:v>
                </c:pt>
                <c:pt idx="5">
                  <c:v>Cehia</c:v>
                </c:pt>
                <c:pt idx="6">
                  <c:v>Ungaria</c:v>
                </c:pt>
                <c:pt idx="7">
                  <c:v>Polonia</c:v>
                </c:pt>
              </c:strCache>
            </c:strRef>
          </c:cat>
          <c:val>
            <c:numRef>
              <c:f>0</c:f>
              <c:numCache>
                <c:formatCode>General</c:formatCode>
                <c:ptCount val="8"/>
                <c:pt idx="0">
                  <c:v>0.102520896154338</c:v>
                </c:pt>
                <c:pt idx="1">
                  <c:v>0.0919282373437365</c:v>
                </c:pt>
                <c:pt idx="2">
                  <c:v>0.0613416470283866</c:v>
                </c:pt>
                <c:pt idx="3">
                  <c:v>0.212386114468117</c:v>
                </c:pt>
                <c:pt idx="4">
                  <c:v>0.132273860725004</c:v>
                </c:pt>
                <c:pt idx="5">
                  <c:v>0.0551742232429885</c:v>
                </c:pt>
                <c:pt idx="6">
                  <c:v>0.257302214398493</c:v>
                </c:pt>
                <c:pt idx="7">
                  <c:v>0.0627582089600676</c:v>
                </c:pt>
              </c:numCache>
            </c:numRef>
          </c:val>
        </c:ser>
        <c:ser>
          <c:idx val="1"/>
          <c:order val="1"/>
          <c:tx>
            <c:strRef>
              <c:f>label 1</c:f>
              <c:strCache>
                <c:ptCount val="1"/>
                <c:pt idx="0">
                  <c:v>Capital de creștere</c:v>
                </c:pt>
              </c:strCache>
            </c:strRef>
          </c:tx>
          <c:spPr>
            <a:solidFill>
              <a:srgbClr val="a9d18e"/>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Europa</c:v>
                </c:pt>
                <c:pt idx="1">
                  <c:v>ECE</c:v>
                </c:pt>
                <c:pt idx="2">
                  <c:v>România</c:v>
                </c:pt>
                <c:pt idx="3">
                  <c:v>Austria</c:v>
                </c:pt>
                <c:pt idx="4">
                  <c:v>Germania</c:v>
                </c:pt>
                <c:pt idx="5">
                  <c:v>Cehia</c:v>
                </c:pt>
                <c:pt idx="6">
                  <c:v>Ungaria</c:v>
                </c:pt>
                <c:pt idx="7">
                  <c:v>Polonia</c:v>
                </c:pt>
              </c:strCache>
            </c:strRef>
          </c:cat>
          <c:val>
            <c:numRef>
              <c:f>1</c:f>
              <c:numCache>
                <c:formatCode>General</c:formatCode>
                <c:ptCount val="8"/>
                <c:pt idx="0">
                  <c:v>0.179158617342159</c:v>
                </c:pt>
                <c:pt idx="1">
                  <c:v>0.250126759566892</c:v>
                </c:pt>
                <c:pt idx="2">
                  <c:v>0.377508074544172</c:v>
                </c:pt>
                <c:pt idx="3">
                  <c:v>0.129407201920528</c:v>
                </c:pt>
                <c:pt idx="4">
                  <c:v>0.131046549398397</c:v>
                </c:pt>
                <c:pt idx="5">
                  <c:v>0.260089015011773</c:v>
                </c:pt>
                <c:pt idx="6">
                  <c:v>0.148343221018914</c:v>
                </c:pt>
                <c:pt idx="7">
                  <c:v>0.169885250485465</c:v>
                </c:pt>
              </c:numCache>
            </c:numRef>
          </c:val>
        </c:ser>
        <c:ser>
          <c:idx val="2"/>
          <c:order val="2"/>
          <c:tx>
            <c:strRef>
              <c:f>label 2</c:f>
              <c:strCache>
                <c:ptCount val="1"/>
                <c:pt idx="0">
                  <c:v>Buyout</c:v>
                </c:pt>
              </c:strCache>
            </c:strRef>
          </c:tx>
          <c:spPr>
            <a:solidFill>
              <a:srgbClr val="f8cbad"/>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Europa</c:v>
                </c:pt>
                <c:pt idx="1">
                  <c:v>ECE</c:v>
                </c:pt>
                <c:pt idx="2">
                  <c:v>România</c:v>
                </c:pt>
                <c:pt idx="3">
                  <c:v>Austria</c:v>
                </c:pt>
                <c:pt idx="4">
                  <c:v>Germania</c:v>
                </c:pt>
                <c:pt idx="5">
                  <c:v>Cehia</c:v>
                </c:pt>
                <c:pt idx="6">
                  <c:v>Ungaria</c:v>
                </c:pt>
                <c:pt idx="7">
                  <c:v>Polonia</c:v>
                </c:pt>
              </c:strCache>
            </c:strRef>
          </c:cat>
          <c:val>
            <c:numRef>
              <c:f>2</c:f>
              <c:numCache>
                <c:formatCode>General</c:formatCode>
                <c:ptCount val="8"/>
                <c:pt idx="0">
                  <c:v>0.682456222858253</c:v>
                </c:pt>
                <c:pt idx="1">
                  <c:v>0.633899204634581</c:v>
                </c:pt>
                <c:pt idx="2">
                  <c:v>0.540078688642784</c:v>
                </c:pt>
                <c:pt idx="3">
                  <c:v>0.629256353265024</c:v>
                </c:pt>
                <c:pt idx="4">
                  <c:v>0.714223598524535</c:v>
                </c:pt>
                <c:pt idx="5">
                  <c:v>0.624342490565284</c:v>
                </c:pt>
                <c:pt idx="6">
                  <c:v>0.586005674350629</c:v>
                </c:pt>
                <c:pt idx="7">
                  <c:v>0.754362454403638</c:v>
                </c:pt>
              </c:numCache>
            </c:numRef>
          </c:val>
        </c:ser>
        <c:ser>
          <c:idx val="3"/>
          <c:order val="3"/>
          <c:tx>
            <c:strRef>
              <c:f>label 3</c:f>
              <c:strCache>
                <c:ptCount val="1"/>
                <c:pt idx="0">
                  <c:v>Altele</c:v>
                </c:pt>
              </c:strCache>
            </c:strRef>
          </c:tx>
          <c:spPr>
            <a:solidFill>
              <a:srgbClr val="808080"/>
            </a:solidFill>
            <a:ln>
              <a:noFill/>
            </a:ln>
          </c:spPr>
          <c:invertIfNegative val="0"/>
          <c:dLbls>
            <c:numFmt formatCode="0%"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8"/>
                <c:pt idx="0">
                  <c:v>Europa</c:v>
                </c:pt>
                <c:pt idx="1">
                  <c:v>ECE</c:v>
                </c:pt>
                <c:pt idx="2">
                  <c:v>România</c:v>
                </c:pt>
                <c:pt idx="3">
                  <c:v>Austria</c:v>
                </c:pt>
                <c:pt idx="4">
                  <c:v>Germania</c:v>
                </c:pt>
                <c:pt idx="5">
                  <c:v>Cehia</c:v>
                </c:pt>
                <c:pt idx="6">
                  <c:v>Ungaria</c:v>
                </c:pt>
                <c:pt idx="7">
                  <c:v>Polonia</c:v>
                </c:pt>
              </c:strCache>
            </c:strRef>
          </c:cat>
          <c:val>
            <c:numRef>
              <c:f>3</c:f>
              <c:numCache>
                <c:formatCode>General</c:formatCode>
                <c:ptCount val="8"/>
                <c:pt idx="0">
                  <c:v>0.0358642636452504</c:v>
                </c:pt>
                <c:pt idx="1">
                  <c:v>0.0240457984547902</c:v>
                </c:pt>
                <c:pt idx="2">
                  <c:v>0.0210715897846574</c:v>
                </c:pt>
                <c:pt idx="3">
                  <c:v>0.0289503303463316</c:v>
                </c:pt>
                <c:pt idx="4">
                  <c:v>0.0224559913520649</c:v>
                </c:pt>
                <c:pt idx="5">
                  <c:v>0.0603942711799548</c:v>
                </c:pt>
                <c:pt idx="6">
                  <c:v>0.00834889023196478</c:v>
                </c:pt>
                <c:pt idx="7">
                  <c:v>0.0129940861508298</c:v>
                </c:pt>
              </c:numCache>
            </c:numRef>
          </c:val>
        </c:ser>
        <c:gapWidth val="40"/>
        <c:overlap val="100"/>
        <c:axId val="55966956"/>
        <c:axId val="16543627"/>
      </c:barChart>
      <c:catAx>
        <c:axId val="55966956"/>
        <c:scaling>
          <c:orientation val="minMax"/>
        </c:scaling>
        <c:delete val="0"/>
        <c:axPos val="b"/>
        <c:numFmt formatCode="DD/MM/YYYY" sourceLinked="1"/>
        <c:majorTickMark val="none"/>
        <c:minorTickMark val="none"/>
        <c:tickLblPos val="nextTo"/>
        <c:spPr>
          <a:ln w="9360">
            <a:solidFill>
              <a:srgbClr val="000000"/>
            </a:solidFill>
            <a:round/>
          </a:ln>
        </c:spPr>
        <c:txPr>
          <a:bodyPr/>
          <a:lstStyle/>
          <a:p>
            <a:pPr>
              <a:defRPr b="0" sz="900" spc="-1" strike="noStrike">
                <a:solidFill>
                  <a:srgbClr val="000000"/>
                </a:solidFill>
                <a:latin typeface="Calibri"/>
              </a:defRPr>
            </a:pPr>
          </a:p>
        </c:txPr>
        <c:crossAx val="16543627"/>
        <c:crosses val="autoZero"/>
        <c:auto val="1"/>
        <c:lblAlgn val="ctr"/>
        <c:lblOffset val="100"/>
      </c:catAx>
      <c:valAx>
        <c:axId val="16543627"/>
        <c:scaling>
          <c:orientation val="minMax"/>
          <c:max val="1"/>
        </c:scaling>
        <c:delete val="0"/>
        <c:axPos val="l"/>
        <c:numFmt formatCode="0%" sourceLinked="0"/>
        <c:majorTickMark val="in"/>
        <c:minorTickMark val="none"/>
        <c:tickLblPos val="nextTo"/>
        <c:spPr>
          <a:ln w="6480">
            <a:solidFill>
              <a:srgbClr val="000000"/>
            </a:solidFill>
            <a:round/>
          </a:ln>
        </c:spPr>
        <c:txPr>
          <a:bodyPr/>
          <a:lstStyle/>
          <a:p>
            <a:pPr>
              <a:defRPr b="0" sz="900" spc="-1" strike="noStrike">
                <a:solidFill>
                  <a:srgbClr val="000000"/>
                </a:solidFill>
                <a:latin typeface="Calibri"/>
              </a:defRPr>
            </a:pPr>
          </a:p>
        </c:txPr>
        <c:crossAx val="55966956"/>
        <c:crosses val="autoZero"/>
        <c:majorUnit val="0.2"/>
      </c:valAx>
      <c:spPr>
        <a:solidFill>
          <a:srgbClr val="f8f8f8"/>
        </a:solidFill>
        <a:ln>
          <a:noFill/>
        </a:ln>
      </c:spPr>
    </c:plotArea>
    <c:legend>
      <c:layout>
        <c:manualLayout>
          <c:xMode val="edge"/>
          <c:yMode val="edge"/>
          <c:x val="0.1190625"/>
          <c:y val="0.0356666666666667"/>
          <c:w val="0.876554784674042"/>
          <c:h val="0.0958995443938215"/>
        </c:manualLayout>
      </c:layout>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chartSpace>
</file>

<file path=word/charts/chart3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stacked"/>
        <c:varyColors val="0"/>
        <c:ser>
          <c:idx val="0"/>
          <c:order val="0"/>
          <c:tx>
            <c:strRef>
              <c:f>label 0</c:f>
              <c:strCache>
                <c:ptCount val="1"/>
                <c:pt idx="0">
                  <c:v>Venture Capital</c:v>
                </c:pt>
              </c:strCache>
            </c:strRef>
          </c:tx>
          <c:spPr>
            <a:solidFill>
              <a:srgbClr val="f8cbad"/>
            </a:solidFill>
            <a:ln>
              <a:noFill/>
            </a:ln>
          </c:spPr>
          <c:invertIfNegative val="0"/>
          <c:dLbls>
            <c:numFmt formatCode="\ * #,##0\ ;\ * \(#,##0\);\ * \-#\ ;\ @\ "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5"/>
                <c:pt idx="0">
                  <c:v>2007</c:v>
                </c:pt>
                <c:pt idx="1">
                  <c:v> '08</c:v>
                </c:pt>
                <c:pt idx="2">
                  <c:v> '09</c:v>
                </c:pt>
                <c:pt idx="3">
                  <c:v> '10</c:v>
                </c:pt>
                <c:pt idx="4">
                  <c:v> '11</c:v>
                </c:pt>
                <c:pt idx="5">
                  <c:v> '12</c:v>
                </c:pt>
                <c:pt idx="6">
                  <c:v> '13</c:v>
                </c:pt>
                <c:pt idx="7">
                  <c:v> '14</c:v>
                </c:pt>
                <c:pt idx="8">
                  <c:v> '15</c:v>
                </c:pt>
                <c:pt idx="9">
                  <c:v> '16</c:v>
                </c:pt>
                <c:pt idx="10">
                  <c:v> '17</c:v>
                </c:pt>
                <c:pt idx="11">
                  <c:v> '18</c:v>
                </c:pt>
                <c:pt idx="12">
                  <c:v> '19</c:v>
                </c:pt>
                <c:pt idx="13">
                  <c:v> '20</c:v>
                </c:pt>
                <c:pt idx="14">
                  <c:v> '21</c:v>
                </c:pt>
              </c:strCache>
            </c:strRef>
          </c:cat>
          <c:val>
            <c:numRef>
              <c:f>0</c:f>
              <c:numCache>
                <c:formatCode>General</c:formatCode>
                <c:ptCount val="15"/>
                <c:pt idx="0">
                  <c:v>44459.3429684341</c:v>
                </c:pt>
                <c:pt idx="1">
                  <c:v>50155.4159815797</c:v>
                </c:pt>
                <c:pt idx="2">
                  <c:v>2554.09809431576</c:v>
                </c:pt>
                <c:pt idx="3">
                  <c:v>6051.8749838561</c:v>
                </c:pt>
                <c:pt idx="4">
                  <c:v>4499.17879005844</c:v>
                </c:pt>
                <c:pt idx="5">
                  <c:v>4954.85128461543</c:v>
                </c:pt>
                <c:pt idx="6">
                  <c:v>3232.19276830266</c:v>
                </c:pt>
                <c:pt idx="7">
                  <c:v>5716.84534527414</c:v>
                </c:pt>
                <c:pt idx="8">
                  <c:v>1976.23516435237</c:v>
                </c:pt>
                <c:pt idx="9">
                  <c:v>3250.09199937669</c:v>
                </c:pt>
                <c:pt idx="10">
                  <c:v>5934.84802661236</c:v>
                </c:pt>
                <c:pt idx="11">
                  <c:v>3154.99570480272</c:v>
                </c:pt>
                <c:pt idx="12">
                  <c:v>21629.4878875375</c:v>
                </c:pt>
                <c:pt idx="13">
                  <c:v>10362.51331</c:v>
                </c:pt>
                <c:pt idx="14">
                  <c:v>31533.83</c:v>
                </c:pt>
              </c:numCache>
            </c:numRef>
          </c:val>
        </c:ser>
        <c:ser>
          <c:idx val="1"/>
          <c:order val="1"/>
          <c:tx>
            <c:strRef>
              <c:f>label 1</c:f>
              <c:strCache>
                <c:ptCount val="1"/>
                <c:pt idx="0">
                  <c:v>Growth</c:v>
                </c:pt>
              </c:strCache>
            </c:strRef>
          </c:tx>
          <c:spPr>
            <a:solidFill>
              <a:srgbClr val="a9d18e"/>
            </a:solidFill>
            <a:ln>
              <a:noFill/>
            </a:ln>
          </c:spPr>
          <c:invertIfNegative val="0"/>
          <c:dLbls>
            <c:numFmt formatCode="\ * #,##0\ ;\ * \(#,##0\);\ * \-#\ ;\ @\ "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5"/>
                <c:pt idx="0">
                  <c:v>2007</c:v>
                </c:pt>
                <c:pt idx="1">
                  <c:v> '08</c:v>
                </c:pt>
                <c:pt idx="2">
                  <c:v> '09</c:v>
                </c:pt>
                <c:pt idx="3">
                  <c:v> '10</c:v>
                </c:pt>
                <c:pt idx="4">
                  <c:v> '11</c:v>
                </c:pt>
                <c:pt idx="5">
                  <c:v> '12</c:v>
                </c:pt>
                <c:pt idx="6">
                  <c:v> '13</c:v>
                </c:pt>
                <c:pt idx="7">
                  <c:v> '14</c:v>
                </c:pt>
                <c:pt idx="8">
                  <c:v> '15</c:v>
                </c:pt>
                <c:pt idx="9">
                  <c:v> '16</c:v>
                </c:pt>
                <c:pt idx="10">
                  <c:v> '17</c:v>
                </c:pt>
                <c:pt idx="11">
                  <c:v> '18</c:v>
                </c:pt>
                <c:pt idx="12">
                  <c:v> '19</c:v>
                </c:pt>
                <c:pt idx="13">
                  <c:v> '20</c:v>
                </c:pt>
                <c:pt idx="14">
                  <c:v> '21</c:v>
                </c:pt>
              </c:strCache>
            </c:strRef>
          </c:cat>
          <c:val>
            <c:numRef>
              <c:f>1</c:f>
              <c:numCache>
                <c:formatCode>General</c:formatCode>
                <c:ptCount val="15"/>
                <c:pt idx="0">
                  <c:v>86649.7429015293</c:v>
                </c:pt>
                <c:pt idx="1">
                  <c:v>34066.8261447534</c:v>
                </c:pt>
                <c:pt idx="2">
                  <c:v>80386.0995044427</c:v>
                </c:pt>
                <c:pt idx="3">
                  <c:v>58825.6691357126</c:v>
                </c:pt>
                <c:pt idx="4">
                  <c:v>36064.5735850853</c:v>
                </c:pt>
                <c:pt idx="5">
                  <c:v>14123.608693638</c:v>
                </c:pt>
                <c:pt idx="6">
                  <c:v>12722.4569800495</c:v>
                </c:pt>
                <c:pt idx="7">
                  <c:v>35034.1422259803</c:v>
                </c:pt>
                <c:pt idx="8">
                  <c:v>17446.0864662451</c:v>
                </c:pt>
                <c:pt idx="9">
                  <c:v>16257.8249926642</c:v>
                </c:pt>
                <c:pt idx="10">
                  <c:v>180770.976423713</c:v>
                </c:pt>
                <c:pt idx="11">
                  <c:v>199206.741073996</c:v>
                </c:pt>
                <c:pt idx="12">
                  <c:v>385149.537965255</c:v>
                </c:pt>
                <c:pt idx="13">
                  <c:v>47147.912099</c:v>
                </c:pt>
                <c:pt idx="14">
                  <c:v>23698</c:v>
                </c:pt>
              </c:numCache>
            </c:numRef>
          </c:val>
        </c:ser>
        <c:ser>
          <c:idx val="2"/>
          <c:order val="2"/>
          <c:tx>
            <c:strRef>
              <c:f>label 2</c:f>
              <c:strCache>
                <c:ptCount val="1"/>
                <c:pt idx="0">
                  <c:v>Buyout</c:v>
                </c:pt>
              </c:strCache>
            </c:strRef>
          </c:tx>
          <c:spPr>
            <a:solidFill>
              <a:srgbClr val="00b0f0"/>
            </a:solidFill>
            <a:ln>
              <a:noFill/>
            </a:ln>
          </c:spPr>
          <c:invertIfNegative val="0"/>
          <c:dLbls>
            <c:numFmt formatCode="\ * #,##0\ ;\ * \(#,##0\);\ * \-#\ ;\ @\ "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5"/>
                <c:pt idx="0">
                  <c:v>2007</c:v>
                </c:pt>
                <c:pt idx="1">
                  <c:v> '08</c:v>
                </c:pt>
                <c:pt idx="2">
                  <c:v> '09</c:v>
                </c:pt>
                <c:pt idx="3">
                  <c:v> '10</c:v>
                </c:pt>
                <c:pt idx="4">
                  <c:v> '11</c:v>
                </c:pt>
                <c:pt idx="5">
                  <c:v> '12</c:v>
                </c:pt>
                <c:pt idx="6">
                  <c:v> '13</c:v>
                </c:pt>
                <c:pt idx="7">
                  <c:v> '14</c:v>
                </c:pt>
                <c:pt idx="8">
                  <c:v> '15</c:v>
                </c:pt>
                <c:pt idx="9">
                  <c:v> '16</c:v>
                </c:pt>
                <c:pt idx="10">
                  <c:v> '17</c:v>
                </c:pt>
                <c:pt idx="11">
                  <c:v> '18</c:v>
                </c:pt>
                <c:pt idx="12">
                  <c:v> '19</c:v>
                </c:pt>
                <c:pt idx="13">
                  <c:v> '20</c:v>
                </c:pt>
                <c:pt idx="14">
                  <c:v> '21</c:v>
                </c:pt>
              </c:strCache>
            </c:strRef>
          </c:cat>
          <c:val>
            <c:numRef>
              <c:f>2</c:f>
              <c:numCache>
                <c:formatCode>General</c:formatCode>
                <c:ptCount val="15"/>
                <c:pt idx="0">
                  <c:v>153504.506679773</c:v>
                </c:pt>
                <c:pt idx="1">
                  <c:v>264570.293074815</c:v>
                </c:pt>
                <c:pt idx="2">
                  <c:v>173261.217637265</c:v>
                </c:pt>
                <c:pt idx="3">
                  <c:v>87812.991985693</c:v>
                </c:pt>
                <c:pt idx="4">
                  <c:v>25481.099077496</c:v>
                </c:pt>
                <c:pt idx="5">
                  <c:v>19313.7364035329</c:v>
                </c:pt>
                <c:pt idx="6">
                  <c:v>84820.0613402663</c:v>
                </c:pt>
                <c:pt idx="7">
                  <c:v>54609.9206656518</c:v>
                </c:pt>
                <c:pt idx="8">
                  <c:v>159759.893549856</c:v>
                </c:pt>
                <c:pt idx="9">
                  <c:v>139532.328735202</c:v>
                </c:pt>
                <c:pt idx="10">
                  <c:v>335107.871364994</c:v>
                </c:pt>
                <c:pt idx="11">
                  <c:v>129680.21210454</c:v>
                </c:pt>
                <c:pt idx="12">
                  <c:v>99590.828695285</c:v>
                </c:pt>
                <c:pt idx="13">
                  <c:v>0</c:v>
                </c:pt>
                <c:pt idx="14">
                  <c:v>29139.2</c:v>
                </c:pt>
              </c:numCache>
            </c:numRef>
          </c:val>
        </c:ser>
        <c:ser>
          <c:idx val="3"/>
          <c:order val="3"/>
          <c:tx>
            <c:strRef>
              <c:f>label 3</c:f>
              <c:strCache>
                <c:ptCount val="1"/>
                <c:pt idx="0">
                  <c:v>Others</c:v>
                </c:pt>
              </c:strCache>
            </c:strRef>
          </c:tx>
          <c:spPr>
            <a:solidFill>
              <a:srgbClr val="808080"/>
            </a:solidFill>
            <a:ln>
              <a:noFill/>
            </a:ln>
          </c:spPr>
          <c:invertIfNegative val="0"/>
          <c:dLbls>
            <c:numFmt formatCode="\ * #,##0\ ;\ * \(#,##0\);\ * \-#\ ;\ @\ "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5"/>
                <c:pt idx="0">
                  <c:v>2007</c:v>
                </c:pt>
                <c:pt idx="1">
                  <c:v> '08</c:v>
                </c:pt>
                <c:pt idx="2">
                  <c:v> '09</c:v>
                </c:pt>
                <c:pt idx="3">
                  <c:v> '10</c:v>
                </c:pt>
                <c:pt idx="4">
                  <c:v> '11</c:v>
                </c:pt>
                <c:pt idx="5">
                  <c:v> '12</c:v>
                </c:pt>
                <c:pt idx="6">
                  <c:v> '13</c:v>
                </c:pt>
                <c:pt idx="7">
                  <c:v> '14</c:v>
                </c:pt>
                <c:pt idx="8">
                  <c:v> '15</c:v>
                </c:pt>
                <c:pt idx="9">
                  <c:v> '16</c:v>
                </c:pt>
                <c:pt idx="10">
                  <c:v> '17</c:v>
                </c:pt>
                <c:pt idx="11">
                  <c:v> '18</c:v>
                </c:pt>
                <c:pt idx="12">
                  <c:v> '19</c:v>
                </c:pt>
                <c:pt idx="13">
                  <c:v> '20</c:v>
                </c:pt>
                <c:pt idx="14">
                  <c:v> '21</c:v>
                </c:pt>
              </c:strCache>
            </c:strRef>
          </c:cat>
          <c:val>
            <c:numRef>
              <c:f>3</c:f>
              <c:numCache>
                <c:formatCode>General</c:formatCode>
                <c:ptCount val="15"/>
                <c:pt idx="0">
                  <c:v>26777.9340043215</c:v>
                </c:pt>
                <c:pt idx="1">
                  <c:v>5889.02401893815</c:v>
                </c:pt>
                <c:pt idx="2">
                  <c:v>1573.25548463429</c:v>
                </c:pt>
                <c:pt idx="3">
                  <c:v>0</c:v>
                </c:pt>
                <c:pt idx="4">
                  <c:v>20246.304555263</c:v>
                </c:pt>
                <c:pt idx="5">
                  <c:v>0</c:v>
                </c:pt>
                <c:pt idx="6">
                  <c:v>10237.7440476443</c:v>
                </c:pt>
                <c:pt idx="7">
                  <c:v>1142.8278430386</c:v>
                </c:pt>
                <c:pt idx="8">
                  <c:v>0</c:v>
                </c:pt>
                <c:pt idx="9">
                  <c:v>0</c:v>
                </c:pt>
                <c:pt idx="10">
                  <c:v>0</c:v>
                </c:pt>
                <c:pt idx="11">
                  <c:v>0</c:v>
                </c:pt>
                <c:pt idx="12">
                  <c:v>0</c:v>
                </c:pt>
                <c:pt idx="13">
                  <c:v/>
                </c:pt>
                <c:pt idx="14">
                  <c:v/>
                </c:pt>
              </c:numCache>
            </c:numRef>
          </c:val>
        </c:ser>
        <c:gapWidth val="40"/>
        <c:overlap val="100"/>
        <c:axId val="13283207"/>
        <c:axId val="82829852"/>
      </c:barChart>
      <c:catAx>
        <c:axId val="13283207"/>
        <c:scaling>
          <c:orientation val="minMax"/>
        </c:scaling>
        <c:delete val="0"/>
        <c:axPos val="b"/>
        <c:numFmt formatCode="DD/MM/YYYY" sourceLinked="1"/>
        <c:majorTickMark val="none"/>
        <c:minorTickMark val="none"/>
        <c:tickLblPos val="nextTo"/>
        <c:spPr>
          <a:ln w="9360">
            <a:solidFill>
              <a:srgbClr val="000000"/>
            </a:solidFill>
            <a:round/>
          </a:ln>
        </c:spPr>
        <c:txPr>
          <a:bodyPr/>
          <a:lstStyle/>
          <a:p>
            <a:pPr>
              <a:defRPr b="0" sz="1000" spc="-1" strike="noStrike">
                <a:solidFill>
                  <a:srgbClr val="000000"/>
                </a:solidFill>
                <a:latin typeface="Calibri"/>
              </a:defRPr>
            </a:pPr>
          </a:p>
        </c:txPr>
        <c:crossAx val="82829852"/>
        <c:crosses val="autoZero"/>
        <c:auto val="1"/>
        <c:lblAlgn val="ctr"/>
        <c:lblOffset val="100"/>
      </c:catAx>
      <c:valAx>
        <c:axId val="82829852"/>
        <c:scaling>
          <c:orientation val="minMax"/>
        </c:scaling>
        <c:delete val="0"/>
        <c:axPos val="l"/>
        <c:numFmt formatCode="#,##0" sourceLinked="0"/>
        <c:majorTickMark val="in"/>
        <c:minorTickMark val="none"/>
        <c:tickLblPos val="nextTo"/>
        <c:spPr>
          <a:ln w="6480">
            <a:solidFill>
              <a:srgbClr val="000000"/>
            </a:solidFill>
            <a:round/>
          </a:ln>
        </c:spPr>
        <c:txPr>
          <a:bodyPr/>
          <a:lstStyle/>
          <a:p>
            <a:pPr>
              <a:defRPr b="0" sz="1000" spc="-1" strike="noStrike">
                <a:solidFill>
                  <a:srgbClr val="000000"/>
                </a:solidFill>
                <a:latin typeface="Calibri"/>
              </a:defRPr>
            </a:pPr>
          </a:p>
        </c:txPr>
        <c:crossAx val="13283207"/>
        <c:crosses val="autoZero"/>
        <c:dispUnits>
          <c:builtInUnit val="thousands"/>
          <c:dispUnitsLbl/>
        </c:dispUnits>
      </c:valAx>
      <c:spPr>
        <a:solidFill>
          <a:srgbClr val="f8f8f8"/>
        </a:solidFill>
        <a:ln>
          <a:noFill/>
        </a:ln>
      </c:spPr>
    </c:plotArea>
    <c:plotVisOnly val="1"/>
    <c:dispBlanksAs val="gap"/>
  </c:chart>
  <c:spPr>
    <a:solidFill>
      <a:srgbClr val="ffffff"/>
    </a:solidFill>
    <a:ln w="9360">
      <a:noFill/>
    </a:ln>
  </c:spPr>
</c:chartSpace>
</file>

<file path=word/charts/chart3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stacked"/>
        <c:varyColors val="0"/>
        <c:ser>
          <c:idx val="0"/>
          <c:order val="0"/>
          <c:tx>
            <c:strRef>
              <c:f>label 0</c:f>
              <c:strCache>
                <c:ptCount val="1"/>
                <c:pt idx="0">
                  <c:v>Biotehnologie, sănătate, computere și electronice</c:v>
                </c:pt>
              </c:strCache>
            </c:strRef>
          </c:tx>
          <c:spPr>
            <a:solidFill>
              <a:srgbClr val="00b0f0"/>
            </a:solidFill>
            <a:ln>
              <a:noFill/>
            </a:ln>
          </c:spPr>
          <c:invertIfNegative val="0"/>
          <c:dPt>
            <c:idx val="0"/>
            <c:invertIfNegative val="0"/>
            <c:spPr>
              <a:solidFill>
                <a:srgbClr val="00b0f0"/>
              </a:solidFill>
              <a:ln>
                <a:noFill/>
              </a:ln>
            </c:spPr>
          </c:dPt>
          <c:dPt>
            <c:idx val="1"/>
            <c:invertIfNegative val="0"/>
            <c:spPr>
              <a:solidFill>
                <a:srgbClr val="00b0f0"/>
              </a:solidFill>
              <a:ln>
                <a:noFill/>
              </a:ln>
            </c:spPr>
          </c:dPt>
          <c:dPt>
            <c:idx val="2"/>
            <c:invertIfNegative val="0"/>
            <c:spPr>
              <a:solidFill>
                <a:srgbClr val="00b0f0"/>
              </a:solidFill>
              <a:ln>
                <a:noFill/>
              </a:ln>
            </c:spPr>
          </c:dPt>
          <c:dPt>
            <c:idx val="4"/>
            <c:invertIfNegative val="0"/>
            <c:spPr>
              <a:solidFill>
                <a:srgbClr val="00b0f0"/>
              </a:solidFill>
              <a:ln>
                <a:noFill/>
              </a:ln>
            </c:spPr>
          </c:dPt>
          <c:dPt>
            <c:idx val="5"/>
            <c:invertIfNegative val="0"/>
            <c:spPr>
              <a:solidFill>
                <a:srgbClr val="00b0f0"/>
              </a:solidFill>
              <a:ln>
                <a:noFill/>
              </a:ln>
            </c:spPr>
          </c:dPt>
          <c:dPt>
            <c:idx val="7"/>
            <c:invertIfNegative val="0"/>
            <c:spPr>
              <a:solidFill>
                <a:srgbClr val="00b0f0"/>
              </a:solidFill>
              <a:ln>
                <a:noFill/>
              </a:ln>
            </c:spPr>
          </c:dPt>
          <c:dLbls>
            <c:numFmt formatCode="0%" sourceLinked="1"/>
            <c:dLbl>
              <c:idx val="0"/>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dLbl>
            <c:dLbl>
              <c:idx val="1"/>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dLbl>
            <c:dLbl>
              <c:idx val="2"/>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dLbl>
            <c:dLbl>
              <c:idx val="4"/>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dLbl>
            <c:dLbl>
              <c:idx val="5"/>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dLbl>
            <c:dLbl>
              <c:idx val="7"/>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dLbl>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0</c:f>
              <c:numCache>
                <c:formatCode>General</c:formatCode>
                <c:ptCount val="9"/>
                <c:pt idx="0">
                  <c:v>0.318334407984457</c:v>
                </c:pt>
                <c:pt idx="1">
                  <c:v>0.399466460457026</c:v>
                </c:pt>
                <c:pt idx="2">
                  <c:v>0.360431962359903</c:v>
                </c:pt>
                <c:pt idx="3">
                  <c:v/>
                </c:pt>
                <c:pt idx="4">
                  <c:v>0.539202379853853</c:v>
                </c:pt>
                <c:pt idx="5">
                  <c:v>0.409857979390066</c:v>
                </c:pt>
                <c:pt idx="6">
                  <c:v>0.235603670304958</c:v>
                </c:pt>
                <c:pt idx="7">
                  <c:v>0.437117145147911</c:v>
                </c:pt>
                <c:pt idx="8">
                  <c:v>0.38488964950575</c:v>
                </c:pt>
              </c:numCache>
            </c:numRef>
          </c:val>
        </c:ser>
        <c:ser>
          <c:idx val="1"/>
          <c:order val="1"/>
          <c:tx>
            <c:strRef>
              <c:f>label 1</c:f>
              <c:strCache>
                <c:ptCount val="1"/>
                <c:pt idx="0">
                  <c:v>Bunuri și servicii de consum</c:v>
                </c:pt>
              </c:strCache>
            </c:strRef>
          </c:tx>
          <c:spPr>
            <a:solidFill>
              <a:srgbClr val="a9d18e"/>
            </a:solidFill>
            <a:ln>
              <a:noFill/>
            </a:ln>
          </c:spPr>
          <c:invertIfNegative val="0"/>
          <c:dLbls>
            <c:numFmt formatCode="0%" sourceLinked="1"/>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1</c:f>
              <c:numCache>
                <c:formatCode>General</c:formatCode>
                <c:ptCount val="9"/>
                <c:pt idx="0">
                  <c:v>0.0743976019468176</c:v>
                </c:pt>
                <c:pt idx="1">
                  <c:v>0.151589326295316</c:v>
                </c:pt>
                <c:pt idx="2">
                  <c:v>0.22215691929676</c:v>
                </c:pt>
                <c:pt idx="3">
                  <c:v/>
                </c:pt>
                <c:pt idx="4">
                  <c:v>0.227561295339323</c:v>
                </c:pt>
                <c:pt idx="5">
                  <c:v>0.233977731178037</c:v>
                </c:pt>
                <c:pt idx="6">
                  <c:v>0.422460112754196</c:v>
                </c:pt>
                <c:pt idx="7">
                  <c:v>0.257451557144325</c:v>
                </c:pt>
                <c:pt idx="8">
                  <c:v>0.29513742247442</c:v>
                </c:pt>
              </c:numCache>
            </c:numRef>
          </c:val>
        </c:ser>
        <c:ser>
          <c:idx val="2"/>
          <c:order val="2"/>
          <c:tx>
            <c:strRef>
              <c:f>label 2</c:f>
              <c:strCache>
                <c:ptCount val="1"/>
                <c:pt idx="0">
                  <c:v>Produse și servicii business</c:v>
                </c:pt>
              </c:strCache>
            </c:strRef>
          </c:tx>
          <c:spPr>
            <a:solidFill>
              <a:srgbClr val="3494ba"/>
            </a:solidFill>
            <a:ln>
              <a:noFill/>
            </a:ln>
          </c:spPr>
          <c:invertIfNegative val="0"/>
          <c:dLbls>
            <c:numFmt formatCode="0%" sourceLinked="1"/>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2</c:f>
              <c:numCache>
                <c:formatCode>General</c:formatCode>
                <c:ptCount val="9"/>
                <c:pt idx="0">
                  <c:v>0.323884228103516</c:v>
                </c:pt>
                <c:pt idx="1">
                  <c:v>0.261968249567514</c:v>
                </c:pt>
                <c:pt idx="2">
                  <c:v>0.200060884040321</c:v>
                </c:pt>
                <c:pt idx="3">
                  <c:v/>
                </c:pt>
                <c:pt idx="4">
                  <c:v>0.0604941589228846</c:v>
                </c:pt>
                <c:pt idx="5">
                  <c:v>0.069510718870136</c:v>
                </c:pt>
                <c:pt idx="6">
                  <c:v>0.143366044278177</c:v>
                </c:pt>
                <c:pt idx="7">
                  <c:v>0.0563241639631999</c:v>
                </c:pt>
                <c:pt idx="8">
                  <c:v>0.0844562724267658</c:v>
                </c:pt>
              </c:numCache>
            </c:numRef>
          </c:val>
        </c:ser>
        <c:ser>
          <c:idx val="3"/>
          <c:order val="3"/>
          <c:tx>
            <c:strRef>
              <c:f>label 3</c:f>
              <c:strCache>
                <c:ptCount val="1"/>
                <c:pt idx="0">
                  <c:v>Activități financiare și de asigurări</c:v>
                </c:pt>
              </c:strCache>
            </c:strRef>
          </c:tx>
          <c:spPr>
            <a:solidFill>
              <a:srgbClr val="266066"/>
            </a:solidFill>
            <a:ln>
              <a:noFill/>
            </a:ln>
          </c:spPr>
          <c:invertIfNegative val="0"/>
          <c:dLbls>
            <c:numFmt formatCode="0%" sourceLinked="1"/>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3</c:f>
              <c:numCache>
                <c:formatCode>General</c:formatCode>
                <c:ptCount val="9"/>
                <c:pt idx="0">
                  <c:v>0.107891712843774</c:v>
                </c:pt>
                <c:pt idx="1">
                  <c:v>0.0382945987615496</c:v>
                </c:pt>
                <c:pt idx="2">
                  <c:v>0.0745099252978178</c:v>
                </c:pt>
                <c:pt idx="3">
                  <c:v/>
                </c:pt>
                <c:pt idx="4">
                  <c:v>0.057683113838787</c:v>
                </c:pt>
                <c:pt idx="5">
                  <c:v>0.0645003896517861</c:v>
                </c:pt>
                <c:pt idx="6">
                  <c:v>0.0641491184506299</c:v>
                </c:pt>
                <c:pt idx="7">
                  <c:v>0.0714126290163266</c:v>
                </c:pt>
                <c:pt idx="8">
                  <c:v>0.080042858343971</c:v>
                </c:pt>
              </c:numCache>
            </c:numRef>
          </c:val>
        </c:ser>
        <c:ser>
          <c:idx val="4"/>
          <c:order val="4"/>
          <c:tx>
            <c:strRef>
              <c:f>label 4</c:f>
              <c:strCache>
                <c:ptCount val="1"/>
                <c:pt idx="0">
                  <c:v>Energie și mediu</c:v>
                </c:pt>
              </c:strCache>
            </c:strRef>
          </c:tx>
          <c:spPr>
            <a:solidFill>
              <a:srgbClr val="3a8f98"/>
            </a:solidFill>
            <a:ln>
              <a:noFill/>
            </a:ln>
          </c:spPr>
          <c:invertIfNegative val="0"/>
          <c:dLbls>
            <c:numFmt formatCode="0%" sourceLinked="1"/>
            <c:txPr>
              <a:bodyPr/>
              <a:lstStyle/>
              <a:p>
                <a:pPr>
                  <a:defRPr b="0" sz="900" spc="-1" strike="noStrike">
                    <a:solidFill>
                      <a:srgbClr val="ffffff"/>
                    </a:solidFill>
                    <a:latin typeface="Arial Narrow"/>
                    <a:ea typeface="Calibri"/>
                  </a:defRPr>
                </a:pPr>
              </a:p>
            </c:txPr>
            <c:dLblPos val="ctr"/>
            <c:showLegendKey val="0"/>
            <c:showVal val="1"/>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4</c:f>
              <c:numCache>
                <c:formatCode>General</c:formatCode>
                <c:ptCount val="9"/>
                <c:pt idx="0">
                  <c:v>0.106935155313935</c:v>
                </c:pt>
                <c:pt idx="1">
                  <c:v>0.0280706652490288</c:v>
                </c:pt>
                <c:pt idx="2">
                  <c:v>0.0453188986335428</c:v>
                </c:pt>
                <c:pt idx="3">
                  <c:v/>
                </c:pt>
                <c:pt idx="4">
                  <c:v>0.0760975551263652</c:v>
                </c:pt>
                <c:pt idx="5">
                  <c:v>0.105744796887401</c:v>
                </c:pt>
                <c:pt idx="6">
                  <c:v>0.0702127038264771</c:v>
                </c:pt>
                <c:pt idx="7">
                  <c:v>0.0591635896113936</c:v>
                </c:pt>
                <c:pt idx="8">
                  <c:v>0.0698541567615199</c:v>
                </c:pt>
              </c:numCache>
            </c:numRef>
          </c:val>
        </c:ser>
        <c:ser>
          <c:idx val="5"/>
          <c:order val="5"/>
          <c:tx>
            <c:strRef>
              <c:f>label 5</c:f>
              <c:strCache>
                <c:ptCount val="1"/>
                <c:pt idx="0">
                  <c:v>Materiale și produse chimice</c:v>
                </c:pt>
              </c:strCache>
            </c:strRef>
          </c:tx>
          <c:spPr>
            <a:solidFill>
              <a:srgbClr val="5b696b"/>
            </a:solidFill>
            <a:ln>
              <a:noFill/>
            </a:ln>
          </c:spPr>
          <c:invertIfNegative val="0"/>
          <c:dPt>
            <c:idx val="0"/>
            <c:invertIfNegative val="0"/>
            <c:spPr>
              <a:solidFill>
                <a:srgbClr val="5b696b"/>
              </a:solidFill>
              <a:ln>
                <a:noFill/>
              </a:ln>
            </c:spPr>
          </c:dPt>
          <c:dPt>
            <c:idx val="1"/>
            <c:invertIfNegative val="0"/>
            <c:spPr>
              <a:solidFill>
                <a:srgbClr val="5b696b"/>
              </a:solidFill>
              <a:ln>
                <a:noFill/>
              </a:ln>
            </c:spPr>
          </c:dPt>
          <c:dPt>
            <c:idx val="2"/>
            <c:invertIfNegative val="0"/>
            <c:spPr>
              <a:solidFill>
                <a:srgbClr val="5b696b"/>
              </a:solidFill>
              <a:ln>
                <a:noFill/>
              </a:ln>
            </c:spPr>
          </c:dPt>
          <c:dPt>
            <c:idx val="4"/>
            <c:invertIfNegative val="0"/>
            <c:spPr>
              <a:solidFill>
                <a:srgbClr val="5b696b"/>
              </a:solidFill>
              <a:ln>
                <a:noFill/>
              </a:ln>
            </c:spPr>
          </c:dPt>
          <c:dPt>
            <c:idx val="5"/>
            <c:invertIfNegative val="0"/>
            <c:spPr>
              <a:solidFill>
                <a:srgbClr val="5b696b"/>
              </a:solidFill>
              <a:ln>
                <a:noFill/>
              </a:ln>
            </c:spPr>
          </c:dPt>
          <c:dPt>
            <c:idx val="6"/>
            <c:invertIfNegative val="0"/>
            <c:spPr>
              <a:solidFill>
                <a:srgbClr val="5b696b"/>
              </a:solidFill>
              <a:ln>
                <a:noFill/>
              </a:ln>
            </c:spPr>
          </c:dPt>
          <c:dPt>
            <c:idx val="7"/>
            <c:invertIfNegative val="0"/>
            <c:spPr>
              <a:solidFill>
                <a:srgbClr val="5b696b"/>
              </a:solidFill>
              <a:ln>
                <a:noFill/>
              </a:ln>
            </c:spPr>
          </c:dPt>
          <c:dPt>
            <c:idx val="8"/>
            <c:invertIfNegative val="0"/>
            <c:spPr>
              <a:solidFill>
                <a:srgbClr val="5b696b"/>
              </a:solidFill>
              <a:ln>
                <a:noFill/>
              </a:ln>
            </c:spPr>
          </c:dPt>
          <c:dLbls>
            <c:numFmt formatCode="0%" sourceLinked="1"/>
            <c:dLbl>
              <c:idx val="0"/>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dLbl>
            <c:dLbl>
              <c:idx val="1"/>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dLbl>
            <c:dLbl>
              <c:idx val="2"/>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dLbl>
            <c:dLbl>
              <c:idx val="4"/>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dLbl>
            <c:dLbl>
              <c:idx val="5"/>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dLbl>
            <c:dLbl>
              <c:idx val="6"/>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dLbl>
            <c:dLbl>
              <c:idx val="7"/>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dLbl>
            <c:dLbl>
              <c:idx val="8"/>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dLbl>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5</c:f>
              <c:numCache>
                <c:formatCode>General</c:formatCode>
                <c:ptCount val="9"/>
                <c:pt idx="0">
                  <c:v>0.0545055078790263</c:v>
                </c:pt>
                <c:pt idx="1">
                  <c:v>0.0494553043011297</c:v>
                </c:pt>
                <c:pt idx="2">
                  <c:v>0.0266765029237414</c:v>
                </c:pt>
                <c:pt idx="3">
                  <c:v/>
                </c:pt>
                <c:pt idx="4">
                  <c:v>0.0064121736101635</c:v>
                </c:pt>
                <c:pt idx="5">
                  <c:v>0.0125236803277599</c:v>
                </c:pt>
                <c:pt idx="6">
                  <c:v>0.0060993148538872</c:v>
                </c:pt>
                <c:pt idx="7">
                  <c:v>0.0248602320152594</c:v>
                </c:pt>
                <c:pt idx="8">
                  <c:v>0.0097976536391301</c:v>
                </c:pt>
              </c:numCache>
            </c:numRef>
          </c:val>
        </c:ser>
        <c:ser>
          <c:idx val="6"/>
          <c:order val="6"/>
          <c:tx>
            <c:strRef>
              <c:f>label 6</c:f>
              <c:strCache>
                <c:ptCount val="1"/>
                <c:pt idx="0">
                  <c:v>Imobiliare și construcții</c:v>
                </c:pt>
              </c:strCache>
            </c:strRef>
          </c:tx>
          <c:spPr>
            <a:solidFill>
              <a:srgbClr val="84acb6"/>
            </a:solidFill>
            <a:ln>
              <a:noFill/>
            </a:ln>
          </c:spPr>
          <c:invertIfNegative val="0"/>
          <c:dLbls>
            <c:numFmt formatCode="0%" sourceLinked="1"/>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6</c:f>
              <c:numCache>
                <c:formatCode>General</c:formatCode>
                <c:ptCount val="9"/>
                <c:pt idx="0">
                  <c:v>0.00515925085801514</c:v>
                </c:pt>
                <c:pt idx="1">
                  <c:v>0.0350234965178204</c:v>
                </c:pt>
                <c:pt idx="2">
                  <c:v>0.0330152529014866</c:v>
                </c:pt>
                <c:pt idx="3">
                  <c:v/>
                </c:pt>
                <c:pt idx="4">
                  <c:v>0.0240530318840113</c:v>
                </c:pt>
                <c:pt idx="5">
                  <c:v>0.00767642115105687</c:v>
                </c:pt>
                <c:pt idx="6">
                  <c:v>0.00700331847082937</c:v>
                </c:pt>
                <c:pt idx="7">
                  <c:v>0.0533380139265435</c:v>
                </c:pt>
                <c:pt idx="8">
                  <c:v>0.0177876021228274</c:v>
                </c:pt>
              </c:numCache>
            </c:numRef>
          </c:val>
        </c:ser>
        <c:ser>
          <c:idx val="7"/>
          <c:order val="7"/>
          <c:tx>
            <c:strRef>
              <c:f>label 7</c:f>
              <c:strCache>
                <c:ptCount val="1"/>
                <c:pt idx="0">
                  <c:v>Altele</c:v>
                </c:pt>
              </c:strCache>
            </c:strRef>
          </c:tx>
          <c:spPr>
            <a:solidFill>
              <a:srgbClr val="7a8c8e"/>
            </a:solidFill>
            <a:ln>
              <a:noFill/>
            </a:ln>
          </c:spPr>
          <c:invertIfNegative val="0"/>
          <c:dLbls>
            <c:numFmt formatCode="0%" sourceLinked="1"/>
            <c:txPr>
              <a:bodyPr/>
              <a:lstStyle/>
              <a:p>
                <a:pPr>
                  <a:defRPr b="0" sz="1000" spc="-1" strike="noStrike">
                    <a:solidFill>
                      <a:srgbClr val="000000"/>
                    </a:solidFill>
                    <a:latin typeface="Calibri"/>
                    <a:ea typeface="Calibri"/>
                  </a:defRPr>
                </a:pPr>
              </a:p>
            </c:txPr>
            <c:dLblPos val="ctr"/>
            <c:showLegendKey val="0"/>
            <c:showVal val="0"/>
            <c:showCatName val="0"/>
            <c:showSerName val="0"/>
            <c:showPercent val="0"/>
            <c:showLeaderLines val="0"/>
          </c:dLbls>
          <c:cat>
            <c:strRef>
              <c:f>categories</c:f>
              <c:strCache>
                <c:ptCount val="9"/>
                <c:pt idx="0">
                  <c:v>Austria</c:v>
                </c:pt>
                <c:pt idx="1">
                  <c:v>Germania</c:v>
                </c:pt>
                <c:pt idx="2">
                  <c:v>Europa</c:v>
                </c:pt>
                <c:pt idx="3">
                  <c:v/>
                </c:pt>
                <c:pt idx="4">
                  <c:v>Cehia</c:v>
                </c:pt>
                <c:pt idx="5">
                  <c:v>Ungaria</c:v>
                </c:pt>
                <c:pt idx="6">
                  <c:v>Polonia</c:v>
                </c:pt>
                <c:pt idx="7">
                  <c:v>România</c:v>
                </c:pt>
                <c:pt idx="8">
                  <c:v>ECE</c:v>
                </c:pt>
              </c:strCache>
            </c:strRef>
          </c:cat>
          <c:val>
            <c:numRef>
              <c:f>7</c:f>
              <c:numCache>
                <c:formatCode>General</c:formatCode>
                <c:ptCount val="9"/>
                <c:pt idx="0">
                  <c:v>0.00889213507045921</c:v>
                </c:pt>
                <c:pt idx="1">
                  <c:v>0.0361318988506159</c:v>
                </c:pt>
                <c:pt idx="2">
                  <c:v>0.0378296545464278</c:v>
                </c:pt>
                <c:pt idx="3">
                  <c:v/>
                </c:pt>
                <c:pt idx="4">
                  <c:v>0.00849629142461218</c:v>
                </c:pt>
                <c:pt idx="5">
                  <c:v>0.0962082825437574</c:v>
                </c:pt>
                <c:pt idx="6">
                  <c:v>0.0511057170608466</c:v>
                </c:pt>
                <c:pt idx="7">
                  <c:v>0.0403326691750413</c:v>
                </c:pt>
                <c:pt idx="8">
                  <c:v>0.0580343847256162</c:v>
                </c:pt>
              </c:numCache>
            </c:numRef>
          </c:val>
        </c:ser>
        <c:gapWidth val="30"/>
        <c:overlap val="100"/>
        <c:axId val="96768383"/>
        <c:axId val="12182657"/>
      </c:barChart>
      <c:catAx>
        <c:axId val="96768383"/>
        <c:scaling>
          <c:orientation val="minMax"/>
        </c:scaling>
        <c:delete val="0"/>
        <c:axPos val="b"/>
        <c:majorGridlines>
          <c:spPr>
            <a:ln w="9360">
              <a:solidFill>
                <a:srgbClr val="ffffff"/>
              </a:solidFill>
              <a:round/>
            </a:ln>
          </c:spPr>
        </c:majorGridlines>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ea typeface="Arial Narrow"/>
              </a:defRPr>
            </a:pPr>
          </a:p>
        </c:txPr>
        <c:crossAx val="12182657"/>
        <c:crosses val="autoZero"/>
        <c:auto val="1"/>
        <c:lblAlgn val="ctr"/>
        <c:lblOffset val="100"/>
      </c:catAx>
      <c:valAx>
        <c:axId val="12182657"/>
        <c:scaling>
          <c:orientation val="minMax"/>
          <c:max val="1"/>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ea typeface="Arial Narrow"/>
              </a:defRPr>
            </a:pPr>
          </a:p>
        </c:txPr>
        <c:crossAx val="96768383"/>
        <c:crosses val="autoZero"/>
      </c:valAx>
      <c:spPr>
        <a:solidFill>
          <a:srgbClr val="f8f8f8"/>
        </a:solidFill>
        <a:ln w="9360">
          <a:noFill/>
        </a:ln>
      </c:spPr>
    </c:plotArea>
    <c:legend>
      <c:layout>
        <c:manualLayout>
          <c:xMode val="edge"/>
          <c:yMode val="edge"/>
          <c:x val="0.101875"/>
          <c:y val="0.0234444444444444"/>
          <c:w val="0.874804675292206"/>
          <c:h val="0.182020224469385"/>
        </c:manualLayout>
      </c:layout>
      <c:spPr>
        <a:noFill/>
        <a:ln>
          <a:noFill/>
        </a:ln>
      </c:spPr>
      <c:txPr>
        <a:bodyPr/>
        <a:lstStyle/>
        <a:p>
          <a:pPr>
            <a:defRPr b="0" sz="1000" spc="-1" strike="noStrike">
              <a:solidFill>
                <a:srgbClr val="000000"/>
              </a:solidFill>
              <a:latin typeface="Calibri"/>
              <a:ea typeface="Calibri"/>
            </a:defRPr>
          </a:pPr>
        </a:p>
      </c:txPr>
    </c:legend>
    <c:plotVisOnly val="1"/>
    <c:dispBlanksAs val="gap"/>
  </c:chart>
  <c:spPr>
    <a:noFill/>
    <a:ln w="9360">
      <a:noFill/>
    </a:ln>
  </c:spPr>
</c:chartSpace>
</file>

<file path=word/charts/chart38.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Total dezinvestiții</c:v>
                </c:pt>
              </c:strCache>
            </c:strRef>
          </c:tx>
          <c:spPr>
            <a:solidFill>
              <a:srgbClr val="2e75b6"/>
            </a:solidFill>
            <a:ln>
              <a:noFill/>
            </a:ln>
          </c:spPr>
          <c:invertIfNegative val="0"/>
          <c:dLbls>
            <c:numFmt formatCode="\ * #,##0\ ;\ * \(#,##0\);\ * \-#\ ;\ @\ "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5"/>
                <c:pt idx="0">
                  <c:v>2007</c:v>
                </c:pt>
                <c:pt idx="1">
                  <c:v> '08</c:v>
                </c:pt>
                <c:pt idx="2">
                  <c:v> '09</c:v>
                </c:pt>
                <c:pt idx="3">
                  <c:v> '10</c:v>
                </c:pt>
                <c:pt idx="4">
                  <c:v> '11</c:v>
                </c:pt>
                <c:pt idx="5">
                  <c:v> '12</c:v>
                </c:pt>
                <c:pt idx="6">
                  <c:v> '13</c:v>
                </c:pt>
                <c:pt idx="7">
                  <c:v> '14</c:v>
                </c:pt>
                <c:pt idx="8">
                  <c:v> '15</c:v>
                </c:pt>
                <c:pt idx="9">
                  <c:v> '16</c:v>
                </c:pt>
                <c:pt idx="10">
                  <c:v> '17</c:v>
                </c:pt>
                <c:pt idx="11">
                  <c:v> '18</c:v>
                </c:pt>
                <c:pt idx="12">
                  <c:v> '19</c:v>
                </c:pt>
                <c:pt idx="13">
                  <c:v> '20</c:v>
                </c:pt>
                <c:pt idx="14">
                  <c:v> '21</c:v>
                </c:pt>
              </c:strCache>
            </c:strRef>
          </c:cat>
          <c:val>
            <c:numRef>
              <c:f>0</c:f>
              <c:numCache>
                <c:formatCode>General</c:formatCode>
                <c:ptCount val="15"/>
                <c:pt idx="0">
                  <c:v>531296.825828184</c:v>
                </c:pt>
                <c:pt idx="1">
                  <c:v>495956.053583395</c:v>
                </c:pt>
                <c:pt idx="2">
                  <c:v>209698.15514206</c:v>
                </c:pt>
                <c:pt idx="3">
                  <c:v>407493.959321786</c:v>
                </c:pt>
                <c:pt idx="4">
                  <c:v>1950463.05663682</c:v>
                </c:pt>
                <c:pt idx="5">
                  <c:v>1199329.46796201</c:v>
                </c:pt>
                <c:pt idx="6">
                  <c:v>1053284.60723797</c:v>
                </c:pt>
                <c:pt idx="7">
                  <c:v>1408049.31283273</c:v>
                </c:pt>
                <c:pt idx="8">
                  <c:v>1431507.39620197</c:v>
                </c:pt>
                <c:pt idx="9">
                  <c:v>1203791.49721688</c:v>
                </c:pt>
                <c:pt idx="10">
                  <c:v>1265105.30455365</c:v>
                </c:pt>
                <c:pt idx="11">
                  <c:v>1225466.52315972</c:v>
                </c:pt>
                <c:pt idx="12">
                  <c:v>949336.749633795</c:v>
                </c:pt>
                <c:pt idx="13">
                  <c:v>1774042.324917</c:v>
                </c:pt>
                <c:pt idx="14">
                  <c:v>1467356.04</c:v>
                </c:pt>
              </c:numCache>
            </c:numRef>
          </c:val>
        </c:ser>
        <c:gapWidth val="60"/>
        <c:overlap val="0"/>
        <c:axId val="30976855"/>
        <c:axId val="57711376"/>
      </c:barChart>
      <c:lineChart>
        <c:grouping val="standard"/>
        <c:varyColors val="0"/>
        <c:ser>
          <c:idx val="1"/>
          <c:order val="1"/>
          <c:tx>
            <c:strRef>
              <c:f>label 1</c:f>
              <c:strCache>
                <c:ptCount val="1"/>
                <c:pt idx="0">
                  <c:v>Companii din care s-a dezinvestit (axa dreaptă)</c:v>
                </c:pt>
              </c:strCache>
            </c:strRef>
          </c:tx>
          <c:spPr>
            <a:solidFill>
              <a:srgbClr val="ffffff"/>
            </a:solidFill>
            <a:ln w="6480">
              <a:noFill/>
            </a:ln>
          </c:spPr>
          <c:marker>
            <c:symbol val="diamond"/>
            <c:size val="6"/>
            <c:spPr>
              <a:solidFill>
                <a:srgbClr val="ffffff"/>
              </a:solidFill>
            </c:spPr>
          </c:marker>
          <c:dLbls>
            <c:numFmt formatCode="General"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15"/>
                <c:pt idx="0">
                  <c:v>2007</c:v>
                </c:pt>
                <c:pt idx="1">
                  <c:v> '08</c:v>
                </c:pt>
                <c:pt idx="2">
                  <c:v> '09</c:v>
                </c:pt>
                <c:pt idx="3">
                  <c:v> '10</c:v>
                </c:pt>
                <c:pt idx="4">
                  <c:v> '11</c:v>
                </c:pt>
                <c:pt idx="5">
                  <c:v> '12</c:v>
                </c:pt>
                <c:pt idx="6">
                  <c:v> '13</c:v>
                </c:pt>
                <c:pt idx="7">
                  <c:v> '14</c:v>
                </c:pt>
                <c:pt idx="8">
                  <c:v> '15</c:v>
                </c:pt>
                <c:pt idx="9">
                  <c:v> '16</c:v>
                </c:pt>
                <c:pt idx="10">
                  <c:v> '17</c:v>
                </c:pt>
                <c:pt idx="11">
                  <c:v> '18</c:v>
                </c:pt>
                <c:pt idx="12">
                  <c:v> '19</c:v>
                </c:pt>
                <c:pt idx="13">
                  <c:v> '20</c:v>
                </c:pt>
                <c:pt idx="14">
                  <c:v> '21</c:v>
                </c:pt>
              </c:strCache>
            </c:strRef>
          </c:cat>
          <c:val>
            <c:numRef>
              <c:f>1</c:f>
              <c:numCache>
                <c:formatCode>General</c:formatCode>
                <c:ptCount val="15"/>
                <c:pt idx="0">
                  <c:v>66</c:v>
                </c:pt>
                <c:pt idx="1">
                  <c:v>56</c:v>
                </c:pt>
                <c:pt idx="2">
                  <c:v>46</c:v>
                </c:pt>
                <c:pt idx="3">
                  <c:v>55</c:v>
                </c:pt>
                <c:pt idx="4">
                  <c:v>74</c:v>
                </c:pt>
                <c:pt idx="5">
                  <c:v>67</c:v>
                </c:pt>
                <c:pt idx="6">
                  <c:v>95</c:v>
                </c:pt>
                <c:pt idx="7">
                  <c:v>84</c:v>
                </c:pt>
                <c:pt idx="8">
                  <c:v>118</c:v>
                </c:pt>
                <c:pt idx="9">
                  <c:v>119</c:v>
                </c:pt>
                <c:pt idx="10">
                  <c:v>107</c:v>
                </c:pt>
                <c:pt idx="11">
                  <c:v>146</c:v>
                </c:pt>
                <c:pt idx="12">
                  <c:v>106</c:v>
                </c:pt>
                <c:pt idx="13">
                  <c:v>114</c:v>
                </c:pt>
                <c:pt idx="14">
                  <c:v>163</c:v>
                </c:pt>
              </c:numCache>
            </c:numRef>
          </c:val>
          <c:smooth val="0"/>
        </c:ser>
        <c:hiLowLines>
          <c:spPr>
            <a:ln>
              <a:noFill/>
            </a:ln>
          </c:spPr>
        </c:hiLowLines>
        <c:marker val="1"/>
        <c:axId val="63829950"/>
        <c:axId val="16322671"/>
      </c:lineChart>
      <c:catAx>
        <c:axId val="30976855"/>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defRPr>
            </a:pPr>
          </a:p>
        </c:txPr>
        <c:crossAx val="57711376"/>
        <c:crosses val="autoZero"/>
        <c:auto val="1"/>
        <c:lblAlgn val="ctr"/>
        <c:lblOffset val="100"/>
      </c:catAx>
      <c:valAx>
        <c:axId val="57711376"/>
        <c:scaling>
          <c:orientation val="minMax"/>
        </c:scaling>
        <c:delete val="0"/>
        <c:axPos val="l"/>
        <c:numFmt formatCode="#,##0"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defRPr>
            </a:pPr>
          </a:p>
        </c:txPr>
        <c:crossAx val="30976855"/>
        <c:crosses val="autoZero"/>
        <c:majorUnit val="500000"/>
        <c:dispUnits>
          <c:builtInUnit val="thousands"/>
          <c:dispUnitsLbl/>
        </c:dispUnits>
      </c:valAx>
      <c:catAx>
        <c:axId val="63829950"/>
        <c:scaling>
          <c:orientation val="minMax"/>
        </c:scaling>
        <c:delete val="1"/>
        <c:axPos val="t"/>
        <c:numFmt formatCode="DD/MM/YYYY" sourceLinked="1"/>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6322671"/>
        <c:crosses val="autoZero"/>
        <c:auto val="1"/>
        <c:lblAlgn val="ctr"/>
        <c:lblOffset val="100"/>
      </c:catAx>
      <c:valAx>
        <c:axId val="16322671"/>
        <c:scaling>
          <c:orientation val="minMax"/>
        </c:scaling>
        <c:delete val="0"/>
        <c:axPos val="r"/>
        <c:numFmt formatCode="#,##0" sourceLinked="0"/>
        <c:majorTickMark val="out"/>
        <c:minorTickMark val="none"/>
        <c:tickLblPos val="nextTo"/>
        <c:spPr>
          <a:ln w="6480">
            <a:solidFill>
              <a:srgbClr val="404040"/>
            </a:solidFill>
            <a:round/>
          </a:ln>
        </c:spPr>
        <c:txPr>
          <a:bodyPr/>
          <a:lstStyle/>
          <a:p>
            <a:pPr>
              <a:defRPr b="0" sz="1000" spc="-1" strike="noStrike">
                <a:solidFill>
                  <a:srgbClr val="000000"/>
                </a:solidFill>
                <a:latin typeface="Calibri"/>
              </a:defRPr>
            </a:pPr>
          </a:p>
        </c:txPr>
        <c:crossAx val="63829950"/>
        <c:crosses val="max"/>
        <c:majorUnit val="40"/>
      </c:valAx>
      <c:spPr>
        <a:solidFill>
          <a:srgbClr val="f8f8f8"/>
        </a:solidFill>
        <a:ln>
          <a:noFill/>
        </a:ln>
      </c:spPr>
    </c:plotArea>
    <c:legend>
      <c:layout>
        <c:manualLayout>
          <c:xMode val="edge"/>
          <c:yMode val="edge"/>
          <c:x val="0.1331875"/>
          <c:y val="0.0201111111111111"/>
          <c:w val="0.791049440590037"/>
          <c:h val="0.125236137348594"/>
        </c:manualLayout>
      </c:layout>
      <c:spPr>
        <a:noFill/>
        <a:ln>
          <a:noFill/>
        </a:ln>
      </c:spPr>
      <c:txPr>
        <a:bodyPr/>
        <a:lstStyle/>
        <a:p>
          <a:pPr>
            <a:defRPr b="0" sz="1000" spc="-1" strike="noStrike">
              <a:solidFill>
                <a:srgbClr val="000000"/>
              </a:solidFill>
              <a:latin typeface="Calibri"/>
            </a:defRPr>
          </a:pPr>
        </a:p>
      </c:txPr>
    </c:legend>
    <c:plotVisOnly val="1"/>
    <c:dispBlanksAs val="gap"/>
  </c:chart>
  <c:spPr>
    <a:noFill/>
    <a:ln w="9360">
      <a:noFill/>
    </a:ln>
  </c:spPr>
</c:chartSpace>
</file>

<file path=word/charts/chart39.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Total dezinvestiții</c:v>
                </c:pt>
              </c:strCache>
            </c:strRef>
          </c:tx>
          <c:spPr>
            <a:solidFill>
              <a:srgbClr val="a9d18e">
                <a:alpha val="95000"/>
              </a:srgbClr>
            </a:solidFill>
            <a:ln>
              <a:noFill/>
            </a:ln>
          </c:spPr>
          <c:invertIfNegative val="0"/>
          <c:dLbls>
            <c:numFmt formatCode="\ * #,##0\ ;\ * \(#,##0\);\ * \-#\ ;\ @\ "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15"/>
                <c:pt idx="0">
                  <c:v>2007</c:v>
                </c:pt>
                <c:pt idx="1">
                  <c:v> '08</c:v>
                </c:pt>
                <c:pt idx="2">
                  <c:v> '09</c:v>
                </c:pt>
                <c:pt idx="3">
                  <c:v> '10</c:v>
                </c:pt>
                <c:pt idx="4">
                  <c:v> '11</c:v>
                </c:pt>
                <c:pt idx="5">
                  <c:v> '12</c:v>
                </c:pt>
                <c:pt idx="6">
                  <c:v> '13</c:v>
                </c:pt>
                <c:pt idx="7">
                  <c:v> '14</c:v>
                </c:pt>
                <c:pt idx="8">
                  <c:v> '15</c:v>
                </c:pt>
                <c:pt idx="9">
                  <c:v> '16</c:v>
                </c:pt>
                <c:pt idx="10">
                  <c:v> '17</c:v>
                </c:pt>
                <c:pt idx="11">
                  <c:v> '18</c:v>
                </c:pt>
                <c:pt idx="12">
                  <c:v> '19</c:v>
                </c:pt>
                <c:pt idx="13">
                  <c:v> '20</c:v>
                </c:pt>
                <c:pt idx="14">
                  <c:v> '21</c:v>
                </c:pt>
              </c:strCache>
            </c:strRef>
          </c:cat>
          <c:val>
            <c:numRef>
              <c:f>0</c:f>
              <c:numCache>
                <c:formatCode>General</c:formatCode>
                <c:ptCount val="15"/>
                <c:pt idx="0">
                  <c:v>19524.1568361963</c:v>
                </c:pt>
                <c:pt idx="1">
                  <c:v>85672.3436227085</c:v>
                </c:pt>
                <c:pt idx="2">
                  <c:v>13621.5512444905</c:v>
                </c:pt>
                <c:pt idx="3">
                  <c:v>26705.1902860238</c:v>
                </c:pt>
                <c:pt idx="4">
                  <c:v>31777.137396834</c:v>
                </c:pt>
                <c:pt idx="5">
                  <c:v>131598.971419572</c:v>
                </c:pt>
                <c:pt idx="6">
                  <c:v>46188.1209571096</c:v>
                </c:pt>
                <c:pt idx="7">
                  <c:v>70744.0407118284</c:v>
                </c:pt>
                <c:pt idx="8">
                  <c:v>75305.8323026512</c:v>
                </c:pt>
                <c:pt idx="9">
                  <c:v>137596.979873136</c:v>
                </c:pt>
                <c:pt idx="10">
                  <c:v>144020.111114267</c:v>
                </c:pt>
                <c:pt idx="11">
                  <c:v>97434.2303194852</c:v>
                </c:pt>
                <c:pt idx="12">
                  <c:v>54833.00953215</c:v>
                </c:pt>
                <c:pt idx="13">
                  <c:v>48269.72349</c:v>
                </c:pt>
                <c:pt idx="14">
                  <c:v>126498.01</c:v>
                </c:pt>
              </c:numCache>
            </c:numRef>
          </c:val>
        </c:ser>
        <c:gapWidth val="60"/>
        <c:overlap val="0"/>
        <c:axId val="62224769"/>
        <c:axId val="6005166"/>
      </c:barChart>
      <c:lineChart>
        <c:grouping val="standard"/>
        <c:varyColors val="0"/>
        <c:ser>
          <c:idx val="1"/>
          <c:order val="1"/>
          <c:tx>
            <c:strRef>
              <c:f>label 1</c:f>
              <c:strCache>
                <c:ptCount val="1"/>
                <c:pt idx="0">
                  <c:v>Companii din care s-a dezinvestit (axa dreaptă)</c:v>
                </c:pt>
              </c:strCache>
            </c:strRef>
          </c:tx>
          <c:spPr>
            <a:solidFill>
              <a:srgbClr val="ffffff"/>
            </a:solidFill>
            <a:ln w="6480">
              <a:noFill/>
            </a:ln>
          </c:spPr>
          <c:marker>
            <c:symbol val="diamond"/>
            <c:size val="6"/>
            <c:spPr>
              <a:solidFill>
                <a:srgbClr val="ffffff"/>
              </a:solidFill>
            </c:spPr>
          </c:marker>
          <c:dLbls>
            <c:numFmt formatCode="General"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15"/>
                <c:pt idx="0">
                  <c:v>2007</c:v>
                </c:pt>
                <c:pt idx="1">
                  <c:v> '08</c:v>
                </c:pt>
                <c:pt idx="2">
                  <c:v> '09</c:v>
                </c:pt>
                <c:pt idx="3">
                  <c:v> '10</c:v>
                </c:pt>
                <c:pt idx="4">
                  <c:v> '11</c:v>
                </c:pt>
                <c:pt idx="5">
                  <c:v> '12</c:v>
                </c:pt>
                <c:pt idx="6">
                  <c:v> '13</c:v>
                </c:pt>
                <c:pt idx="7">
                  <c:v> '14</c:v>
                </c:pt>
                <c:pt idx="8">
                  <c:v> '15</c:v>
                </c:pt>
                <c:pt idx="9">
                  <c:v> '16</c:v>
                </c:pt>
                <c:pt idx="10">
                  <c:v> '17</c:v>
                </c:pt>
                <c:pt idx="11">
                  <c:v> '18</c:v>
                </c:pt>
                <c:pt idx="12">
                  <c:v> '19</c:v>
                </c:pt>
                <c:pt idx="13">
                  <c:v> '20</c:v>
                </c:pt>
                <c:pt idx="14">
                  <c:v> '21</c:v>
                </c:pt>
              </c:strCache>
            </c:strRef>
          </c:cat>
          <c:val>
            <c:numRef>
              <c:f>1</c:f>
              <c:numCache>
                <c:formatCode>General</c:formatCode>
                <c:ptCount val="15"/>
                <c:pt idx="0">
                  <c:v>5</c:v>
                </c:pt>
                <c:pt idx="1">
                  <c:v>7</c:v>
                </c:pt>
                <c:pt idx="2">
                  <c:v>4</c:v>
                </c:pt>
                <c:pt idx="3">
                  <c:v>6</c:v>
                </c:pt>
                <c:pt idx="4">
                  <c:v>3</c:v>
                </c:pt>
                <c:pt idx="5">
                  <c:v>3</c:v>
                </c:pt>
                <c:pt idx="6">
                  <c:v>6</c:v>
                </c:pt>
                <c:pt idx="7">
                  <c:v>8</c:v>
                </c:pt>
                <c:pt idx="8">
                  <c:v>6</c:v>
                </c:pt>
                <c:pt idx="9">
                  <c:v>18</c:v>
                </c:pt>
                <c:pt idx="10">
                  <c:v>13</c:v>
                </c:pt>
                <c:pt idx="11">
                  <c:v>5</c:v>
                </c:pt>
                <c:pt idx="12">
                  <c:v>5</c:v>
                </c:pt>
                <c:pt idx="13">
                  <c:v>9</c:v>
                </c:pt>
                <c:pt idx="14">
                  <c:v>12</c:v>
                </c:pt>
              </c:numCache>
            </c:numRef>
          </c:val>
          <c:smooth val="0"/>
        </c:ser>
        <c:hiLowLines>
          <c:spPr>
            <a:ln>
              <a:noFill/>
            </a:ln>
          </c:spPr>
        </c:hiLowLines>
        <c:marker val="1"/>
        <c:axId val="28712091"/>
        <c:axId val="28178566"/>
      </c:lineChart>
      <c:catAx>
        <c:axId val="62224769"/>
        <c:scaling>
          <c:orientation val="minMax"/>
        </c:scaling>
        <c:delete val="0"/>
        <c:axPos val="b"/>
        <c:numFmt formatCode="DD/MM/YYYY" sourceLinked="1"/>
        <c:majorTickMark val="none"/>
        <c:minorTickMark val="none"/>
        <c:tickLblPos val="low"/>
        <c:spPr>
          <a:ln w="9360">
            <a:solidFill>
              <a:srgbClr val="000000"/>
            </a:solidFill>
            <a:round/>
          </a:ln>
        </c:spPr>
        <c:txPr>
          <a:bodyPr/>
          <a:lstStyle/>
          <a:p>
            <a:pPr>
              <a:defRPr b="0" sz="1000" spc="-1" strike="noStrike">
                <a:solidFill>
                  <a:srgbClr val="000000"/>
                </a:solidFill>
                <a:latin typeface="Calibri"/>
              </a:defRPr>
            </a:pPr>
          </a:p>
        </c:txPr>
        <c:crossAx val="6005166"/>
        <c:crosses val="autoZero"/>
        <c:auto val="1"/>
        <c:lblAlgn val="ctr"/>
        <c:lblOffset val="100"/>
      </c:catAx>
      <c:valAx>
        <c:axId val="6005166"/>
        <c:scaling>
          <c:orientation val="minMax"/>
        </c:scaling>
        <c:delete val="0"/>
        <c:axPos val="l"/>
        <c:numFmt formatCode="General" sourceLinked="0"/>
        <c:majorTickMark val="in"/>
        <c:minorTickMark val="none"/>
        <c:tickLblPos val="nextTo"/>
        <c:spPr>
          <a:ln w="9360">
            <a:solidFill>
              <a:srgbClr val="000000"/>
            </a:solidFill>
            <a:round/>
          </a:ln>
        </c:spPr>
        <c:txPr>
          <a:bodyPr/>
          <a:lstStyle/>
          <a:p>
            <a:pPr>
              <a:defRPr b="0" sz="1000" spc="-1" strike="noStrike">
                <a:solidFill>
                  <a:srgbClr val="000000"/>
                </a:solidFill>
                <a:latin typeface="Calibri"/>
              </a:defRPr>
            </a:pPr>
          </a:p>
        </c:txPr>
        <c:crossAx val="62224769"/>
        <c:crosses val="autoZero"/>
        <c:majorUnit val="40000"/>
        <c:dispUnits>
          <c:builtInUnit val="thousands"/>
          <c:dispUnitsLbl/>
        </c:dispUnits>
      </c:valAx>
      <c:catAx>
        <c:axId val="28712091"/>
        <c:scaling>
          <c:orientation val="minMax"/>
        </c:scaling>
        <c:delete val="1"/>
        <c:axPos val="t"/>
        <c:numFmt formatCode="DD/MM/YYYY" sourceLinked="1"/>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8178566"/>
        <c:crosses val="autoZero"/>
        <c:auto val="1"/>
        <c:lblAlgn val="ctr"/>
        <c:lblOffset val="100"/>
      </c:catAx>
      <c:valAx>
        <c:axId val="28178566"/>
        <c:scaling>
          <c:orientation val="minMax"/>
        </c:scaling>
        <c:delete val="0"/>
        <c:axPos val="r"/>
        <c:numFmt formatCode="#,##0" sourceLinked="0"/>
        <c:majorTickMark val="out"/>
        <c:minorTickMark val="none"/>
        <c:tickLblPos val="nextTo"/>
        <c:spPr>
          <a:ln w="6480">
            <a:solidFill>
              <a:srgbClr val="595959"/>
            </a:solidFill>
            <a:round/>
          </a:ln>
        </c:spPr>
        <c:txPr>
          <a:bodyPr/>
          <a:lstStyle/>
          <a:p>
            <a:pPr>
              <a:defRPr b="0" sz="1000" spc="-1" strike="noStrike">
                <a:solidFill>
                  <a:srgbClr val="000000"/>
                </a:solidFill>
                <a:latin typeface="Calibri"/>
              </a:defRPr>
            </a:pPr>
          </a:p>
        </c:txPr>
        <c:crossAx val="28712091"/>
        <c:crosses val="max"/>
        <c:majorUnit val="5"/>
      </c:valAx>
      <c:spPr>
        <a:solidFill>
          <a:srgbClr val="f8f8f8"/>
        </a:solidFill>
        <a:ln>
          <a:noFill/>
        </a:ln>
      </c:spPr>
    </c:plotArea>
    <c:legend>
      <c:layout>
        <c:manualLayout>
          <c:xMode val="edge"/>
          <c:yMode val="edge"/>
          <c:x val="0.11375"/>
          <c:y val="0.0201111111111111"/>
          <c:w val="0.811488218013626"/>
          <c:h val="0.131792421380153"/>
        </c:manualLayout>
      </c:layout>
      <c:spPr>
        <a:noFill/>
        <a:ln>
          <a:noFill/>
        </a:ln>
      </c:spPr>
      <c:txPr>
        <a:bodyPr/>
        <a:lstStyle/>
        <a:p>
          <a:pPr>
            <a:defRPr b="0" sz="1000" spc="-1" strike="noStrike">
              <a:solidFill>
                <a:srgbClr val="000000"/>
              </a:solidFill>
              <a:latin typeface="Calibri"/>
            </a:defRPr>
          </a:pPr>
        </a:p>
      </c:txPr>
    </c:legend>
    <c:plotVisOnly val="1"/>
    <c:dispBlanksAs val="gap"/>
  </c:chart>
  <c:spPr>
    <a:no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Zona Euro</c:v>
                </c:pt>
              </c:strCache>
            </c:strRef>
          </c:tx>
          <c:spPr>
            <a:solidFill>
              <a:srgbClr val="5b9bd5"/>
            </a:solidFill>
            <a:ln>
              <a:noFill/>
            </a:ln>
          </c:spPr>
          <c:invertIfNegative val="0"/>
          <c:dLbls>
            <c:numFmt formatCode="0.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61"/>
                <c:pt idx="0">
                  <c:v>2007</c:v>
                </c:pt>
                <c:pt idx="1">
                  <c:v/>
                </c:pt>
                <c:pt idx="2">
                  <c:v/>
                </c:pt>
                <c:pt idx="3">
                  <c:v/>
                </c:pt>
                <c:pt idx="4">
                  <c:v>2008</c:v>
                </c:pt>
                <c:pt idx="5">
                  <c:v/>
                </c:pt>
                <c:pt idx="6">
                  <c:v/>
                </c:pt>
                <c:pt idx="7">
                  <c:v/>
                </c:pt>
                <c:pt idx="8">
                  <c:v>2009</c:v>
                </c:pt>
                <c:pt idx="9">
                  <c:v/>
                </c:pt>
                <c:pt idx="10">
                  <c:v/>
                </c:pt>
                <c:pt idx="11">
                  <c:v/>
                </c:pt>
                <c:pt idx="12">
                  <c:v>2010</c:v>
                </c:pt>
                <c:pt idx="13">
                  <c:v/>
                </c:pt>
                <c:pt idx="14">
                  <c:v/>
                </c:pt>
                <c:pt idx="15">
                  <c:v/>
                </c:pt>
                <c:pt idx="16">
                  <c:v>2011</c:v>
                </c:pt>
                <c:pt idx="17">
                  <c:v/>
                </c:pt>
                <c:pt idx="18">
                  <c:v/>
                </c:pt>
                <c:pt idx="19">
                  <c:v/>
                </c:pt>
                <c:pt idx="20">
                  <c:v>2012</c:v>
                </c:pt>
                <c:pt idx="21">
                  <c:v/>
                </c:pt>
                <c:pt idx="22">
                  <c:v/>
                </c:pt>
                <c:pt idx="23">
                  <c:v/>
                </c:pt>
                <c:pt idx="24">
                  <c:v>2013</c:v>
                </c:pt>
                <c:pt idx="25">
                  <c:v/>
                </c:pt>
                <c:pt idx="26">
                  <c:v/>
                </c:pt>
                <c:pt idx="27">
                  <c:v/>
                </c:pt>
                <c:pt idx="28">
                  <c:v>2014</c:v>
                </c:pt>
                <c:pt idx="29">
                  <c:v/>
                </c:pt>
                <c:pt idx="30">
                  <c:v/>
                </c:pt>
                <c:pt idx="31">
                  <c:v/>
                </c:pt>
                <c:pt idx="32">
                  <c:v>2015</c:v>
                </c:pt>
                <c:pt idx="33">
                  <c:v/>
                </c:pt>
                <c:pt idx="34">
                  <c:v/>
                </c:pt>
                <c:pt idx="35">
                  <c:v/>
                </c:pt>
                <c:pt idx="36">
                  <c:v>2016</c:v>
                </c:pt>
                <c:pt idx="37">
                  <c:v/>
                </c:pt>
                <c:pt idx="38">
                  <c:v/>
                </c:pt>
                <c:pt idx="39">
                  <c:v/>
                </c:pt>
                <c:pt idx="40">
                  <c:v>2017</c:v>
                </c:pt>
                <c:pt idx="41">
                  <c:v/>
                </c:pt>
                <c:pt idx="42">
                  <c:v/>
                </c:pt>
                <c:pt idx="43">
                  <c:v/>
                </c:pt>
                <c:pt idx="44">
                  <c:v>2018</c:v>
                </c:pt>
                <c:pt idx="45">
                  <c:v/>
                </c:pt>
                <c:pt idx="46">
                  <c:v/>
                </c:pt>
                <c:pt idx="47">
                  <c:v/>
                </c:pt>
                <c:pt idx="48">
                  <c:v>2019</c:v>
                </c:pt>
                <c:pt idx="49">
                  <c:v/>
                </c:pt>
                <c:pt idx="50">
                  <c:v/>
                </c:pt>
                <c:pt idx="51">
                  <c:v/>
                </c:pt>
                <c:pt idx="52">
                  <c:v>2020</c:v>
                </c:pt>
                <c:pt idx="53">
                  <c:v/>
                </c:pt>
                <c:pt idx="54">
                  <c:v/>
                </c:pt>
                <c:pt idx="55">
                  <c:v/>
                </c:pt>
                <c:pt idx="56">
                  <c:v>2021</c:v>
                </c:pt>
                <c:pt idx="57">
                  <c:v/>
                </c:pt>
                <c:pt idx="58">
                  <c:v/>
                </c:pt>
                <c:pt idx="59">
                  <c:v/>
                </c:pt>
                <c:pt idx="60">
                  <c:v>2022</c:v>
                </c:pt>
              </c:strCache>
            </c:strRef>
          </c:cat>
          <c:val>
            <c:numRef>
              <c:f>0</c:f>
              <c:numCache>
                <c:formatCode>General</c:formatCode>
                <c:ptCount val="61"/>
                <c:pt idx="0">
                  <c:v>0.687</c:v>
                </c:pt>
                <c:pt idx="1">
                  <c:v>0.687</c:v>
                </c:pt>
                <c:pt idx="2">
                  <c:v>0.677</c:v>
                </c:pt>
                <c:pt idx="3">
                  <c:v>0.661</c:v>
                </c:pt>
                <c:pt idx="4">
                  <c:v>0.669</c:v>
                </c:pt>
                <c:pt idx="5">
                  <c:v>0.672</c:v>
                </c:pt>
                <c:pt idx="6">
                  <c:v>0.673</c:v>
                </c:pt>
                <c:pt idx="7">
                  <c:v>0.697</c:v>
                </c:pt>
                <c:pt idx="8">
                  <c:v>0.737</c:v>
                </c:pt>
                <c:pt idx="9">
                  <c:v>0.772</c:v>
                </c:pt>
                <c:pt idx="10">
                  <c:v>0.792</c:v>
                </c:pt>
                <c:pt idx="11">
                  <c:v>0.803</c:v>
                </c:pt>
                <c:pt idx="12">
                  <c:v>0.82</c:v>
                </c:pt>
                <c:pt idx="13">
                  <c:v>0.833</c:v>
                </c:pt>
                <c:pt idx="14">
                  <c:v>0.834</c:v>
                </c:pt>
                <c:pt idx="15">
                  <c:v>0.857</c:v>
                </c:pt>
                <c:pt idx="16">
                  <c:v>0.864</c:v>
                </c:pt>
                <c:pt idx="17">
                  <c:v>0.872</c:v>
                </c:pt>
                <c:pt idx="18">
                  <c:v>0.871</c:v>
                </c:pt>
                <c:pt idx="19">
                  <c:v>0.876</c:v>
                </c:pt>
                <c:pt idx="20">
                  <c:v>0.884</c:v>
                </c:pt>
                <c:pt idx="21">
                  <c:v>0.9</c:v>
                </c:pt>
                <c:pt idx="22">
                  <c:v>0.901</c:v>
                </c:pt>
                <c:pt idx="23">
                  <c:v>0.911</c:v>
                </c:pt>
                <c:pt idx="24">
                  <c:v>0.93</c:v>
                </c:pt>
                <c:pt idx="25">
                  <c:v>0.939</c:v>
                </c:pt>
                <c:pt idx="26">
                  <c:v>0.932</c:v>
                </c:pt>
                <c:pt idx="27">
                  <c:v>0.93</c:v>
                </c:pt>
                <c:pt idx="28">
                  <c:v>0.939</c:v>
                </c:pt>
                <c:pt idx="29">
                  <c:v>0.944</c:v>
                </c:pt>
                <c:pt idx="30">
                  <c:v>0.937</c:v>
                </c:pt>
                <c:pt idx="31">
                  <c:v>0.932</c:v>
                </c:pt>
                <c:pt idx="32">
                  <c:v>0.939</c:v>
                </c:pt>
                <c:pt idx="33">
                  <c:v>0.932</c:v>
                </c:pt>
                <c:pt idx="34">
                  <c:v>0.925</c:v>
                </c:pt>
                <c:pt idx="35">
                  <c:v>0.913</c:v>
                </c:pt>
                <c:pt idx="36">
                  <c:v>0.925</c:v>
                </c:pt>
                <c:pt idx="37">
                  <c:v>0.924</c:v>
                </c:pt>
                <c:pt idx="38">
                  <c:v>0.913</c:v>
                </c:pt>
                <c:pt idx="39">
                  <c:v>0.905</c:v>
                </c:pt>
                <c:pt idx="40">
                  <c:v>0.907</c:v>
                </c:pt>
                <c:pt idx="41">
                  <c:v>0.905</c:v>
                </c:pt>
                <c:pt idx="42">
                  <c:v>0.896</c:v>
                </c:pt>
                <c:pt idx="43">
                  <c:v>0.88</c:v>
                </c:pt>
                <c:pt idx="44">
                  <c:v>0.879</c:v>
                </c:pt>
                <c:pt idx="45">
                  <c:v>0.874</c:v>
                </c:pt>
                <c:pt idx="46">
                  <c:v>0.873</c:v>
                </c:pt>
                <c:pt idx="47">
                  <c:v>0.859</c:v>
                </c:pt>
                <c:pt idx="48">
                  <c:v>0.864</c:v>
                </c:pt>
                <c:pt idx="49">
                  <c:v>0.862</c:v>
                </c:pt>
                <c:pt idx="50">
                  <c:v>0.857</c:v>
                </c:pt>
                <c:pt idx="51">
                  <c:v>0.839</c:v>
                </c:pt>
                <c:pt idx="52">
                  <c:v>0.861</c:v>
                </c:pt>
                <c:pt idx="53">
                  <c:v>0.948</c:v>
                </c:pt>
                <c:pt idx="54">
                  <c:v>0.97</c:v>
                </c:pt>
                <c:pt idx="55">
                  <c:v>0.974</c:v>
                </c:pt>
                <c:pt idx="56">
                  <c:v>1</c:v>
                </c:pt>
                <c:pt idx="57">
                  <c:v>0.982</c:v>
                </c:pt>
                <c:pt idx="58">
                  <c:v>0.976</c:v>
                </c:pt>
                <c:pt idx="59">
                  <c:v>0.957</c:v>
                </c:pt>
                <c:pt idx="60">
                  <c:v>0.956</c:v>
                </c:pt>
              </c:numCache>
            </c:numRef>
          </c:val>
        </c:ser>
        <c:gapWidth val="86"/>
        <c:overlap val="-27"/>
        <c:axId val="607101"/>
        <c:axId val="76620443"/>
      </c:barChart>
      <c:catAx>
        <c:axId val="607101"/>
        <c:scaling>
          <c:orientation val="minMax"/>
        </c:scaling>
        <c:delete val="0"/>
        <c:axPos val="b"/>
        <c:numFmt formatCode="DD/MM/YYYY" sourceLinked="1"/>
        <c:majorTickMark val="none"/>
        <c:minorTickMark val="none"/>
        <c:tickLblPos val="nextTo"/>
        <c:spPr>
          <a:ln w="9360">
            <a:solidFill>
              <a:srgbClr val="d9d9d9"/>
            </a:solidFill>
            <a:round/>
          </a:ln>
        </c:spPr>
        <c:txPr>
          <a:bodyPr/>
          <a:lstStyle/>
          <a:p>
            <a:pPr>
              <a:defRPr b="0" sz="800" spc="-1" strike="noStrike">
                <a:solidFill>
                  <a:srgbClr val="000000"/>
                </a:solidFill>
                <a:latin typeface="Calibri"/>
              </a:defRPr>
            </a:pPr>
          </a:p>
        </c:txPr>
        <c:crossAx val="76620443"/>
        <c:crosses val="autoZero"/>
        <c:auto val="1"/>
        <c:lblAlgn val="ctr"/>
        <c:lblOffset val="100"/>
      </c:catAx>
      <c:valAx>
        <c:axId val="76620443"/>
        <c:scaling>
          <c:orientation val="minMax"/>
          <c:max val="1"/>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607101"/>
        <c:crosses val="autoZero"/>
      </c:valAx>
      <c:spPr>
        <a:noFill/>
        <a:ln>
          <a:noFill/>
        </a:ln>
      </c:spPr>
    </c:plotArea>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România</c:v>
                </c:pt>
              </c:strCache>
            </c:strRef>
          </c:tx>
          <c:spPr>
            <a:solidFill>
              <a:srgbClr val="5b9bd5"/>
            </a:solidFill>
            <a:ln>
              <a:solidFill>
                <a:srgbClr val="ff0000"/>
              </a:solidFill>
            </a:ln>
          </c:spPr>
          <c:invertIfNegative val="0"/>
          <c:dLbls>
            <c:numFmt formatCode="0.00%" sourceLinked="1"/>
            <c:txPr>
              <a:bodyPr/>
              <a:lstStyle/>
              <a:p>
                <a:pPr>
                  <a:defRPr b="0" sz="1000" spc="-1" strike="noStrike">
                    <a:solidFill>
                      <a:srgbClr val="000000"/>
                    </a:solidFill>
                    <a:latin typeface="Calibri"/>
                  </a:defRPr>
                </a:pPr>
              </a:p>
            </c:txPr>
            <c:dLblPos val="outEnd"/>
            <c:showLegendKey val="0"/>
            <c:showVal val="0"/>
            <c:showCatName val="0"/>
            <c:showSerName val="0"/>
            <c:showPercent val="0"/>
            <c:showLeaderLines val="0"/>
          </c:dLbls>
          <c:cat>
            <c:strRef>
              <c:f>categories</c:f>
              <c:strCache>
                <c:ptCount val="61"/>
                <c:pt idx="0">
                  <c:v>2007</c:v>
                </c:pt>
                <c:pt idx="1">
                  <c:v/>
                </c:pt>
                <c:pt idx="2">
                  <c:v/>
                </c:pt>
                <c:pt idx="3">
                  <c:v/>
                </c:pt>
                <c:pt idx="4">
                  <c:v>2008</c:v>
                </c:pt>
                <c:pt idx="5">
                  <c:v/>
                </c:pt>
                <c:pt idx="6">
                  <c:v/>
                </c:pt>
                <c:pt idx="7">
                  <c:v/>
                </c:pt>
                <c:pt idx="8">
                  <c:v>2009</c:v>
                </c:pt>
                <c:pt idx="9">
                  <c:v/>
                </c:pt>
                <c:pt idx="10">
                  <c:v/>
                </c:pt>
                <c:pt idx="11">
                  <c:v/>
                </c:pt>
                <c:pt idx="12">
                  <c:v>2010</c:v>
                </c:pt>
                <c:pt idx="13">
                  <c:v/>
                </c:pt>
                <c:pt idx="14">
                  <c:v/>
                </c:pt>
                <c:pt idx="15">
                  <c:v/>
                </c:pt>
                <c:pt idx="16">
                  <c:v>2011</c:v>
                </c:pt>
                <c:pt idx="17">
                  <c:v/>
                </c:pt>
                <c:pt idx="18">
                  <c:v/>
                </c:pt>
                <c:pt idx="19">
                  <c:v/>
                </c:pt>
                <c:pt idx="20">
                  <c:v>2012</c:v>
                </c:pt>
                <c:pt idx="21">
                  <c:v/>
                </c:pt>
                <c:pt idx="22">
                  <c:v/>
                </c:pt>
                <c:pt idx="23">
                  <c:v/>
                </c:pt>
                <c:pt idx="24">
                  <c:v>2013</c:v>
                </c:pt>
                <c:pt idx="25">
                  <c:v/>
                </c:pt>
                <c:pt idx="26">
                  <c:v/>
                </c:pt>
                <c:pt idx="27">
                  <c:v/>
                </c:pt>
                <c:pt idx="28">
                  <c:v>2014</c:v>
                </c:pt>
                <c:pt idx="29">
                  <c:v/>
                </c:pt>
                <c:pt idx="30">
                  <c:v/>
                </c:pt>
                <c:pt idx="31">
                  <c:v/>
                </c:pt>
                <c:pt idx="32">
                  <c:v>2015</c:v>
                </c:pt>
                <c:pt idx="33">
                  <c:v/>
                </c:pt>
                <c:pt idx="34">
                  <c:v/>
                </c:pt>
                <c:pt idx="35">
                  <c:v/>
                </c:pt>
                <c:pt idx="36">
                  <c:v>2016</c:v>
                </c:pt>
                <c:pt idx="37">
                  <c:v/>
                </c:pt>
                <c:pt idx="38">
                  <c:v/>
                </c:pt>
                <c:pt idx="39">
                  <c:v/>
                </c:pt>
                <c:pt idx="40">
                  <c:v>2017</c:v>
                </c:pt>
                <c:pt idx="41">
                  <c:v/>
                </c:pt>
                <c:pt idx="42">
                  <c:v/>
                </c:pt>
                <c:pt idx="43">
                  <c:v/>
                </c:pt>
                <c:pt idx="44">
                  <c:v>2018</c:v>
                </c:pt>
                <c:pt idx="45">
                  <c:v/>
                </c:pt>
                <c:pt idx="46">
                  <c:v/>
                </c:pt>
                <c:pt idx="47">
                  <c:v/>
                </c:pt>
                <c:pt idx="48">
                  <c:v>2019</c:v>
                </c:pt>
                <c:pt idx="49">
                  <c:v/>
                </c:pt>
                <c:pt idx="50">
                  <c:v/>
                </c:pt>
                <c:pt idx="51">
                  <c:v/>
                </c:pt>
                <c:pt idx="52">
                  <c:v>2020</c:v>
                </c:pt>
                <c:pt idx="53">
                  <c:v/>
                </c:pt>
                <c:pt idx="54">
                  <c:v/>
                </c:pt>
                <c:pt idx="55">
                  <c:v/>
                </c:pt>
                <c:pt idx="56">
                  <c:v>2021</c:v>
                </c:pt>
                <c:pt idx="57">
                  <c:v/>
                </c:pt>
                <c:pt idx="58">
                  <c:v/>
                </c:pt>
                <c:pt idx="59">
                  <c:v/>
                </c:pt>
                <c:pt idx="60">
                  <c:v>2022</c:v>
                </c:pt>
              </c:strCache>
            </c:strRef>
          </c:cat>
          <c:val>
            <c:numRef>
              <c:f>0</c:f>
              <c:numCache>
                <c:formatCode>General</c:formatCode>
                <c:ptCount val="61"/>
                <c:pt idx="0">
                  <c:v>0.125</c:v>
                </c:pt>
                <c:pt idx="1">
                  <c:v>0.118</c:v>
                </c:pt>
                <c:pt idx="2">
                  <c:v>0.116</c:v>
                </c:pt>
                <c:pt idx="3">
                  <c:v>0.119</c:v>
                </c:pt>
                <c:pt idx="4">
                  <c:v>0.113</c:v>
                </c:pt>
                <c:pt idx="5">
                  <c:v>0.107</c:v>
                </c:pt>
                <c:pt idx="6">
                  <c:v>0.105</c:v>
                </c:pt>
                <c:pt idx="7">
                  <c:v>0.123</c:v>
                </c:pt>
                <c:pt idx="8">
                  <c:v>0.147</c:v>
                </c:pt>
                <c:pt idx="9">
                  <c:v>0.159</c:v>
                </c:pt>
                <c:pt idx="10">
                  <c:v>0.198</c:v>
                </c:pt>
                <c:pt idx="11">
                  <c:v>0.218</c:v>
                </c:pt>
                <c:pt idx="12">
                  <c:v>0.247</c:v>
                </c:pt>
                <c:pt idx="13">
                  <c:v>0.265</c:v>
                </c:pt>
                <c:pt idx="14">
                  <c:v>0.272</c:v>
                </c:pt>
                <c:pt idx="15">
                  <c:v>0.296</c:v>
                </c:pt>
                <c:pt idx="16">
                  <c:v>0.3</c:v>
                </c:pt>
                <c:pt idx="17">
                  <c:v>0.331</c:v>
                </c:pt>
                <c:pt idx="18">
                  <c:v>0.325</c:v>
                </c:pt>
                <c:pt idx="19">
                  <c:v>0.34</c:v>
                </c:pt>
                <c:pt idx="20">
                  <c:v>0.37</c:v>
                </c:pt>
                <c:pt idx="21">
                  <c:v>0.361</c:v>
                </c:pt>
                <c:pt idx="22">
                  <c:v>0.358</c:v>
                </c:pt>
                <c:pt idx="23">
                  <c:v>0.371</c:v>
                </c:pt>
                <c:pt idx="24">
                  <c:v>0.379</c:v>
                </c:pt>
                <c:pt idx="25">
                  <c:v>0.379</c:v>
                </c:pt>
                <c:pt idx="26">
                  <c:v>0.38</c:v>
                </c:pt>
                <c:pt idx="27">
                  <c:v>0.376</c:v>
                </c:pt>
                <c:pt idx="28">
                  <c:v>0.382</c:v>
                </c:pt>
                <c:pt idx="29">
                  <c:v>0.38</c:v>
                </c:pt>
                <c:pt idx="30">
                  <c:v>0.377</c:v>
                </c:pt>
                <c:pt idx="31">
                  <c:v>0.392</c:v>
                </c:pt>
                <c:pt idx="32">
                  <c:v>0.377</c:v>
                </c:pt>
                <c:pt idx="33">
                  <c:v>0.372</c:v>
                </c:pt>
                <c:pt idx="34">
                  <c:v>0.364</c:v>
                </c:pt>
                <c:pt idx="35">
                  <c:v>0.378</c:v>
                </c:pt>
                <c:pt idx="36">
                  <c:v>0.37</c:v>
                </c:pt>
                <c:pt idx="37">
                  <c:v>0.366</c:v>
                </c:pt>
                <c:pt idx="38">
                  <c:v>0.361</c:v>
                </c:pt>
                <c:pt idx="39">
                  <c:v>0.373</c:v>
                </c:pt>
                <c:pt idx="40">
                  <c:v>0.369</c:v>
                </c:pt>
                <c:pt idx="41">
                  <c:v>0.37</c:v>
                </c:pt>
                <c:pt idx="42">
                  <c:v>0.355</c:v>
                </c:pt>
                <c:pt idx="43">
                  <c:v>0.351</c:v>
                </c:pt>
                <c:pt idx="44">
                  <c:v>0.345</c:v>
                </c:pt>
                <c:pt idx="45">
                  <c:v>0.341</c:v>
                </c:pt>
                <c:pt idx="46">
                  <c:v>0.339</c:v>
                </c:pt>
                <c:pt idx="47">
                  <c:v>0.347</c:v>
                </c:pt>
                <c:pt idx="48">
                  <c:v>0.338</c:v>
                </c:pt>
                <c:pt idx="49">
                  <c:v>0.338</c:v>
                </c:pt>
                <c:pt idx="50">
                  <c:v>0.351</c:v>
                </c:pt>
                <c:pt idx="51">
                  <c:v>0.353</c:v>
                </c:pt>
                <c:pt idx="52">
                  <c:v>0.374</c:v>
                </c:pt>
                <c:pt idx="53">
                  <c:v>0.406</c:v>
                </c:pt>
                <c:pt idx="54">
                  <c:v>0.43</c:v>
                </c:pt>
                <c:pt idx="55">
                  <c:v>0.472</c:v>
                </c:pt>
                <c:pt idx="56">
                  <c:v>0.474</c:v>
                </c:pt>
                <c:pt idx="57">
                  <c:v>0.471</c:v>
                </c:pt>
                <c:pt idx="58">
                  <c:v>0.483</c:v>
                </c:pt>
                <c:pt idx="59">
                  <c:v>0.488</c:v>
                </c:pt>
                <c:pt idx="60">
                  <c:v>0.484</c:v>
                </c:pt>
              </c:numCache>
            </c:numRef>
          </c:val>
        </c:ser>
        <c:gapWidth val="280"/>
        <c:overlap val="-27"/>
        <c:axId val="69507662"/>
        <c:axId val="90541548"/>
      </c:barChart>
      <c:catAx>
        <c:axId val="69507662"/>
        <c:scaling>
          <c:orientation val="minMax"/>
        </c:scaling>
        <c:delete val="0"/>
        <c:axPos val="b"/>
        <c:numFmt formatCode="DD/MM/YYYY" sourceLinked="1"/>
        <c:majorTickMark val="none"/>
        <c:minorTickMark val="none"/>
        <c:tickLblPos val="nextTo"/>
        <c:spPr>
          <a:ln w="9360">
            <a:solidFill>
              <a:srgbClr val="d9d9d9"/>
            </a:solidFill>
            <a:round/>
          </a:ln>
        </c:spPr>
        <c:txPr>
          <a:bodyPr/>
          <a:lstStyle/>
          <a:p>
            <a:pPr>
              <a:defRPr b="0" sz="800" spc="-1" strike="noStrike">
                <a:solidFill>
                  <a:srgbClr val="000000"/>
                </a:solidFill>
                <a:latin typeface="Calibri"/>
              </a:defRPr>
            </a:pPr>
          </a:p>
        </c:txPr>
        <c:crossAx val="90541548"/>
        <c:crosses val="autoZero"/>
        <c:auto val="1"/>
        <c:lblAlgn val="ctr"/>
        <c:lblOffset val="100"/>
      </c:catAx>
      <c:valAx>
        <c:axId val="90541548"/>
        <c:scaling>
          <c:orientation val="minMax"/>
          <c:max val="0.5"/>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69507662"/>
        <c:crosses val="autoZero"/>
      </c:valAx>
      <c:spPr>
        <a:noFill/>
        <a:ln>
          <a:noFill/>
        </a:ln>
      </c:spPr>
    </c:plotArea>
    <c:plotVisOnly val="1"/>
    <c:dispBlanksAs val="gap"/>
  </c:chart>
  <c:spPr>
    <a:solidFill>
      <a:srgbClr val="ffffff"/>
    </a:solidFill>
    <a:ln w="9360">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stacked"/>
        <c:varyColors val="0"/>
        <c:ser>
          <c:idx val="0"/>
          <c:order val="0"/>
          <c:tx>
            <c:strRef>
              <c:f>label 0</c:f>
              <c:strCache>
                <c:ptCount val="1"/>
                <c:pt idx="0">
                  <c:v>T1</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0</c:f>
              <c:numCache>
                <c:formatCode>General</c:formatCode>
                <c:ptCount val="18"/>
                <c:pt idx="0">
                  <c:v>-1.029</c:v>
                </c:pt>
                <c:pt idx="1">
                  <c:v>-1.332</c:v>
                </c:pt>
                <c:pt idx="2">
                  <c:v>-2.892</c:v>
                </c:pt>
                <c:pt idx="3">
                  <c:v>-3.515</c:v>
                </c:pt>
                <c:pt idx="4">
                  <c:v>-0.612</c:v>
                </c:pt>
                <c:pt idx="5">
                  <c:v>-1.739</c:v>
                </c:pt>
                <c:pt idx="6">
                  <c:v>-0.779</c:v>
                </c:pt>
                <c:pt idx="7">
                  <c:v>-1.212</c:v>
                </c:pt>
                <c:pt idx="8">
                  <c:v>-0.038</c:v>
                </c:pt>
                <c:pt idx="9">
                  <c:v>0</c:v>
                </c:pt>
                <c:pt idx="10">
                  <c:v>1.525</c:v>
                </c:pt>
                <c:pt idx="11">
                  <c:v>-0.047</c:v>
                </c:pt>
                <c:pt idx="12">
                  <c:v>-0.7</c:v>
                </c:pt>
                <c:pt idx="13">
                  <c:v>-0.975</c:v>
                </c:pt>
                <c:pt idx="14">
                  <c:v>-1.193</c:v>
                </c:pt>
                <c:pt idx="15">
                  <c:v>-1.05</c:v>
                </c:pt>
                <c:pt idx="16">
                  <c:v>-2.736</c:v>
                </c:pt>
                <c:pt idx="17">
                  <c:v>-5.251</c:v>
                </c:pt>
              </c:numCache>
            </c:numRef>
          </c:val>
        </c:ser>
        <c:ser>
          <c:idx val="1"/>
          <c:order val="1"/>
          <c:tx>
            <c:strRef>
              <c:f>label 1</c:f>
              <c:strCache>
                <c:ptCount val="1"/>
                <c:pt idx="0">
                  <c:v>T2</c:v>
                </c:pt>
              </c:strCache>
            </c:strRef>
          </c:tx>
          <c:spPr>
            <a:solidFill>
              <a:srgbClr val="ed7d31"/>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1</c:f>
              <c:numCache>
                <c:formatCode>General</c:formatCode>
                <c:ptCount val="18"/>
                <c:pt idx="0">
                  <c:v>-1.985</c:v>
                </c:pt>
                <c:pt idx="1">
                  <c:v>-2.834</c:v>
                </c:pt>
                <c:pt idx="2">
                  <c:v>-4.56</c:v>
                </c:pt>
                <c:pt idx="3">
                  <c:v>-5.786</c:v>
                </c:pt>
                <c:pt idx="4">
                  <c:v>-2.082</c:v>
                </c:pt>
                <c:pt idx="5">
                  <c:v>-2.664</c:v>
                </c:pt>
                <c:pt idx="6">
                  <c:v>-2.947</c:v>
                </c:pt>
                <c:pt idx="7">
                  <c:v>-2.308</c:v>
                </c:pt>
                <c:pt idx="8">
                  <c:v>0.166</c:v>
                </c:pt>
                <c:pt idx="9">
                  <c:v>-0.758</c:v>
                </c:pt>
                <c:pt idx="10">
                  <c:v>-1.441</c:v>
                </c:pt>
                <c:pt idx="11">
                  <c:v>-1.762</c:v>
                </c:pt>
                <c:pt idx="12">
                  <c:v>-2.673</c:v>
                </c:pt>
                <c:pt idx="13">
                  <c:v>-2.742</c:v>
                </c:pt>
                <c:pt idx="14">
                  <c:v>-3.375</c:v>
                </c:pt>
                <c:pt idx="15">
                  <c:v>-2.972</c:v>
                </c:pt>
                <c:pt idx="16">
                  <c:v>-4.467</c:v>
                </c:pt>
                <c:pt idx="17">
                  <c:v>-7.047</c:v>
                </c:pt>
              </c:numCache>
            </c:numRef>
          </c:val>
        </c:ser>
        <c:ser>
          <c:idx val="2"/>
          <c:order val="2"/>
          <c:tx>
            <c:strRef>
              <c:f>label 2</c:f>
              <c:strCache>
                <c:ptCount val="1"/>
                <c:pt idx="0">
                  <c:v>T3</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2</c:f>
              <c:numCache>
                <c:formatCode>General</c:formatCode>
                <c:ptCount val="18"/>
                <c:pt idx="0">
                  <c:v>-1.585</c:v>
                </c:pt>
                <c:pt idx="1">
                  <c:v>-2.563</c:v>
                </c:pt>
                <c:pt idx="2">
                  <c:v>-4.194</c:v>
                </c:pt>
                <c:pt idx="3">
                  <c:v>-4.225</c:v>
                </c:pt>
                <c:pt idx="4">
                  <c:v>-1.177</c:v>
                </c:pt>
                <c:pt idx="5">
                  <c:v>-1.191</c:v>
                </c:pt>
                <c:pt idx="6">
                  <c:v>-1.624</c:v>
                </c:pt>
                <c:pt idx="7">
                  <c:v>-1.835</c:v>
                </c:pt>
                <c:pt idx="8">
                  <c:v>-0.639</c:v>
                </c:pt>
                <c:pt idx="9">
                  <c:v>-0.198</c:v>
                </c:pt>
                <c:pt idx="10">
                  <c:v>-0.689</c:v>
                </c:pt>
                <c:pt idx="11">
                  <c:v>0</c:v>
                </c:pt>
                <c:pt idx="12">
                  <c:v>-1.203</c:v>
                </c:pt>
                <c:pt idx="13">
                  <c:v>-3.213</c:v>
                </c:pt>
                <c:pt idx="14">
                  <c:v>-3.671</c:v>
                </c:pt>
                <c:pt idx="15">
                  <c:v>-3.759</c:v>
                </c:pt>
                <c:pt idx="16">
                  <c:v>-5.11</c:v>
                </c:pt>
                <c:pt idx="17">
                  <c:v/>
                </c:pt>
              </c:numCache>
            </c:numRef>
          </c:val>
        </c:ser>
        <c:ser>
          <c:idx val="3"/>
          <c:order val="3"/>
          <c:tx>
            <c:strRef>
              <c:f>label 3</c:f>
              <c:strCache>
                <c:ptCount val="1"/>
                <c:pt idx="0">
                  <c:v>T4</c:v>
                </c:pt>
              </c:strCache>
            </c:strRef>
          </c:tx>
          <c:spPr>
            <a:solidFill>
              <a:srgbClr val="ffc000"/>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3</c:f>
              <c:numCache>
                <c:formatCode>General</c:formatCode>
                <c:ptCount val="18"/>
                <c:pt idx="0">
                  <c:v>-2.329</c:v>
                </c:pt>
                <c:pt idx="1">
                  <c:v>-3.486</c:v>
                </c:pt>
                <c:pt idx="2">
                  <c:v>-5.65</c:v>
                </c:pt>
                <c:pt idx="3">
                  <c:v>-3.266</c:v>
                </c:pt>
                <c:pt idx="4">
                  <c:v>-1.946</c:v>
                </c:pt>
                <c:pt idx="5">
                  <c:v>-1.099</c:v>
                </c:pt>
                <c:pt idx="6">
                  <c:v>-1.349</c:v>
                </c:pt>
                <c:pt idx="7">
                  <c:v>-1.224</c:v>
                </c:pt>
                <c:pt idx="8">
                  <c:v>-0.84</c:v>
                </c:pt>
                <c:pt idx="9">
                  <c:v>0.339</c:v>
                </c:pt>
                <c:pt idx="10">
                  <c:v>-0.682</c:v>
                </c:pt>
                <c:pt idx="11">
                  <c:v>-0.534</c:v>
                </c:pt>
                <c:pt idx="12">
                  <c:v>-1.243</c:v>
                </c:pt>
                <c:pt idx="13">
                  <c:v>-2.566</c:v>
                </c:pt>
                <c:pt idx="14">
                  <c:v>-2.667</c:v>
                </c:pt>
                <c:pt idx="15">
                  <c:v>-3.121</c:v>
                </c:pt>
                <c:pt idx="16">
                  <c:v>-4.441</c:v>
                </c:pt>
                <c:pt idx="17">
                  <c:v/>
                </c:pt>
              </c:numCache>
            </c:numRef>
          </c:val>
        </c:ser>
        <c:gapWidth val="150"/>
        <c:overlap val="100"/>
        <c:axId val="84075905"/>
        <c:axId val="531029"/>
      </c:barChart>
      <c:catAx>
        <c:axId val="84075905"/>
        <c:scaling>
          <c:orientation val="minMax"/>
        </c:scaling>
        <c:delete val="0"/>
        <c:axPos val="b"/>
        <c:numFmt formatCode="DD/MM/YYYY" sourceLinked="1"/>
        <c:majorTickMark val="none"/>
        <c:minorTickMark val="none"/>
        <c:tickLblPos val="low"/>
        <c:spPr>
          <a:ln w="9360">
            <a:solidFill>
              <a:srgbClr val="d9d9d9"/>
            </a:solidFill>
            <a:round/>
          </a:ln>
        </c:spPr>
        <c:txPr>
          <a:bodyPr/>
          <a:lstStyle/>
          <a:p>
            <a:pPr>
              <a:defRPr b="0" sz="800" spc="-1" strike="noStrike">
                <a:solidFill>
                  <a:srgbClr val="000000"/>
                </a:solidFill>
                <a:latin typeface="Calibri"/>
              </a:defRPr>
            </a:pPr>
          </a:p>
        </c:txPr>
        <c:crossAx val="531029"/>
        <c:crosses val="autoZero"/>
        <c:auto val="1"/>
        <c:lblAlgn val="ctr"/>
        <c:lblOffset val="100"/>
      </c:catAx>
      <c:valAx>
        <c:axId val="531029"/>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84075905"/>
        <c:crosses val="autoZero"/>
      </c:valAx>
      <c:spPr>
        <a:noFill/>
        <a:ln>
          <a:noFill/>
        </a:ln>
      </c:spPr>
    </c:plotArea>
    <c:legend>
      <c:legendPos val="b"/>
      <c:overlay val="0"/>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stacked"/>
        <c:varyColors val="0"/>
        <c:ser>
          <c:idx val="0"/>
          <c:order val="0"/>
          <c:tx>
            <c:strRef>
              <c:f>label 0</c:f>
              <c:strCache>
                <c:ptCount val="1"/>
                <c:pt idx="0">
                  <c:v>T1</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0</c:f>
              <c:numCache>
                <c:formatCode>General</c:formatCode>
                <c:ptCount val="18"/>
                <c:pt idx="0">
                  <c:v>-1.029</c:v>
                </c:pt>
                <c:pt idx="1">
                  <c:v>-1.332</c:v>
                </c:pt>
                <c:pt idx="2">
                  <c:v>-2.892</c:v>
                </c:pt>
                <c:pt idx="3">
                  <c:v>-3.515</c:v>
                </c:pt>
                <c:pt idx="4">
                  <c:v>-0.612</c:v>
                </c:pt>
                <c:pt idx="5">
                  <c:v>-1.739</c:v>
                </c:pt>
                <c:pt idx="6">
                  <c:v>-0.779</c:v>
                </c:pt>
                <c:pt idx="7">
                  <c:v>-1.212</c:v>
                </c:pt>
                <c:pt idx="8">
                  <c:v>-0.038</c:v>
                </c:pt>
                <c:pt idx="9">
                  <c:v>0</c:v>
                </c:pt>
                <c:pt idx="10">
                  <c:v>1.525</c:v>
                </c:pt>
                <c:pt idx="11">
                  <c:v>-0.047</c:v>
                </c:pt>
                <c:pt idx="12">
                  <c:v>-0.7</c:v>
                </c:pt>
                <c:pt idx="13">
                  <c:v>-0.975</c:v>
                </c:pt>
                <c:pt idx="14">
                  <c:v>-1.193</c:v>
                </c:pt>
                <c:pt idx="15">
                  <c:v>-1.05</c:v>
                </c:pt>
                <c:pt idx="16">
                  <c:v>-2.736</c:v>
                </c:pt>
                <c:pt idx="17">
                  <c:v>-5.251</c:v>
                </c:pt>
              </c:numCache>
            </c:numRef>
          </c:val>
        </c:ser>
        <c:ser>
          <c:idx val="1"/>
          <c:order val="1"/>
          <c:tx>
            <c:strRef>
              <c:f>label 1</c:f>
              <c:strCache>
                <c:ptCount val="1"/>
                <c:pt idx="0">
                  <c:v>T2</c:v>
                </c:pt>
              </c:strCache>
            </c:strRef>
          </c:tx>
          <c:spPr>
            <a:solidFill>
              <a:srgbClr val="ed7d31"/>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1</c:f>
              <c:numCache>
                <c:formatCode>General</c:formatCode>
                <c:ptCount val="18"/>
                <c:pt idx="0">
                  <c:v>-1.985</c:v>
                </c:pt>
                <c:pt idx="1">
                  <c:v>-2.834</c:v>
                </c:pt>
                <c:pt idx="2">
                  <c:v>-4.56</c:v>
                </c:pt>
                <c:pt idx="3">
                  <c:v>-5.786</c:v>
                </c:pt>
                <c:pt idx="4">
                  <c:v>-2.082</c:v>
                </c:pt>
                <c:pt idx="5">
                  <c:v>-2.664</c:v>
                </c:pt>
                <c:pt idx="6">
                  <c:v>-2.947</c:v>
                </c:pt>
                <c:pt idx="7">
                  <c:v>-2.308</c:v>
                </c:pt>
                <c:pt idx="8">
                  <c:v>0.166</c:v>
                </c:pt>
                <c:pt idx="9">
                  <c:v>-0.758</c:v>
                </c:pt>
                <c:pt idx="10">
                  <c:v>-1.441</c:v>
                </c:pt>
                <c:pt idx="11">
                  <c:v>-1.762</c:v>
                </c:pt>
                <c:pt idx="12">
                  <c:v>-2.673</c:v>
                </c:pt>
                <c:pt idx="13">
                  <c:v>-2.742</c:v>
                </c:pt>
                <c:pt idx="14">
                  <c:v>-3.375</c:v>
                </c:pt>
                <c:pt idx="15">
                  <c:v>-2.972</c:v>
                </c:pt>
                <c:pt idx="16">
                  <c:v>-4.467</c:v>
                </c:pt>
                <c:pt idx="17">
                  <c:v>-7.047</c:v>
                </c:pt>
              </c:numCache>
            </c:numRef>
          </c:val>
        </c:ser>
        <c:ser>
          <c:idx val="2"/>
          <c:order val="2"/>
          <c:tx>
            <c:strRef>
              <c:f>label 2</c:f>
              <c:strCache>
                <c:ptCount val="1"/>
                <c:pt idx="0">
                  <c:v>T3</c:v>
                </c:pt>
              </c:strCache>
            </c:strRef>
          </c:tx>
          <c:spPr>
            <a:solidFill>
              <a:srgbClr val="a5a5a5"/>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2</c:f>
              <c:numCache>
                <c:formatCode>General</c:formatCode>
                <c:ptCount val="18"/>
                <c:pt idx="0">
                  <c:v>-1.585</c:v>
                </c:pt>
                <c:pt idx="1">
                  <c:v>-2.563</c:v>
                </c:pt>
                <c:pt idx="2">
                  <c:v>-4.194</c:v>
                </c:pt>
                <c:pt idx="3">
                  <c:v>-4.225</c:v>
                </c:pt>
                <c:pt idx="4">
                  <c:v>-1.177</c:v>
                </c:pt>
                <c:pt idx="5">
                  <c:v>-1.191</c:v>
                </c:pt>
                <c:pt idx="6">
                  <c:v>-1.624</c:v>
                </c:pt>
                <c:pt idx="7">
                  <c:v>-1.835</c:v>
                </c:pt>
                <c:pt idx="8">
                  <c:v>-0.639</c:v>
                </c:pt>
                <c:pt idx="9">
                  <c:v>-0.198</c:v>
                </c:pt>
                <c:pt idx="10">
                  <c:v>-0.689</c:v>
                </c:pt>
                <c:pt idx="11">
                  <c:v>0</c:v>
                </c:pt>
                <c:pt idx="12">
                  <c:v>-1.203</c:v>
                </c:pt>
                <c:pt idx="13">
                  <c:v>-3.213</c:v>
                </c:pt>
                <c:pt idx="14">
                  <c:v>-3.671</c:v>
                </c:pt>
                <c:pt idx="15">
                  <c:v>-3.759</c:v>
                </c:pt>
                <c:pt idx="16">
                  <c:v>-5.11</c:v>
                </c:pt>
                <c:pt idx="17">
                  <c:v/>
                </c:pt>
              </c:numCache>
            </c:numRef>
          </c:val>
        </c:ser>
        <c:ser>
          <c:idx val="3"/>
          <c:order val="3"/>
          <c:tx>
            <c:strRef>
              <c:f>label 3</c:f>
              <c:strCache>
                <c:ptCount val="1"/>
                <c:pt idx="0">
                  <c:v>T4</c:v>
                </c:pt>
              </c:strCache>
            </c:strRef>
          </c:tx>
          <c:spPr>
            <a:solidFill>
              <a:srgbClr val="ffc000"/>
            </a:solidFill>
            <a:ln>
              <a:noFill/>
            </a:ln>
          </c:spPr>
          <c:invertIfNegative val="0"/>
          <c:dLbls>
            <c:numFmt formatCode="General" sourceLinked="1"/>
            <c:txPr>
              <a:bodyPr/>
              <a:lstStyle/>
              <a:p>
                <a:pPr>
                  <a:defRPr b="0" sz="1000" spc="-1" strike="noStrike">
                    <a:solidFill>
                      <a:srgbClr val="000000"/>
                    </a:solidFill>
                    <a:latin typeface="Calibri"/>
                  </a:defRPr>
                </a:pPr>
              </a:p>
            </c:txPr>
            <c:dLblPos val="ctr"/>
            <c:showLegendKey val="0"/>
            <c:showVal val="0"/>
            <c:showCatName val="0"/>
            <c:showSerName val="0"/>
            <c:showPercent val="0"/>
            <c:showLeaderLines val="0"/>
          </c:dLbls>
          <c:cat>
            <c:strRef>
              <c:f>categories</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3</c:f>
              <c:numCache>
                <c:formatCode>General</c:formatCode>
                <c:ptCount val="18"/>
                <c:pt idx="0">
                  <c:v>-2.329</c:v>
                </c:pt>
                <c:pt idx="1">
                  <c:v>-3.486</c:v>
                </c:pt>
                <c:pt idx="2">
                  <c:v>-5.65</c:v>
                </c:pt>
                <c:pt idx="3">
                  <c:v>-3.266</c:v>
                </c:pt>
                <c:pt idx="4">
                  <c:v>-1.946</c:v>
                </c:pt>
                <c:pt idx="5">
                  <c:v>-1.099</c:v>
                </c:pt>
                <c:pt idx="6">
                  <c:v>-1.349</c:v>
                </c:pt>
                <c:pt idx="7">
                  <c:v>-1.224</c:v>
                </c:pt>
                <c:pt idx="8">
                  <c:v>-0.84</c:v>
                </c:pt>
                <c:pt idx="9">
                  <c:v>0.339</c:v>
                </c:pt>
                <c:pt idx="10">
                  <c:v>-0.682</c:v>
                </c:pt>
                <c:pt idx="11">
                  <c:v>-0.534</c:v>
                </c:pt>
                <c:pt idx="12">
                  <c:v>-1.243</c:v>
                </c:pt>
                <c:pt idx="13">
                  <c:v>-2.566</c:v>
                </c:pt>
                <c:pt idx="14">
                  <c:v>-2.667</c:v>
                </c:pt>
                <c:pt idx="15">
                  <c:v>-3.121</c:v>
                </c:pt>
                <c:pt idx="16">
                  <c:v>-4.441</c:v>
                </c:pt>
                <c:pt idx="17">
                  <c:v/>
                </c:pt>
              </c:numCache>
            </c:numRef>
          </c:val>
        </c:ser>
        <c:gapWidth val="150"/>
        <c:overlap val="100"/>
        <c:axId val="93927365"/>
        <c:axId val="91481305"/>
      </c:barChart>
      <c:catAx>
        <c:axId val="93927365"/>
        <c:scaling>
          <c:orientation val="minMax"/>
        </c:scaling>
        <c:delete val="0"/>
        <c:axPos val="b"/>
        <c:numFmt formatCode="DD/MM/YYYY" sourceLinked="1"/>
        <c:majorTickMark val="none"/>
        <c:minorTickMark val="none"/>
        <c:tickLblPos val="low"/>
        <c:spPr>
          <a:ln w="9360">
            <a:solidFill>
              <a:srgbClr val="d9d9d9"/>
            </a:solidFill>
            <a:round/>
          </a:ln>
        </c:spPr>
        <c:txPr>
          <a:bodyPr/>
          <a:lstStyle/>
          <a:p>
            <a:pPr>
              <a:defRPr b="0" sz="800" spc="-1" strike="noStrike">
                <a:solidFill>
                  <a:srgbClr val="000000"/>
                </a:solidFill>
                <a:latin typeface="Calibri"/>
              </a:defRPr>
            </a:pPr>
          </a:p>
        </c:txPr>
        <c:crossAx val="91481305"/>
        <c:crosses val="autoZero"/>
        <c:auto val="1"/>
        <c:lblAlgn val="ctr"/>
        <c:lblOffset val="100"/>
      </c:catAx>
      <c:valAx>
        <c:axId val="91481305"/>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93927365"/>
        <c:crosses val="autoZero"/>
      </c:valAx>
      <c:spPr>
        <a:noFill/>
        <a:ln>
          <a:noFill/>
        </a:ln>
      </c:spPr>
    </c:plotArea>
    <c:legend>
      <c:legendPos val="b"/>
      <c:overlay val="0"/>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1 an</c:v>
                </c:pt>
              </c:strCache>
            </c:strRef>
          </c:tx>
          <c:spPr>
            <a:solidFill>
              <a:srgbClr val="5b9bd5"/>
            </a:solidFill>
            <a:ln w="28440">
              <a:solidFill>
                <a:srgbClr val="5b9bd5"/>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56"/>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strCache>
            </c:strRef>
          </c:cat>
          <c:val>
            <c:numRef>
              <c:f>0</c:f>
              <c:numCache>
                <c:formatCode>General</c:formatCode>
                <c:ptCount val="56"/>
                <c:pt idx="0">
                  <c:v>-0.006583</c:v>
                </c:pt>
                <c:pt idx="1">
                  <c:v>-0.0066463</c:v>
                </c:pt>
                <c:pt idx="2">
                  <c:v>-0.0069289</c:v>
                </c:pt>
                <c:pt idx="3">
                  <c:v>-0.0066786</c:v>
                </c:pt>
                <c:pt idx="4">
                  <c:v>-0.0066924</c:v>
                </c:pt>
                <c:pt idx="5">
                  <c:v>-0.0069585</c:v>
                </c:pt>
                <c:pt idx="6">
                  <c:v>-0.0068996</c:v>
                </c:pt>
                <c:pt idx="7">
                  <c:v>-0.0067302</c:v>
                </c:pt>
                <c:pt idx="8">
                  <c:v>-0.0062958</c:v>
                </c:pt>
                <c:pt idx="9">
                  <c:v>-0.0068936</c:v>
                </c:pt>
                <c:pt idx="10">
                  <c:v>-0.0070252</c:v>
                </c:pt>
                <c:pt idx="11">
                  <c:v>-0.0072571</c:v>
                </c:pt>
                <c:pt idx="12">
                  <c:v>-0.0063113</c:v>
                </c:pt>
                <c:pt idx="13">
                  <c:v>-0.0057668</c:v>
                </c:pt>
                <c:pt idx="14">
                  <c:v>-0.005764</c:v>
                </c:pt>
                <c:pt idx="15">
                  <c:v>-0.0059443</c:v>
                </c:pt>
                <c:pt idx="16">
                  <c:v>-0.0061612</c:v>
                </c:pt>
                <c:pt idx="17">
                  <c:v>-0.0065497</c:v>
                </c:pt>
                <c:pt idx="18">
                  <c:v>-0.007162</c:v>
                </c:pt>
                <c:pt idx="19">
                  <c:v>-0.0083004</c:v>
                </c:pt>
                <c:pt idx="20">
                  <c:v>-0.0077105</c:v>
                </c:pt>
                <c:pt idx="21">
                  <c:v>-0.0069884</c:v>
                </c:pt>
                <c:pt idx="22">
                  <c:v>-0.0064608</c:v>
                </c:pt>
                <c:pt idx="23">
                  <c:v>-0.0066188</c:v>
                </c:pt>
                <c:pt idx="24">
                  <c:v>-0.0061866</c:v>
                </c:pt>
                <c:pt idx="25">
                  <c:v>-0.0064277</c:v>
                </c:pt>
                <c:pt idx="26">
                  <c:v>-0.0076916</c:v>
                </c:pt>
                <c:pt idx="27">
                  <c:v>-0.0062776</c:v>
                </c:pt>
                <c:pt idx="28">
                  <c:v>-0.0061413</c:v>
                </c:pt>
                <c:pt idx="29">
                  <c:v>-0.0061119</c:v>
                </c:pt>
                <c:pt idx="30">
                  <c:v>-0.0063381</c:v>
                </c:pt>
                <c:pt idx="31">
                  <c:v>-0.0063461</c:v>
                </c:pt>
                <c:pt idx="32">
                  <c:v>-0.0064334</c:v>
                </c:pt>
                <c:pt idx="33">
                  <c:v>-0.0070666</c:v>
                </c:pt>
                <c:pt idx="34">
                  <c:v>-0.0072561</c:v>
                </c:pt>
                <c:pt idx="35">
                  <c:v>-0.0075093</c:v>
                </c:pt>
                <c:pt idx="36">
                  <c:v>-0.0069108</c:v>
                </c:pt>
                <c:pt idx="37">
                  <c:v>-0.0067697</c:v>
                </c:pt>
                <c:pt idx="38">
                  <c:v>-0.0067791</c:v>
                </c:pt>
                <c:pt idx="39">
                  <c:v>-0.0069191</c:v>
                </c:pt>
                <c:pt idx="40">
                  <c:v>-0.0067821</c:v>
                </c:pt>
                <c:pt idx="41">
                  <c:v>-0.0069076</c:v>
                </c:pt>
                <c:pt idx="42">
                  <c:v>-0.0071353</c:v>
                </c:pt>
                <c:pt idx="43">
                  <c:v>-0.0073951</c:v>
                </c:pt>
                <c:pt idx="44">
                  <c:v>-0.007282</c:v>
                </c:pt>
                <c:pt idx="45">
                  <c:v>-0.0072244</c:v>
                </c:pt>
                <c:pt idx="46">
                  <c:v>-0.0082371</c:v>
                </c:pt>
                <c:pt idx="47">
                  <c:v>-0.0076409</c:v>
                </c:pt>
                <c:pt idx="48">
                  <c:v>-0.0068545</c:v>
                </c:pt>
                <c:pt idx="49">
                  <c:v>-0.0062338</c:v>
                </c:pt>
                <c:pt idx="50">
                  <c:v>-0.0062413</c:v>
                </c:pt>
                <c:pt idx="51">
                  <c:v>-0.0039643</c:v>
                </c:pt>
                <c:pt idx="52">
                  <c:v>-0.0020943</c:v>
                </c:pt>
                <c:pt idx="53">
                  <c:v>0.0028986</c:v>
                </c:pt>
                <c:pt idx="54">
                  <c:v>0.0020519</c:v>
                </c:pt>
                <c:pt idx="55">
                  <c:v>0.004084</c:v>
                </c:pt>
              </c:numCache>
            </c:numRef>
          </c:val>
          <c:smooth val="0"/>
        </c:ser>
        <c:ser>
          <c:idx val="1"/>
          <c:order val="1"/>
          <c:tx>
            <c:strRef>
              <c:f>label 1</c:f>
              <c:strCache>
                <c:ptCount val="1"/>
                <c:pt idx="0">
                  <c:v>10 ani</c:v>
                </c:pt>
              </c:strCache>
            </c:strRef>
          </c:tx>
          <c:spPr>
            <a:solidFill>
              <a:srgbClr val="ed7d31"/>
            </a:solidFill>
            <a:ln w="28440">
              <a:solidFill>
                <a:srgbClr val="ed7d31"/>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56"/>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strCache>
            </c:strRef>
          </c:cat>
          <c:val>
            <c:numRef>
              <c:f>1</c:f>
              <c:numCache>
                <c:formatCode>General</c:formatCode>
                <c:ptCount val="56"/>
                <c:pt idx="0">
                  <c:v>0.0060501</c:v>
                </c:pt>
                <c:pt idx="1">
                  <c:v>0.0076936</c:v>
                </c:pt>
                <c:pt idx="2">
                  <c:v>0.0064311</c:v>
                </c:pt>
                <c:pt idx="3">
                  <c:v>0.0060224</c:v>
                </c:pt>
                <c:pt idx="4">
                  <c:v>0.005808</c:v>
                </c:pt>
                <c:pt idx="5">
                  <c:v>0.0047288</c:v>
                </c:pt>
                <c:pt idx="6">
                  <c:v>0.0038822</c:v>
                </c:pt>
                <c:pt idx="7">
                  <c:v>0.0038955</c:v>
                </c:pt>
                <c:pt idx="8">
                  <c:v>0.0047652</c:v>
                </c:pt>
                <c:pt idx="9">
                  <c:v>0.0051139</c:v>
                </c:pt>
                <c:pt idx="10">
                  <c:v>0.0044368</c:v>
                </c:pt>
                <c:pt idx="11">
                  <c:v>0.0031648</c:v>
                </c:pt>
                <c:pt idx="12">
                  <c:v>0.0025336</c:v>
                </c:pt>
                <c:pt idx="13">
                  <c:v>0.0016963</c:v>
                </c:pt>
                <c:pt idx="14">
                  <c:v>0.0010745</c:v>
                </c:pt>
                <c:pt idx="15">
                  <c:v>0.0005713</c:v>
                </c:pt>
                <c:pt idx="16">
                  <c:v>-0.0002598</c:v>
                </c:pt>
                <c:pt idx="17">
                  <c:v>-0.0020622</c:v>
                </c:pt>
                <c:pt idx="18">
                  <c:v>-0.0029567</c:v>
                </c:pt>
                <c:pt idx="19">
                  <c:v>-0.0058772</c:v>
                </c:pt>
                <c:pt idx="20">
                  <c:v>-0.0052734</c:v>
                </c:pt>
                <c:pt idx="21">
                  <c:v>-0.0040349</c:v>
                </c:pt>
                <c:pt idx="22">
                  <c:v>-0.0027957</c:v>
                </c:pt>
                <c:pt idx="23">
                  <c:v>-0.0021794</c:v>
                </c:pt>
                <c:pt idx="24">
                  <c:v>-0.0024008</c:v>
                </c:pt>
                <c:pt idx="25">
                  <c:v>-0.0039271</c:v>
                </c:pt>
                <c:pt idx="26">
                  <c:v>-0.0045848</c:v>
                </c:pt>
                <c:pt idx="27">
                  <c:v>-0.0034638</c:v>
                </c:pt>
                <c:pt idx="28">
                  <c:v>-0.0040277</c:v>
                </c:pt>
                <c:pt idx="29">
                  <c:v>-0.0034598</c:v>
                </c:pt>
                <c:pt idx="30">
                  <c:v>-0.0043183</c:v>
                </c:pt>
                <c:pt idx="31">
                  <c:v>-0.0044516</c:v>
                </c:pt>
                <c:pt idx="32">
                  <c:v>-0.0046169</c:v>
                </c:pt>
                <c:pt idx="33">
                  <c:v>-0.0054475</c:v>
                </c:pt>
                <c:pt idx="34">
                  <c:v>-0.0055017</c:v>
                </c:pt>
                <c:pt idx="35">
                  <c:v>-0.0056064</c:v>
                </c:pt>
                <c:pt idx="36">
                  <c:v>-0.0053597</c:v>
                </c:pt>
                <c:pt idx="37">
                  <c:v>-0.0037907</c:v>
                </c:pt>
                <c:pt idx="38">
                  <c:v>-0.0030023</c:v>
                </c:pt>
                <c:pt idx="39">
                  <c:v>-0.0024723</c:v>
                </c:pt>
                <c:pt idx="40">
                  <c:v>-0.001342</c:v>
                </c:pt>
                <c:pt idx="41">
                  <c:v>-0.0019076</c:v>
                </c:pt>
                <c:pt idx="42">
                  <c:v>-0.0034917</c:v>
                </c:pt>
                <c:pt idx="43">
                  <c:v>-0.0045727</c:v>
                </c:pt>
                <c:pt idx="44">
                  <c:v>-0.0029037</c:v>
                </c:pt>
                <c:pt idx="45">
                  <c:v>-0.0012797</c:v>
                </c:pt>
                <c:pt idx="46">
                  <c:v>-0.0024208</c:v>
                </c:pt>
                <c:pt idx="47">
                  <c:v>-0.0030334</c:v>
                </c:pt>
                <c:pt idx="48">
                  <c:v>-0.0006487</c:v>
                </c:pt>
                <c:pt idx="49">
                  <c:v>0.0023908</c:v>
                </c:pt>
                <c:pt idx="50">
                  <c:v>0.0036373</c:v>
                </c:pt>
                <c:pt idx="51">
                  <c:v>0.0082485</c:v>
                </c:pt>
                <c:pt idx="52">
                  <c:v>0.0105713</c:v>
                </c:pt>
                <c:pt idx="53">
                  <c:v>0.0157968</c:v>
                </c:pt>
                <c:pt idx="54">
                  <c:v>0.0122975</c:v>
                </c:pt>
                <c:pt idx="55">
                  <c:v>0.0116766</c:v>
                </c:pt>
              </c:numCache>
            </c:numRef>
          </c:val>
          <c:smooth val="0"/>
        </c:ser>
        <c:hiLowLines>
          <c:spPr>
            <a:ln>
              <a:noFill/>
            </a:ln>
          </c:spPr>
        </c:hiLowLines>
        <c:marker val="0"/>
        <c:axId val="33248903"/>
        <c:axId val="24798563"/>
      </c:lineChart>
      <c:catAx>
        <c:axId val="33248903"/>
        <c:scaling>
          <c:orientation val="minMax"/>
        </c:scaling>
        <c:delete val="0"/>
        <c:axPos val="b"/>
        <c:numFmt formatCode="DD/MM/YYYY" sourceLinked="1"/>
        <c:majorTickMark val="out"/>
        <c:minorTickMark val="none"/>
        <c:tickLblPos val="low"/>
        <c:spPr>
          <a:ln w="9360">
            <a:solidFill>
              <a:srgbClr val="d9d9d9"/>
            </a:solidFill>
            <a:round/>
          </a:ln>
        </c:spPr>
        <c:txPr>
          <a:bodyPr/>
          <a:lstStyle/>
          <a:p>
            <a:pPr>
              <a:defRPr b="0" sz="800" spc="-1" strike="noStrike">
                <a:solidFill>
                  <a:srgbClr val="000000"/>
                </a:solidFill>
                <a:latin typeface="Calibri"/>
              </a:defRPr>
            </a:pPr>
          </a:p>
        </c:txPr>
        <c:crossAx val="24798563"/>
        <c:crosses val="autoZero"/>
        <c:auto val="1"/>
        <c:lblAlgn val="ctr"/>
        <c:lblOffset val="100"/>
      </c:catAx>
      <c:valAx>
        <c:axId val="24798563"/>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33248903"/>
        <c:crosses val="autoZero"/>
        <c:crossBetween val="midCat"/>
      </c:valAx>
      <c:spPr>
        <a:noFill/>
        <a:ln>
          <a:noFill/>
        </a:ln>
      </c:spPr>
    </c:plotArea>
    <c:legend>
      <c:legendPos val="b"/>
      <c:overlay val="0"/>
      <c:spPr>
        <a:noFill/>
        <a:ln>
          <a:noFill/>
        </a:ln>
      </c:spPr>
      <c:txPr>
        <a:bodyPr/>
        <a:lstStyle/>
        <a:p>
          <a:pPr>
            <a:defRPr b="0" sz="8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1 an</c:v>
                </c:pt>
              </c:strCache>
            </c:strRef>
          </c:tx>
          <c:spPr>
            <a:solidFill>
              <a:srgbClr val="5b9bd5"/>
            </a:solidFill>
            <a:ln w="28440">
              <a:solidFill>
                <a:srgbClr val="5b9bd5"/>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56"/>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strCache>
            </c:strRef>
          </c:cat>
          <c:val>
            <c:numRef>
              <c:f>0</c:f>
              <c:numCache>
                <c:formatCode>General</c:formatCode>
                <c:ptCount val="56"/>
                <c:pt idx="0">
                  <c:v>0.0225</c:v>
                </c:pt>
                <c:pt idx="1">
                  <c:v>0.02348</c:v>
                </c:pt>
                <c:pt idx="2">
                  <c:v>0.02341</c:v>
                </c:pt>
                <c:pt idx="3">
                  <c:v>0.0281</c:v>
                </c:pt>
                <c:pt idx="4">
                  <c:v>0.0306</c:v>
                </c:pt>
                <c:pt idx="5">
                  <c:v>0.0358</c:v>
                </c:pt>
                <c:pt idx="6">
                  <c:v>0.034</c:v>
                </c:pt>
                <c:pt idx="7">
                  <c:v>0.0346</c:v>
                </c:pt>
                <c:pt idx="8">
                  <c:v>0.0341</c:v>
                </c:pt>
                <c:pt idx="9">
                  <c:v>0.03696</c:v>
                </c:pt>
                <c:pt idx="10">
                  <c:v>0.03304</c:v>
                </c:pt>
                <c:pt idx="11">
                  <c:v>0.0353</c:v>
                </c:pt>
                <c:pt idx="12">
                  <c:v>0.03341</c:v>
                </c:pt>
                <c:pt idx="13">
                  <c:v>0.0346</c:v>
                </c:pt>
                <c:pt idx="14">
                  <c:v>0.0331</c:v>
                </c:pt>
                <c:pt idx="15">
                  <c:v>0.03309</c:v>
                </c:pt>
                <c:pt idx="16">
                  <c:v>0.03329</c:v>
                </c:pt>
                <c:pt idx="17">
                  <c:v>0.03171</c:v>
                </c:pt>
                <c:pt idx="18">
                  <c:v>0.03031</c:v>
                </c:pt>
                <c:pt idx="19">
                  <c:v>0.0306</c:v>
                </c:pt>
                <c:pt idx="20">
                  <c:v>0.0315</c:v>
                </c:pt>
                <c:pt idx="21">
                  <c:v>0.0317</c:v>
                </c:pt>
                <c:pt idx="22">
                  <c:v>0.0345</c:v>
                </c:pt>
                <c:pt idx="23">
                  <c:v>0.03604</c:v>
                </c:pt>
                <c:pt idx="24">
                  <c:v>0.0336</c:v>
                </c:pt>
                <c:pt idx="25">
                  <c:v>0.031</c:v>
                </c:pt>
                <c:pt idx="26">
                  <c:v>0.032</c:v>
                </c:pt>
                <c:pt idx="27">
                  <c:v>0.0335</c:v>
                </c:pt>
                <c:pt idx="28">
                  <c:v>0.0317</c:v>
                </c:pt>
                <c:pt idx="29">
                  <c:v>0.0303</c:v>
                </c:pt>
                <c:pt idx="30">
                  <c:v>0.0321</c:v>
                </c:pt>
                <c:pt idx="31">
                  <c:v>0.0278</c:v>
                </c:pt>
                <c:pt idx="32">
                  <c:v>0.026</c:v>
                </c:pt>
                <c:pt idx="33">
                  <c:v>0.028</c:v>
                </c:pt>
                <c:pt idx="34">
                  <c:v>0.0245</c:v>
                </c:pt>
                <c:pt idx="35">
                  <c:v>0.024</c:v>
                </c:pt>
                <c:pt idx="36">
                  <c:v>0.018</c:v>
                </c:pt>
                <c:pt idx="37">
                  <c:v>0.0195</c:v>
                </c:pt>
                <c:pt idx="38">
                  <c:v>0.0195</c:v>
                </c:pt>
                <c:pt idx="39">
                  <c:v>0.0197</c:v>
                </c:pt>
                <c:pt idx="40">
                  <c:v>0.0191</c:v>
                </c:pt>
                <c:pt idx="41">
                  <c:v>0.02</c:v>
                </c:pt>
                <c:pt idx="42">
                  <c:v>0.0205</c:v>
                </c:pt>
                <c:pt idx="43">
                  <c:v>0.0225</c:v>
                </c:pt>
                <c:pt idx="44">
                  <c:v>0.0255</c:v>
                </c:pt>
                <c:pt idx="45">
                  <c:v>0.0355</c:v>
                </c:pt>
                <c:pt idx="46">
                  <c:v>0.0385</c:v>
                </c:pt>
                <c:pt idx="47">
                  <c:v>0.0395</c:v>
                </c:pt>
                <c:pt idx="48">
                  <c:v>0.04</c:v>
                </c:pt>
                <c:pt idx="49">
                  <c:v>0.042</c:v>
                </c:pt>
                <c:pt idx="50">
                  <c:v>0.042</c:v>
                </c:pt>
                <c:pt idx="51">
                  <c:v>0.042</c:v>
                </c:pt>
                <c:pt idx="52">
                  <c:v>0.07</c:v>
                </c:pt>
                <c:pt idx="53">
                  <c:v>0.0855</c:v>
                </c:pt>
                <c:pt idx="54">
                  <c:v>0.0812</c:v>
                </c:pt>
                <c:pt idx="55">
                  <c:v>0.075</c:v>
                </c:pt>
              </c:numCache>
            </c:numRef>
          </c:val>
          <c:smooth val="0"/>
        </c:ser>
        <c:ser>
          <c:idx val="1"/>
          <c:order val="1"/>
          <c:tx>
            <c:strRef>
              <c:f>label 1</c:f>
              <c:strCache>
                <c:ptCount val="1"/>
                <c:pt idx="0">
                  <c:v>10 ani</c:v>
                </c:pt>
              </c:strCache>
            </c:strRef>
          </c:tx>
          <c:spPr>
            <a:solidFill>
              <a:srgbClr val="ed7d31"/>
            </a:solidFill>
            <a:ln w="28440">
              <a:solidFill>
                <a:srgbClr val="ed7d31"/>
              </a:solidFill>
              <a:round/>
            </a:ln>
          </c:spPr>
          <c:marker>
            <c:symbol val="none"/>
          </c:marker>
          <c:dLbls>
            <c:numFmt formatCode="0.00%" sourceLinked="1"/>
            <c:txPr>
              <a:bodyPr/>
              <a:lstStyle/>
              <a:p>
                <a:pPr>
                  <a:defRPr b="0" sz="1000" spc="-1" strike="noStrike">
                    <a:solidFill>
                      <a:srgbClr val="000000"/>
                    </a:solidFill>
                    <a:latin typeface="Calibri"/>
                  </a:defRPr>
                </a:pPr>
              </a:p>
            </c:txPr>
            <c:dLblPos val="r"/>
            <c:showLegendKey val="0"/>
            <c:showVal val="0"/>
            <c:showCatName val="0"/>
            <c:showSerName val="0"/>
            <c:showPercent val="0"/>
            <c:showLeaderLines val="0"/>
          </c:dLbls>
          <c:cat>
            <c:strRef>
              <c:f>categories</c:f>
              <c:strCache>
                <c:ptCount val="56"/>
                <c:pt idx="0">
                  <c:v>ian-18</c:v>
                </c:pt>
                <c:pt idx="1">
                  <c:v>febr-18</c:v>
                </c:pt>
                <c:pt idx="2">
                  <c:v>mar-18</c:v>
                </c:pt>
                <c:pt idx="3">
                  <c:v>apr-18</c:v>
                </c:pt>
                <c:pt idx="4">
                  <c:v>mai-18</c:v>
                </c:pt>
                <c:pt idx="5">
                  <c:v>iun-18</c:v>
                </c:pt>
                <c:pt idx="6">
                  <c:v>iul-18</c:v>
                </c:pt>
                <c:pt idx="7">
                  <c:v>aug-18</c:v>
                </c:pt>
                <c:pt idx="8">
                  <c:v>sept-18</c:v>
                </c:pt>
                <c:pt idx="9">
                  <c:v>oct-18</c:v>
                </c:pt>
                <c:pt idx="10">
                  <c:v>nov-18</c:v>
                </c:pt>
                <c:pt idx="11">
                  <c:v>dec-18</c:v>
                </c:pt>
                <c:pt idx="12">
                  <c:v>ian-19</c:v>
                </c:pt>
                <c:pt idx="13">
                  <c:v>febr-19</c:v>
                </c:pt>
                <c:pt idx="14">
                  <c:v>mar-19</c:v>
                </c:pt>
                <c:pt idx="15">
                  <c:v>apr-19</c:v>
                </c:pt>
                <c:pt idx="16">
                  <c:v>mai-19</c:v>
                </c:pt>
                <c:pt idx="17">
                  <c:v>iun-19</c:v>
                </c:pt>
                <c:pt idx="18">
                  <c:v>iul-19</c:v>
                </c:pt>
                <c:pt idx="19">
                  <c:v>aug-19</c:v>
                </c:pt>
                <c:pt idx="20">
                  <c:v>sept-19</c:v>
                </c:pt>
                <c:pt idx="21">
                  <c:v>oct-19</c:v>
                </c:pt>
                <c:pt idx="22">
                  <c:v>nov-19</c:v>
                </c:pt>
                <c:pt idx="23">
                  <c:v>dec-19</c:v>
                </c:pt>
                <c:pt idx="24">
                  <c:v>ian-20</c:v>
                </c:pt>
                <c:pt idx="25">
                  <c:v>febr-20</c:v>
                </c:pt>
                <c:pt idx="26">
                  <c:v>mar-20</c:v>
                </c:pt>
                <c:pt idx="27">
                  <c:v>apr-20</c:v>
                </c:pt>
                <c:pt idx="28">
                  <c:v>mai-20</c:v>
                </c:pt>
                <c:pt idx="29">
                  <c:v>iun-20</c:v>
                </c:pt>
                <c:pt idx="30">
                  <c:v>iul-20</c:v>
                </c:pt>
                <c:pt idx="31">
                  <c:v>aug-20</c:v>
                </c:pt>
                <c:pt idx="32">
                  <c:v>sept-20</c:v>
                </c:pt>
                <c:pt idx="33">
                  <c:v>oct-20</c:v>
                </c:pt>
                <c:pt idx="34">
                  <c:v>nov-20</c:v>
                </c:pt>
                <c:pt idx="35">
                  <c:v>dec-20</c:v>
                </c:pt>
                <c:pt idx="36">
                  <c:v>ian-21</c:v>
                </c:pt>
                <c:pt idx="37">
                  <c:v>febr-21</c:v>
                </c:pt>
                <c:pt idx="38">
                  <c:v>mar-21</c:v>
                </c:pt>
                <c:pt idx="39">
                  <c:v>apr-21</c:v>
                </c:pt>
                <c:pt idx="40">
                  <c:v>mai-21</c:v>
                </c:pt>
                <c:pt idx="41">
                  <c:v>iun-21</c:v>
                </c:pt>
                <c:pt idx="42">
                  <c:v>iul-21</c:v>
                </c:pt>
                <c:pt idx="43">
                  <c:v>aug-21</c:v>
                </c:pt>
                <c:pt idx="44">
                  <c:v>sept-21</c:v>
                </c:pt>
                <c:pt idx="45">
                  <c:v>oct-21</c:v>
                </c:pt>
                <c:pt idx="46">
                  <c:v>nov-21</c:v>
                </c:pt>
                <c:pt idx="47">
                  <c:v>dec-21</c:v>
                </c:pt>
                <c:pt idx="48">
                  <c:v>ian-22</c:v>
                </c:pt>
                <c:pt idx="49">
                  <c:v>febr-22</c:v>
                </c:pt>
                <c:pt idx="50">
                  <c:v>mar-22</c:v>
                </c:pt>
                <c:pt idx="51">
                  <c:v>apr-22</c:v>
                </c:pt>
                <c:pt idx="52">
                  <c:v>mai-22</c:v>
                </c:pt>
                <c:pt idx="53">
                  <c:v>iun-22</c:v>
                </c:pt>
                <c:pt idx="54">
                  <c:v>iul-22</c:v>
                </c:pt>
                <c:pt idx="55">
                  <c:v>aug-22</c:v>
                </c:pt>
              </c:strCache>
            </c:strRef>
          </c:cat>
          <c:val>
            <c:numRef>
              <c:f>1</c:f>
              <c:numCache>
                <c:formatCode>General</c:formatCode>
                <c:ptCount val="56"/>
                <c:pt idx="0">
                  <c:v>0.0451</c:v>
                </c:pt>
                <c:pt idx="1">
                  <c:v>0.0455</c:v>
                </c:pt>
                <c:pt idx="2">
                  <c:v>0.0452</c:v>
                </c:pt>
                <c:pt idx="3">
                  <c:v>0.0461</c:v>
                </c:pt>
                <c:pt idx="4">
                  <c:v>0.0494</c:v>
                </c:pt>
                <c:pt idx="5">
                  <c:v>0.0531</c:v>
                </c:pt>
                <c:pt idx="6">
                  <c:v>0.05</c:v>
                </c:pt>
                <c:pt idx="7">
                  <c:v>0.0484</c:v>
                </c:pt>
                <c:pt idx="8">
                  <c:v>0.0482</c:v>
                </c:pt>
                <c:pt idx="9">
                  <c:v>0.0495</c:v>
                </c:pt>
                <c:pt idx="10">
                  <c:v>0.0503</c:v>
                </c:pt>
                <c:pt idx="11">
                  <c:v>0.0483</c:v>
                </c:pt>
                <c:pt idx="12">
                  <c:v>0.0492</c:v>
                </c:pt>
                <c:pt idx="13">
                  <c:v>0.0486</c:v>
                </c:pt>
                <c:pt idx="14">
                  <c:v>0.0487</c:v>
                </c:pt>
                <c:pt idx="15">
                  <c:v>0.0503</c:v>
                </c:pt>
                <c:pt idx="16">
                  <c:v>0.0493</c:v>
                </c:pt>
                <c:pt idx="17">
                  <c:v>0.0467</c:v>
                </c:pt>
                <c:pt idx="18">
                  <c:v>0.0437</c:v>
                </c:pt>
                <c:pt idx="19">
                  <c:v>0.0415</c:v>
                </c:pt>
                <c:pt idx="20">
                  <c:v>0.0416</c:v>
                </c:pt>
                <c:pt idx="21">
                  <c:v>0.0425</c:v>
                </c:pt>
                <c:pt idx="22">
                  <c:v>0.0467</c:v>
                </c:pt>
                <c:pt idx="23">
                  <c:v>0.0449</c:v>
                </c:pt>
                <c:pt idx="24">
                  <c:v>0.0427</c:v>
                </c:pt>
                <c:pt idx="25">
                  <c:v>0.0418</c:v>
                </c:pt>
                <c:pt idx="26">
                  <c:v>0.052</c:v>
                </c:pt>
                <c:pt idx="27">
                  <c:v>0.0482</c:v>
                </c:pt>
                <c:pt idx="28">
                  <c:v>0.042</c:v>
                </c:pt>
                <c:pt idx="29">
                  <c:v>0.04</c:v>
                </c:pt>
                <c:pt idx="30">
                  <c:v>0.0403</c:v>
                </c:pt>
                <c:pt idx="31">
                  <c:v>0.039</c:v>
                </c:pt>
                <c:pt idx="32">
                  <c:v>0.0349</c:v>
                </c:pt>
                <c:pt idx="33">
                  <c:v>0.0356</c:v>
                </c:pt>
                <c:pt idx="34">
                  <c:v>0.034</c:v>
                </c:pt>
                <c:pt idx="35">
                  <c:v>0.031</c:v>
                </c:pt>
                <c:pt idx="36">
                  <c:v>0.0282</c:v>
                </c:pt>
                <c:pt idx="37">
                  <c:v>0.0361</c:v>
                </c:pt>
                <c:pt idx="38">
                  <c:v>0.0317</c:v>
                </c:pt>
                <c:pt idx="39">
                  <c:v>0.0312</c:v>
                </c:pt>
                <c:pt idx="40">
                  <c:v>0.0336</c:v>
                </c:pt>
                <c:pt idx="41">
                  <c:v>0.0347</c:v>
                </c:pt>
                <c:pt idx="42">
                  <c:v>0.0377</c:v>
                </c:pt>
                <c:pt idx="43">
                  <c:v>0.039</c:v>
                </c:pt>
                <c:pt idx="44">
                  <c:v>0.0422</c:v>
                </c:pt>
                <c:pt idx="45">
                  <c:v>0.0495</c:v>
                </c:pt>
                <c:pt idx="46">
                  <c:v>0.0561</c:v>
                </c:pt>
                <c:pt idx="47">
                  <c:v>0.0519</c:v>
                </c:pt>
                <c:pt idx="48">
                  <c:v>0.0549</c:v>
                </c:pt>
                <c:pt idx="49">
                  <c:v>0.0605</c:v>
                </c:pt>
                <c:pt idx="50">
                  <c:v>0.0617</c:v>
                </c:pt>
                <c:pt idx="51">
                  <c:v>0.0722</c:v>
                </c:pt>
                <c:pt idx="52">
                  <c:v>0.079</c:v>
                </c:pt>
                <c:pt idx="53">
                  <c:v>0.0894</c:v>
                </c:pt>
                <c:pt idx="54">
                  <c:v>0.0817</c:v>
                </c:pt>
                <c:pt idx="55">
                  <c:v>0.0781</c:v>
                </c:pt>
              </c:numCache>
            </c:numRef>
          </c:val>
          <c:smooth val="0"/>
        </c:ser>
        <c:hiLowLines>
          <c:spPr>
            <a:ln>
              <a:noFill/>
            </a:ln>
          </c:spPr>
        </c:hiLowLines>
        <c:marker val="0"/>
        <c:axId val="84486215"/>
        <c:axId val="96894367"/>
      </c:lineChart>
      <c:catAx>
        <c:axId val="84486215"/>
        <c:scaling>
          <c:orientation val="minMax"/>
        </c:scaling>
        <c:delete val="0"/>
        <c:axPos val="b"/>
        <c:numFmt formatCode="DD/MM/YYYY" sourceLinked="1"/>
        <c:majorTickMark val="out"/>
        <c:minorTickMark val="none"/>
        <c:tickLblPos val="nextTo"/>
        <c:spPr>
          <a:ln w="9360">
            <a:solidFill>
              <a:srgbClr val="d9d9d9"/>
            </a:solidFill>
            <a:round/>
          </a:ln>
        </c:spPr>
        <c:txPr>
          <a:bodyPr/>
          <a:lstStyle/>
          <a:p>
            <a:pPr>
              <a:defRPr b="0" sz="800" spc="-1" strike="noStrike">
                <a:solidFill>
                  <a:srgbClr val="000000"/>
                </a:solidFill>
                <a:latin typeface="Calibri"/>
              </a:defRPr>
            </a:pPr>
          </a:p>
        </c:txPr>
        <c:crossAx val="96894367"/>
        <c:crosses val="autoZero"/>
        <c:auto val="1"/>
        <c:lblAlgn val="ctr"/>
        <c:lblOffset val="100"/>
      </c:catAx>
      <c:valAx>
        <c:axId val="96894367"/>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800" spc="-1" strike="noStrike">
                <a:solidFill>
                  <a:srgbClr val="000000"/>
                </a:solidFill>
                <a:latin typeface="Calibri"/>
              </a:defRPr>
            </a:pPr>
          </a:p>
        </c:txPr>
        <c:crossAx val="84486215"/>
        <c:crosses val="autoZero"/>
        <c:crossBetween val="midCat"/>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FBCB2-F743-4946-8A90-5111B41AC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LibreOffice/6.1.5.2$Windows_X86_64 LibreOffice_project/90f8dcf33c87b3705e78202e3df5142b201bd805</Application>
  <Pages>43</Pages>
  <Words>22520</Words>
  <Characters>136691</Characters>
  <CharactersWithSpaces>158127</CharactersWithSpaces>
  <Paragraphs>1674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2022-09-29T06:06:00Z</dcterms:created>
  <dc:creator>CRISTESCU Lavinia</dc:creator>
  <dc:description/>
  <dc:language>ro-RO</dc:language>
  <cp:lastModifiedBy>ASF</cp:lastModifiedBy>
  <cp:lastPrinted>2022-08-23T11:09:00Z</cp:lastPrinted>
  <dcterms:modified xsi:type="dcterms:W3CDTF">2022-09-29T06:06:00Z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